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A6966">
      <w:pPr>
        <w:widowControl w:val="0"/>
        <w:snapToGrid w:val="0"/>
        <w:spacing w:line="560" w:lineRule="exact"/>
        <w:ind w:firstLine="241" w:firstLineChars="50"/>
        <w:jc w:val="center"/>
        <w:rPr>
          <w:rFonts w:eastAsia="黑体"/>
          <w:b/>
          <w:color w:val="auto"/>
          <w:spacing w:val="40"/>
          <w:sz w:val="40"/>
          <w:szCs w:val="40"/>
        </w:rPr>
      </w:pPr>
      <w:bookmarkStart w:id="50" w:name="_GoBack"/>
      <w:bookmarkEnd w:id="50"/>
    </w:p>
    <w:p w14:paraId="7076D925">
      <w:pPr>
        <w:widowControl w:val="0"/>
        <w:snapToGrid w:val="0"/>
        <w:spacing w:line="560" w:lineRule="exact"/>
        <w:ind w:firstLine="241" w:firstLineChars="50"/>
        <w:jc w:val="center"/>
        <w:rPr>
          <w:rFonts w:eastAsia="黑体"/>
          <w:b/>
          <w:color w:val="auto"/>
          <w:spacing w:val="40"/>
          <w:sz w:val="40"/>
          <w:szCs w:val="40"/>
        </w:rPr>
      </w:pPr>
    </w:p>
    <w:p w14:paraId="191EB0C4">
      <w:pPr>
        <w:widowControl w:val="0"/>
        <w:snapToGrid w:val="0"/>
        <w:spacing w:line="560" w:lineRule="exact"/>
        <w:ind w:firstLine="241" w:firstLineChars="50"/>
        <w:jc w:val="center"/>
        <w:rPr>
          <w:rFonts w:eastAsia="黑体"/>
          <w:b/>
          <w:color w:val="auto"/>
          <w:spacing w:val="40"/>
          <w:sz w:val="40"/>
          <w:szCs w:val="40"/>
        </w:rPr>
      </w:pPr>
    </w:p>
    <w:p w14:paraId="6B0425A4">
      <w:pPr>
        <w:widowControl w:val="0"/>
        <w:snapToGrid w:val="0"/>
        <w:spacing w:line="560" w:lineRule="exact"/>
        <w:ind w:firstLine="181" w:firstLineChars="50"/>
        <w:jc w:val="distribute"/>
        <w:rPr>
          <w:rFonts w:ascii="黑体" w:eastAsia="黑体"/>
          <w:b/>
          <w:color w:val="auto"/>
          <w:spacing w:val="40"/>
          <w:sz w:val="36"/>
          <w:szCs w:val="36"/>
        </w:rPr>
      </w:pPr>
      <w:r>
        <w:rPr>
          <w:rFonts w:hint="eastAsia" w:ascii="黑体" w:eastAsia="黑体"/>
          <w:b/>
          <w:color w:val="auto"/>
          <w:sz w:val="36"/>
          <w:szCs w:val="36"/>
        </w:rPr>
        <w:t>安阳市人民医院安阳市医保数据分析系统技术服务项目</w:t>
      </w:r>
    </w:p>
    <w:p w14:paraId="38F43D39">
      <w:pPr>
        <w:widowControl w:val="0"/>
        <w:snapToGrid w:val="0"/>
        <w:spacing w:line="560" w:lineRule="exact"/>
        <w:ind w:firstLine="261" w:firstLineChars="50"/>
        <w:jc w:val="center"/>
        <w:rPr>
          <w:rFonts w:ascii="黑体" w:eastAsia="黑体"/>
          <w:b/>
          <w:color w:val="auto"/>
          <w:spacing w:val="40"/>
          <w:sz w:val="44"/>
          <w:szCs w:val="44"/>
        </w:rPr>
      </w:pPr>
    </w:p>
    <w:p w14:paraId="70E14F8C">
      <w:pPr>
        <w:widowControl w:val="0"/>
        <w:snapToGrid w:val="0"/>
        <w:spacing w:before="240" w:beforeLines="100" w:line="560" w:lineRule="exact"/>
        <w:jc w:val="center"/>
        <w:rPr>
          <w:rFonts w:eastAsia="黑体"/>
          <w:b/>
          <w:color w:val="auto"/>
          <w:sz w:val="44"/>
        </w:rPr>
      </w:pPr>
    </w:p>
    <w:p w14:paraId="07284EBF">
      <w:pPr>
        <w:widowControl w:val="0"/>
        <w:snapToGrid w:val="0"/>
        <w:spacing w:before="240" w:beforeLines="100" w:line="240" w:lineRule="auto"/>
        <w:jc w:val="center"/>
        <w:rPr>
          <w:rFonts w:eastAsia="黑体"/>
          <w:b/>
          <w:color w:val="auto"/>
          <w:sz w:val="44"/>
        </w:rPr>
      </w:pPr>
    </w:p>
    <w:p w14:paraId="0603C184">
      <w:pPr>
        <w:widowControl w:val="0"/>
        <w:snapToGrid w:val="0"/>
        <w:spacing w:before="240" w:beforeLines="100" w:line="240" w:lineRule="auto"/>
        <w:jc w:val="center"/>
        <w:rPr>
          <w:rFonts w:eastAsia="黑体"/>
          <w:b/>
          <w:color w:val="auto"/>
          <w:sz w:val="44"/>
        </w:rPr>
      </w:pPr>
    </w:p>
    <w:p w14:paraId="6BCCCD14">
      <w:pPr>
        <w:widowControl w:val="0"/>
        <w:snapToGrid w:val="0"/>
        <w:spacing w:before="240"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rPr>
        <w:t>磋</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商</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件</w:t>
      </w:r>
    </w:p>
    <w:p w14:paraId="0670E060">
      <w:pPr>
        <w:widowControl w:val="0"/>
        <w:snapToGrid w:val="0"/>
        <w:spacing w:before="240" w:beforeLines="100" w:line="560" w:lineRule="exact"/>
        <w:jc w:val="center"/>
        <w:rPr>
          <w:rFonts w:hint="default" w:ascii="宋体" w:hAnsi="宋体" w:eastAsia="宋体"/>
          <w:color w:val="auto"/>
          <w:sz w:val="32"/>
          <w:szCs w:val="32"/>
          <w:lang w:val="en-US" w:eastAsia="zh-CN"/>
        </w:rPr>
      </w:pPr>
      <w:r>
        <w:rPr>
          <w:rFonts w:hint="eastAsia" w:ascii="宋体" w:hAnsi="宋体"/>
          <w:color w:val="auto"/>
          <w:sz w:val="32"/>
          <w:szCs w:val="32"/>
        </w:rPr>
        <w:t>项目编号：安财磋商采购-2025-</w:t>
      </w:r>
      <w:r>
        <w:rPr>
          <w:rFonts w:hint="eastAsia" w:ascii="宋体" w:hAnsi="宋体"/>
          <w:color w:val="auto"/>
          <w:sz w:val="32"/>
          <w:szCs w:val="32"/>
          <w:lang w:val="en-US" w:eastAsia="zh-CN"/>
        </w:rPr>
        <w:t>44</w:t>
      </w:r>
    </w:p>
    <w:p w14:paraId="690F65D0">
      <w:pPr>
        <w:widowControl w:val="0"/>
        <w:snapToGrid w:val="0"/>
        <w:spacing w:before="240" w:beforeLines="100" w:line="560" w:lineRule="exact"/>
        <w:jc w:val="center"/>
        <w:rPr>
          <w:rFonts w:eastAsia="黑体"/>
          <w:b/>
          <w:color w:val="auto"/>
          <w:sz w:val="44"/>
        </w:rPr>
      </w:pPr>
    </w:p>
    <w:p w14:paraId="231D746E">
      <w:pPr>
        <w:widowControl w:val="0"/>
        <w:snapToGrid w:val="0"/>
        <w:spacing w:before="240" w:beforeLines="100" w:line="560" w:lineRule="exact"/>
        <w:jc w:val="center"/>
        <w:rPr>
          <w:rFonts w:eastAsia="黑体"/>
          <w:b/>
          <w:color w:val="auto"/>
          <w:sz w:val="44"/>
        </w:rPr>
      </w:pPr>
    </w:p>
    <w:p w14:paraId="6047C120">
      <w:pPr>
        <w:widowControl w:val="0"/>
        <w:snapToGrid w:val="0"/>
        <w:spacing w:before="240" w:beforeLines="100" w:line="560" w:lineRule="exact"/>
        <w:jc w:val="center"/>
        <w:rPr>
          <w:rFonts w:eastAsia="黑体"/>
          <w:b/>
          <w:color w:val="auto"/>
          <w:sz w:val="44"/>
        </w:rPr>
      </w:pPr>
    </w:p>
    <w:p w14:paraId="58681419">
      <w:pPr>
        <w:widowControl w:val="0"/>
        <w:snapToGrid w:val="0"/>
        <w:spacing w:before="240" w:beforeLines="100" w:line="560" w:lineRule="exact"/>
        <w:rPr>
          <w:rFonts w:eastAsia="黑体"/>
          <w:b/>
          <w:color w:val="auto"/>
          <w:sz w:val="44"/>
        </w:rPr>
      </w:pPr>
    </w:p>
    <w:p w14:paraId="61F0432D">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采购人：安阳市人民医院</w:t>
      </w:r>
    </w:p>
    <w:p w14:paraId="7F923AA3">
      <w:pPr>
        <w:widowControl w:val="0"/>
        <w:snapToGrid w:val="0"/>
        <w:spacing w:line="660" w:lineRule="exact"/>
        <w:ind w:firstLine="540" w:firstLineChars="168"/>
        <w:rPr>
          <w:rFonts w:ascii="黑体" w:hAnsi="黑体" w:eastAsia="黑体"/>
          <w:b/>
          <w:color w:val="auto"/>
          <w:sz w:val="32"/>
          <w:szCs w:val="32"/>
        </w:rPr>
        <w:sectPr>
          <w:footerReference r:id="rId9" w:type="first"/>
          <w:headerReference r:id="rId5" w:type="default"/>
          <w:footerReference r:id="rId7" w:type="default"/>
          <w:headerReference r:id="rId6" w:type="even"/>
          <w:footerReference r:id="rId8"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rPr>
        <w:t>代理机构：安阳市方正招标采购服务有限责任公司</w:t>
      </w:r>
    </w:p>
    <w:p w14:paraId="7C4C41E6">
      <w:pPr>
        <w:widowControl w:val="0"/>
        <w:snapToGrid w:val="0"/>
        <w:spacing w:line="560" w:lineRule="exact"/>
        <w:ind w:firstLine="540" w:firstLineChars="168"/>
        <w:rPr>
          <w:rFonts w:ascii="黑体" w:hAnsi="黑体" w:eastAsia="黑体"/>
          <w:b/>
          <w:color w:val="auto"/>
          <w:sz w:val="32"/>
          <w:szCs w:val="32"/>
        </w:rPr>
      </w:pPr>
    </w:p>
    <w:p w14:paraId="3D4B426A">
      <w:pPr>
        <w:jc w:val="center"/>
        <w:rPr>
          <w:color w:val="auto"/>
        </w:rPr>
      </w:pPr>
      <w:r>
        <w:rPr>
          <w:rFonts w:hint="eastAsia" w:ascii="黑体" w:hAnsi="黑体" w:eastAsia="黑体"/>
          <w:b/>
          <w:bCs/>
          <w:color w:val="auto"/>
          <w:sz w:val="36"/>
          <w:szCs w:val="36"/>
          <w:lang w:val="zh-CN"/>
        </w:rPr>
        <w:t>目</w:t>
      </w:r>
      <w:r>
        <w:rPr>
          <w:rFonts w:hint="eastAsia" w:ascii="黑体" w:hAnsi="黑体" w:eastAsia="黑体"/>
          <w:b/>
          <w:bCs/>
          <w:color w:val="auto"/>
          <w:sz w:val="36"/>
          <w:szCs w:val="36"/>
        </w:rPr>
        <w:t xml:space="preserve">    </w:t>
      </w:r>
      <w:r>
        <w:rPr>
          <w:rFonts w:hint="eastAsia" w:ascii="黑体" w:hAnsi="黑体" w:eastAsia="黑体"/>
          <w:b/>
          <w:bCs/>
          <w:color w:val="auto"/>
          <w:sz w:val="36"/>
          <w:szCs w:val="36"/>
          <w:lang w:val="zh-CN"/>
        </w:rPr>
        <w:t>录</w:t>
      </w:r>
      <w:r>
        <w:rPr>
          <w:color w:val="auto"/>
        </w:rPr>
        <w:fldChar w:fldCharType="begin"/>
      </w:r>
      <w:r>
        <w:rPr>
          <w:color w:val="auto"/>
        </w:rPr>
        <w:instrText xml:space="preserve"> TOC \o "1-3" \h \z \u </w:instrText>
      </w:r>
      <w:r>
        <w:rPr>
          <w:color w:val="auto"/>
        </w:rPr>
        <w:fldChar w:fldCharType="separate"/>
      </w:r>
    </w:p>
    <w:p w14:paraId="4562772D">
      <w:pPr>
        <w:pStyle w:val="12"/>
        <w:tabs>
          <w:tab w:val="right" w:leader="dot" w:pos="9381"/>
        </w:tabs>
        <w:rPr>
          <w:b/>
          <w:bCs/>
          <w:color w:val="auto"/>
        </w:rPr>
      </w:pPr>
      <w:r>
        <w:rPr>
          <w:color w:val="auto"/>
        </w:rPr>
        <w:fldChar w:fldCharType="begin"/>
      </w:r>
      <w:r>
        <w:rPr>
          <w:color w:val="auto"/>
        </w:rPr>
        <w:instrText xml:space="preserve"> HYPERLINK \l "_Toc17653" </w:instrText>
      </w:r>
      <w:r>
        <w:rPr>
          <w:color w:val="auto"/>
        </w:rPr>
        <w:fldChar w:fldCharType="separate"/>
      </w:r>
      <w:r>
        <w:rPr>
          <w:rFonts w:hint="eastAsia" w:eastAsia="黑体"/>
          <w:b/>
          <w:bCs/>
          <w:color w:val="auto"/>
          <w:szCs w:val="36"/>
        </w:rPr>
        <w:t>第一章</w:t>
      </w:r>
      <w:r>
        <w:rPr>
          <w:rFonts w:eastAsia="黑体"/>
          <w:b/>
          <w:bCs/>
          <w:color w:val="auto"/>
          <w:szCs w:val="36"/>
        </w:rPr>
        <w:t xml:space="preserve">  </w:t>
      </w:r>
      <w:r>
        <w:rPr>
          <w:rFonts w:hint="eastAsia" w:eastAsia="黑体"/>
          <w:b/>
          <w:bCs/>
          <w:color w:val="auto"/>
          <w:szCs w:val="36"/>
        </w:rPr>
        <w:t>竞争性磋商公告</w:t>
      </w:r>
      <w:r>
        <w:rPr>
          <w:b/>
          <w:bCs/>
          <w:color w:val="auto"/>
        </w:rPr>
        <w:tab/>
      </w:r>
      <w:r>
        <w:rPr>
          <w:b/>
          <w:bCs/>
          <w:color w:val="auto"/>
        </w:rPr>
        <w:fldChar w:fldCharType="begin"/>
      </w:r>
      <w:r>
        <w:rPr>
          <w:b/>
          <w:bCs/>
          <w:color w:val="auto"/>
        </w:rPr>
        <w:instrText xml:space="preserve"> PAGEREF _Toc17653 \h </w:instrText>
      </w:r>
      <w:r>
        <w:rPr>
          <w:b/>
          <w:bCs/>
          <w:color w:val="auto"/>
        </w:rPr>
        <w:fldChar w:fldCharType="separate"/>
      </w:r>
      <w:r>
        <w:rPr>
          <w:b/>
          <w:bCs/>
          <w:color w:val="auto"/>
        </w:rPr>
        <w:t>- 1 -</w:t>
      </w:r>
      <w:r>
        <w:rPr>
          <w:b/>
          <w:bCs/>
          <w:color w:val="auto"/>
        </w:rPr>
        <w:fldChar w:fldCharType="end"/>
      </w:r>
      <w:r>
        <w:rPr>
          <w:b/>
          <w:bCs/>
          <w:color w:val="auto"/>
        </w:rPr>
        <w:fldChar w:fldCharType="end"/>
      </w:r>
    </w:p>
    <w:p w14:paraId="749D1485">
      <w:pPr>
        <w:pStyle w:val="12"/>
        <w:tabs>
          <w:tab w:val="right" w:leader="dot" w:pos="9381"/>
        </w:tabs>
        <w:rPr>
          <w:b/>
          <w:bCs/>
          <w:color w:val="auto"/>
        </w:rPr>
      </w:pPr>
      <w:r>
        <w:rPr>
          <w:color w:val="auto"/>
        </w:rPr>
        <w:fldChar w:fldCharType="begin"/>
      </w:r>
      <w:r>
        <w:rPr>
          <w:color w:val="auto"/>
        </w:rPr>
        <w:instrText xml:space="preserve"> HYPERLINK \l "_Toc26373" </w:instrText>
      </w:r>
      <w:r>
        <w:rPr>
          <w:color w:val="auto"/>
        </w:rPr>
        <w:fldChar w:fldCharType="separate"/>
      </w:r>
      <w:r>
        <w:rPr>
          <w:rFonts w:hint="eastAsia" w:eastAsia="黑体"/>
          <w:b/>
          <w:bCs/>
          <w:color w:val="auto"/>
          <w:szCs w:val="36"/>
        </w:rPr>
        <w:t>第二章  采购项目及技术服务要求</w:t>
      </w:r>
      <w:r>
        <w:rPr>
          <w:b/>
          <w:bCs/>
          <w:color w:val="auto"/>
        </w:rPr>
        <w:tab/>
      </w:r>
      <w:r>
        <w:rPr>
          <w:b/>
          <w:bCs/>
          <w:color w:val="auto"/>
        </w:rPr>
        <w:fldChar w:fldCharType="begin"/>
      </w:r>
      <w:r>
        <w:rPr>
          <w:b/>
          <w:bCs/>
          <w:color w:val="auto"/>
        </w:rPr>
        <w:instrText xml:space="preserve"> PAGEREF _Toc26373 \h </w:instrText>
      </w:r>
      <w:r>
        <w:rPr>
          <w:b/>
          <w:bCs/>
          <w:color w:val="auto"/>
        </w:rPr>
        <w:fldChar w:fldCharType="separate"/>
      </w:r>
      <w:r>
        <w:rPr>
          <w:b/>
          <w:bCs/>
          <w:color w:val="auto"/>
        </w:rPr>
        <w:t>- 6 -</w:t>
      </w:r>
      <w:r>
        <w:rPr>
          <w:b/>
          <w:bCs/>
          <w:color w:val="auto"/>
        </w:rPr>
        <w:fldChar w:fldCharType="end"/>
      </w:r>
      <w:r>
        <w:rPr>
          <w:b/>
          <w:bCs/>
          <w:color w:val="auto"/>
        </w:rPr>
        <w:fldChar w:fldCharType="end"/>
      </w:r>
    </w:p>
    <w:p w14:paraId="2CC1A956">
      <w:pPr>
        <w:pStyle w:val="13"/>
        <w:tabs>
          <w:tab w:val="right" w:leader="dot" w:pos="9381"/>
        </w:tabs>
        <w:rPr>
          <w:b/>
          <w:bCs/>
          <w:color w:val="auto"/>
        </w:rPr>
      </w:pPr>
      <w:r>
        <w:rPr>
          <w:color w:val="auto"/>
        </w:rPr>
        <w:fldChar w:fldCharType="begin"/>
      </w:r>
      <w:r>
        <w:rPr>
          <w:color w:val="auto"/>
        </w:rPr>
        <w:instrText xml:space="preserve"> HYPERLINK \l "_Toc30552" </w:instrText>
      </w:r>
      <w:r>
        <w:rPr>
          <w:color w:val="auto"/>
        </w:rPr>
        <w:fldChar w:fldCharType="separate"/>
      </w:r>
      <w:r>
        <w:rPr>
          <w:rFonts w:ascii="黑体" w:hAnsi="黑体" w:eastAsia="黑体"/>
          <w:b/>
          <w:bCs/>
          <w:color w:val="auto"/>
        </w:rPr>
        <w:t xml:space="preserve">1. </w:t>
      </w:r>
      <w:r>
        <w:rPr>
          <w:rFonts w:hint="eastAsia" w:ascii="黑体" w:hAnsi="黑体" w:eastAsia="黑体"/>
          <w:b/>
          <w:bCs/>
          <w:color w:val="auto"/>
        </w:rPr>
        <w:t>采购项目、标段（包）划分、磋商报价</w:t>
      </w:r>
      <w:r>
        <w:rPr>
          <w:b/>
          <w:bCs/>
          <w:color w:val="auto"/>
        </w:rPr>
        <w:tab/>
      </w:r>
      <w:r>
        <w:rPr>
          <w:b/>
          <w:bCs/>
          <w:color w:val="auto"/>
        </w:rPr>
        <w:fldChar w:fldCharType="begin"/>
      </w:r>
      <w:r>
        <w:rPr>
          <w:b/>
          <w:bCs/>
          <w:color w:val="auto"/>
        </w:rPr>
        <w:instrText xml:space="preserve"> PAGEREF _Toc30552 \h </w:instrText>
      </w:r>
      <w:r>
        <w:rPr>
          <w:b/>
          <w:bCs/>
          <w:color w:val="auto"/>
        </w:rPr>
        <w:fldChar w:fldCharType="separate"/>
      </w:r>
      <w:r>
        <w:rPr>
          <w:b/>
          <w:bCs/>
          <w:color w:val="auto"/>
        </w:rPr>
        <w:t>- 6 -</w:t>
      </w:r>
      <w:r>
        <w:rPr>
          <w:b/>
          <w:bCs/>
          <w:color w:val="auto"/>
        </w:rPr>
        <w:fldChar w:fldCharType="end"/>
      </w:r>
      <w:r>
        <w:rPr>
          <w:b/>
          <w:bCs/>
          <w:color w:val="auto"/>
        </w:rPr>
        <w:fldChar w:fldCharType="end"/>
      </w:r>
    </w:p>
    <w:p w14:paraId="39B64342">
      <w:pPr>
        <w:pStyle w:val="13"/>
        <w:tabs>
          <w:tab w:val="right" w:leader="dot" w:pos="9381"/>
        </w:tabs>
        <w:rPr>
          <w:b/>
          <w:bCs/>
          <w:color w:val="auto"/>
        </w:rPr>
      </w:pPr>
      <w:r>
        <w:rPr>
          <w:color w:val="auto"/>
        </w:rPr>
        <w:fldChar w:fldCharType="begin"/>
      </w:r>
      <w:r>
        <w:rPr>
          <w:color w:val="auto"/>
        </w:rPr>
        <w:instrText xml:space="preserve"> HYPERLINK \l "_Toc20679" </w:instrText>
      </w:r>
      <w:r>
        <w:rPr>
          <w:color w:val="auto"/>
        </w:rPr>
        <w:fldChar w:fldCharType="separate"/>
      </w:r>
      <w:r>
        <w:rPr>
          <w:rFonts w:ascii="黑体" w:hAnsi="黑体" w:eastAsia="黑体"/>
          <w:b/>
          <w:bCs/>
          <w:color w:val="auto"/>
        </w:rPr>
        <w:t xml:space="preserve">2. </w:t>
      </w:r>
      <w:r>
        <w:rPr>
          <w:rFonts w:hint="eastAsia" w:ascii="黑体" w:hAnsi="黑体" w:eastAsia="黑体"/>
          <w:b/>
          <w:bCs/>
          <w:color w:val="auto"/>
        </w:rPr>
        <w:t>标段（包）内容（范围）及技术服务要求</w:t>
      </w:r>
      <w:r>
        <w:rPr>
          <w:b/>
          <w:bCs/>
          <w:color w:val="auto"/>
        </w:rPr>
        <w:tab/>
      </w:r>
      <w:r>
        <w:rPr>
          <w:b/>
          <w:bCs/>
          <w:color w:val="auto"/>
        </w:rPr>
        <w:fldChar w:fldCharType="begin"/>
      </w:r>
      <w:r>
        <w:rPr>
          <w:b/>
          <w:bCs/>
          <w:color w:val="auto"/>
        </w:rPr>
        <w:instrText xml:space="preserve"> PAGEREF _Toc20679 \h </w:instrText>
      </w:r>
      <w:r>
        <w:rPr>
          <w:b/>
          <w:bCs/>
          <w:color w:val="auto"/>
        </w:rPr>
        <w:fldChar w:fldCharType="separate"/>
      </w:r>
      <w:r>
        <w:rPr>
          <w:b/>
          <w:bCs/>
          <w:color w:val="auto"/>
        </w:rPr>
        <w:t>- 6 -</w:t>
      </w:r>
      <w:r>
        <w:rPr>
          <w:b/>
          <w:bCs/>
          <w:color w:val="auto"/>
        </w:rPr>
        <w:fldChar w:fldCharType="end"/>
      </w:r>
      <w:r>
        <w:rPr>
          <w:b/>
          <w:bCs/>
          <w:color w:val="auto"/>
        </w:rPr>
        <w:fldChar w:fldCharType="end"/>
      </w:r>
    </w:p>
    <w:p w14:paraId="5698B9AE">
      <w:pPr>
        <w:pStyle w:val="12"/>
        <w:tabs>
          <w:tab w:val="right" w:leader="dot" w:pos="9381"/>
        </w:tabs>
        <w:rPr>
          <w:b/>
          <w:bCs/>
          <w:color w:val="auto"/>
        </w:rPr>
      </w:pPr>
      <w:r>
        <w:rPr>
          <w:color w:val="auto"/>
        </w:rPr>
        <w:fldChar w:fldCharType="begin"/>
      </w:r>
      <w:r>
        <w:rPr>
          <w:color w:val="auto"/>
        </w:rPr>
        <w:instrText xml:space="preserve"> HYPERLINK \l "_Toc7027" </w:instrText>
      </w:r>
      <w:r>
        <w:rPr>
          <w:color w:val="auto"/>
        </w:rPr>
        <w:fldChar w:fldCharType="separate"/>
      </w:r>
      <w:r>
        <w:rPr>
          <w:rFonts w:hint="eastAsia" w:eastAsia="黑体"/>
          <w:b/>
          <w:bCs/>
          <w:color w:val="auto"/>
          <w:szCs w:val="36"/>
        </w:rPr>
        <w:t>第三章  供应商须知</w:t>
      </w:r>
      <w:r>
        <w:rPr>
          <w:b/>
          <w:bCs/>
          <w:color w:val="auto"/>
        </w:rPr>
        <w:tab/>
      </w:r>
      <w:r>
        <w:rPr>
          <w:b/>
          <w:bCs/>
          <w:color w:val="auto"/>
        </w:rPr>
        <w:fldChar w:fldCharType="begin"/>
      </w:r>
      <w:r>
        <w:rPr>
          <w:b/>
          <w:bCs/>
          <w:color w:val="auto"/>
        </w:rPr>
        <w:instrText xml:space="preserve"> PAGEREF _Toc7027 \h </w:instrText>
      </w:r>
      <w:r>
        <w:rPr>
          <w:b/>
          <w:bCs/>
          <w:color w:val="auto"/>
        </w:rPr>
        <w:fldChar w:fldCharType="separate"/>
      </w:r>
      <w:r>
        <w:rPr>
          <w:b/>
          <w:bCs/>
          <w:color w:val="auto"/>
        </w:rPr>
        <w:t>- 21 -</w:t>
      </w:r>
      <w:r>
        <w:rPr>
          <w:b/>
          <w:bCs/>
          <w:color w:val="auto"/>
        </w:rPr>
        <w:fldChar w:fldCharType="end"/>
      </w:r>
      <w:r>
        <w:rPr>
          <w:b/>
          <w:bCs/>
          <w:color w:val="auto"/>
        </w:rPr>
        <w:fldChar w:fldCharType="end"/>
      </w:r>
    </w:p>
    <w:p w14:paraId="4646BF79">
      <w:pPr>
        <w:pStyle w:val="13"/>
        <w:tabs>
          <w:tab w:val="right" w:leader="dot" w:pos="9381"/>
        </w:tabs>
        <w:rPr>
          <w:b/>
          <w:bCs/>
          <w:color w:val="auto"/>
        </w:rPr>
      </w:pPr>
      <w:r>
        <w:rPr>
          <w:color w:val="auto"/>
        </w:rPr>
        <w:fldChar w:fldCharType="begin"/>
      </w:r>
      <w:r>
        <w:rPr>
          <w:color w:val="auto"/>
        </w:rPr>
        <w:instrText xml:space="preserve"> HYPERLINK \l "_Toc5109" </w:instrText>
      </w:r>
      <w:r>
        <w:rPr>
          <w:color w:val="auto"/>
        </w:rPr>
        <w:fldChar w:fldCharType="separate"/>
      </w:r>
      <w:r>
        <w:rPr>
          <w:rFonts w:hint="eastAsia" w:eastAsia="黑体"/>
          <w:b/>
          <w:bCs/>
          <w:color w:val="auto"/>
          <w:szCs w:val="28"/>
        </w:rPr>
        <w:t>供应商须知前附表</w:t>
      </w:r>
      <w:r>
        <w:rPr>
          <w:b/>
          <w:bCs/>
          <w:color w:val="auto"/>
        </w:rPr>
        <w:tab/>
      </w:r>
      <w:r>
        <w:rPr>
          <w:b/>
          <w:bCs/>
          <w:color w:val="auto"/>
        </w:rPr>
        <w:fldChar w:fldCharType="begin"/>
      </w:r>
      <w:r>
        <w:rPr>
          <w:b/>
          <w:bCs/>
          <w:color w:val="auto"/>
        </w:rPr>
        <w:instrText xml:space="preserve"> PAGEREF _Toc5109 \h </w:instrText>
      </w:r>
      <w:r>
        <w:rPr>
          <w:b/>
          <w:bCs/>
          <w:color w:val="auto"/>
        </w:rPr>
        <w:fldChar w:fldCharType="separate"/>
      </w:r>
      <w:r>
        <w:rPr>
          <w:b/>
          <w:bCs/>
          <w:color w:val="auto"/>
        </w:rPr>
        <w:t>- 21 -</w:t>
      </w:r>
      <w:r>
        <w:rPr>
          <w:b/>
          <w:bCs/>
          <w:color w:val="auto"/>
        </w:rPr>
        <w:fldChar w:fldCharType="end"/>
      </w:r>
      <w:r>
        <w:rPr>
          <w:b/>
          <w:bCs/>
          <w:color w:val="auto"/>
        </w:rPr>
        <w:fldChar w:fldCharType="end"/>
      </w:r>
    </w:p>
    <w:p w14:paraId="46DF04F0">
      <w:pPr>
        <w:pStyle w:val="13"/>
        <w:tabs>
          <w:tab w:val="right" w:leader="dot" w:pos="9381"/>
        </w:tabs>
        <w:rPr>
          <w:b/>
          <w:bCs/>
          <w:color w:val="auto"/>
        </w:rPr>
      </w:pPr>
      <w:r>
        <w:rPr>
          <w:color w:val="auto"/>
        </w:rPr>
        <w:fldChar w:fldCharType="begin"/>
      </w:r>
      <w:r>
        <w:rPr>
          <w:color w:val="auto"/>
        </w:rPr>
        <w:instrText xml:space="preserve"> HYPERLINK \l "_Toc18574" </w:instrText>
      </w:r>
      <w:r>
        <w:rPr>
          <w:color w:val="auto"/>
        </w:rPr>
        <w:fldChar w:fldCharType="separate"/>
      </w:r>
      <w:r>
        <w:rPr>
          <w:rFonts w:ascii="黑体" w:hAnsi="黑体" w:eastAsia="黑体" w:cs="楷体_GB2312"/>
          <w:b/>
          <w:bCs/>
          <w:color w:val="auto"/>
          <w:szCs w:val="28"/>
          <w:lang w:val="zh-CN"/>
        </w:rPr>
        <w:t xml:space="preserve">1. </w:t>
      </w:r>
      <w:r>
        <w:rPr>
          <w:rFonts w:hint="eastAsia" w:ascii="黑体" w:hAnsi="黑体" w:eastAsia="黑体" w:cs="楷体_GB2312"/>
          <w:b/>
          <w:bCs/>
          <w:color w:val="auto"/>
          <w:szCs w:val="28"/>
          <w:lang w:val="zh-CN"/>
        </w:rPr>
        <w:t>总则</w:t>
      </w:r>
      <w:r>
        <w:rPr>
          <w:b/>
          <w:bCs/>
          <w:color w:val="auto"/>
        </w:rPr>
        <w:tab/>
      </w:r>
      <w:r>
        <w:rPr>
          <w:b/>
          <w:bCs/>
          <w:color w:val="auto"/>
        </w:rPr>
        <w:fldChar w:fldCharType="begin"/>
      </w:r>
      <w:r>
        <w:rPr>
          <w:b/>
          <w:bCs/>
          <w:color w:val="auto"/>
        </w:rPr>
        <w:instrText xml:space="preserve"> PAGEREF _Toc18574 \h </w:instrText>
      </w:r>
      <w:r>
        <w:rPr>
          <w:b/>
          <w:bCs/>
          <w:color w:val="auto"/>
        </w:rPr>
        <w:fldChar w:fldCharType="separate"/>
      </w:r>
      <w:r>
        <w:rPr>
          <w:b/>
          <w:bCs/>
          <w:color w:val="auto"/>
        </w:rPr>
        <w:t>- 24 -</w:t>
      </w:r>
      <w:r>
        <w:rPr>
          <w:b/>
          <w:bCs/>
          <w:color w:val="auto"/>
        </w:rPr>
        <w:fldChar w:fldCharType="end"/>
      </w:r>
      <w:r>
        <w:rPr>
          <w:b/>
          <w:bCs/>
          <w:color w:val="auto"/>
        </w:rPr>
        <w:fldChar w:fldCharType="end"/>
      </w:r>
    </w:p>
    <w:p w14:paraId="10C113D6">
      <w:pPr>
        <w:pStyle w:val="13"/>
        <w:tabs>
          <w:tab w:val="right" w:leader="dot" w:pos="9381"/>
        </w:tabs>
        <w:rPr>
          <w:b/>
          <w:bCs/>
          <w:color w:val="auto"/>
        </w:rPr>
      </w:pPr>
      <w:r>
        <w:rPr>
          <w:color w:val="auto"/>
        </w:rPr>
        <w:fldChar w:fldCharType="begin"/>
      </w:r>
      <w:r>
        <w:rPr>
          <w:color w:val="auto"/>
        </w:rPr>
        <w:instrText xml:space="preserve"> HYPERLINK \l "_Toc6491" </w:instrText>
      </w:r>
      <w:r>
        <w:rPr>
          <w:color w:val="auto"/>
        </w:rPr>
        <w:fldChar w:fldCharType="separate"/>
      </w:r>
      <w:r>
        <w:rPr>
          <w:rFonts w:ascii="黑体" w:hAnsi="黑体" w:eastAsia="黑体" w:cs="楷体_GB2312"/>
          <w:b/>
          <w:bCs/>
          <w:color w:val="auto"/>
          <w:szCs w:val="28"/>
          <w:lang w:val="zh-CN"/>
        </w:rPr>
        <w:t>2.</w:t>
      </w:r>
      <w:r>
        <w:rPr>
          <w:rFonts w:hint="eastAsia" w:ascii="黑体" w:hAnsi="黑体" w:eastAsia="黑体" w:cs="楷体_GB2312"/>
          <w:b/>
          <w:bCs/>
          <w:color w:val="auto"/>
          <w:szCs w:val="28"/>
          <w:lang w:val="zh-CN"/>
        </w:rPr>
        <w:t>《磋商文件》</w:t>
      </w:r>
      <w:r>
        <w:rPr>
          <w:b/>
          <w:bCs/>
          <w:color w:val="auto"/>
        </w:rPr>
        <w:tab/>
      </w:r>
      <w:r>
        <w:rPr>
          <w:b/>
          <w:bCs/>
          <w:color w:val="auto"/>
        </w:rPr>
        <w:fldChar w:fldCharType="begin"/>
      </w:r>
      <w:r>
        <w:rPr>
          <w:b/>
          <w:bCs/>
          <w:color w:val="auto"/>
        </w:rPr>
        <w:instrText xml:space="preserve"> PAGEREF _Toc6491 \h </w:instrText>
      </w:r>
      <w:r>
        <w:rPr>
          <w:b/>
          <w:bCs/>
          <w:color w:val="auto"/>
        </w:rPr>
        <w:fldChar w:fldCharType="separate"/>
      </w:r>
      <w:r>
        <w:rPr>
          <w:b/>
          <w:bCs/>
          <w:color w:val="auto"/>
        </w:rPr>
        <w:t>- 27 -</w:t>
      </w:r>
      <w:r>
        <w:rPr>
          <w:b/>
          <w:bCs/>
          <w:color w:val="auto"/>
        </w:rPr>
        <w:fldChar w:fldCharType="end"/>
      </w:r>
      <w:r>
        <w:rPr>
          <w:b/>
          <w:bCs/>
          <w:color w:val="auto"/>
        </w:rPr>
        <w:fldChar w:fldCharType="end"/>
      </w:r>
    </w:p>
    <w:p w14:paraId="7437ABFD">
      <w:pPr>
        <w:pStyle w:val="13"/>
        <w:tabs>
          <w:tab w:val="right" w:leader="dot" w:pos="9381"/>
        </w:tabs>
        <w:rPr>
          <w:b/>
          <w:bCs/>
          <w:color w:val="auto"/>
        </w:rPr>
      </w:pPr>
      <w:r>
        <w:rPr>
          <w:color w:val="auto"/>
        </w:rPr>
        <w:fldChar w:fldCharType="begin"/>
      </w:r>
      <w:r>
        <w:rPr>
          <w:color w:val="auto"/>
        </w:rPr>
        <w:instrText xml:space="preserve"> HYPERLINK \l "_Toc16477" </w:instrText>
      </w:r>
      <w:r>
        <w:rPr>
          <w:color w:val="auto"/>
        </w:rPr>
        <w:fldChar w:fldCharType="separate"/>
      </w:r>
      <w:r>
        <w:rPr>
          <w:rFonts w:ascii="黑体" w:hAnsi="黑体" w:eastAsia="黑体" w:cs="楷体_GB2312"/>
          <w:b/>
          <w:bCs/>
          <w:color w:val="auto"/>
          <w:szCs w:val="28"/>
          <w:lang w:val="zh-CN"/>
        </w:rPr>
        <w:t>3.</w:t>
      </w:r>
      <w:r>
        <w:rPr>
          <w:rFonts w:hint="eastAsia" w:ascii="黑体" w:hAnsi="黑体" w:eastAsia="黑体" w:cs="楷体_GB2312"/>
          <w:b/>
          <w:bCs/>
          <w:color w:val="auto"/>
          <w:szCs w:val="28"/>
          <w:lang w:val="zh-CN"/>
        </w:rPr>
        <w:t>《响应文件》</w:t>
      </w:r>
      <w:r>
        <w:rPr>
          <w:b/>
          <w:bCs/>
          <w:color w:val="auto"/>
        </w:rPr>
        <w:tab/>
      </w:r>
      <w:r>
        <w:rPr>
          <w:b/>
          <w:bCs/>
          <w:color w:val="auto"/>
        </w:rPr>
        <w:fldChar w:fldCharType="begin"/>
      </w:r>
      <w:r>
        <w:rPr>
          <w:b/>
          <w:bCs/>
          <w:color w:val="auto"/>
        </w:rPr>
        <w:instrText xml:space="preserve"> PAGEREF _Toc16477 \h </w:instrText>
      </w:r>
      <w:r>
        <w:rPr>
          <w:b/>
          <w:bCs/>
          <w:color w:val="auto"/>
        </w:rPr>
        <w:fldChar w:fldCharType="separate"/>
      </w:r>
      <w:r>
        <w:rPr>
          <w:b/>
          <w:bCs/>
          <w:color w:val="auto"/>
        </w:rPr>
        <w:t>- 28 -</w:t>
      </w:r>
      <w:r>
        <w:rPr>
          <w:b/>
          <w:bCs/>
          <w:color w:val="auto"/>
        </w:rPr>
        <w:fldChar w:fldCharType="end"/>
      </w:r>
      <w:r>
        <w:rPr>
          <w:b/>
          <w:bCs/>
          <w:color w:val="auto"/>
        </w:rPr>
        <w:fldChar w:fldCharType="end"/>
      </w:r>
    </w:p>
    <w:p w14:paraId="42A87A63">
      <w:pPr>
        <w:pStyle w:val="13"/>
        <w:tabs>
          <w:tab w:val="right" w:leader="dot" w:pos="9381"/>
        </w:tabs>
        <w:rPr>
          <w:b/>
          <w:bCs/>
          <w:color w:val="auto"/>
        </w:rPr>
      </w:pPr>
      <w:r>
        <w:rPr>
          <w:color w:val="auto"/>
        </w:rPr>
        <w:fldChar w:fldCharType="begin"/>
      </w:r>
      <w:r>
        <w:rPr>
          <w:color w:val="auto"/>
        </w:rPr>
        <w:instrText xml:space="preserve"> HYPERLINK \l "_Toc3979" </w:instrText>
      </w:r>
      <w:r>
        <w:rPr>
          <w:color w:val="auto"/>
        </w:rPr>
        <w:fldChar w:fldCharType="separate"/>
      </w:r>
      <w:r>
        <w:rPr>
          <w:rFonts w:ascii="黑体" w:hAnsi="黑体" w:eastAsia="黑体" w:cs="楷体_GB2312"/>
          <w:b/>
          <w:bCs/>
          <w:color w:val="auto"/>
          <w:szCs w:val="28"/>
          <w:lang w:val="zh-CN"/>
        </w:rPr>
        <w:t>4.</w:t>
      </w:r>
      <w:r>
        <w:rPr>
          <w:rFonts w:hint="eastAsia" w:ascii="黑体" w:hAnsi="黑体" w:eastAsia="黑体" w:cs="楷体_GB2312"/>
          <w:b/>
          <w:bCs/>
          <w:color w:val="auto"/>
          <w:szCs w:val="28"/>
          <w:lang w:val="zh-CN"/>
        </w:rPr>
        <w:t>《响应文件》的提交</w:t>
      </w:r>
      <w:r>
        <w:rPr>
          <w:b/>
          <w:bCs/>
          <w:color w:val="auto"/>
        </w:rPr>
        <w:tab/>
      </w:r>
      <w:r>
        <w:rPr>
          <w:b/>
          <w:bCs/>
          <w:color w:val="auto"/>
        </w:rPr>
        <w:fldChar w:fldCharType="begin"/>
      </w:r>
      <w:r>
        <w:rPr>
          <w:b/>
          <w:bCs/>
          <w:color w:val="auto"/>
        </w:rPr>
        <w:instrText xml:space="preserve"> PAGEREF _Toc3979 \h </w:instrText>
      </w:r>
      <w:r>
        <w:rPr>
          <w:b/>
          <w:bCs/>
          <w:color w:val="auto"/>
        </w:rPr>
        <w:fldChar w:fldCharType="separate"/>
      </w:r>
      <w:r>
        <w:rPr>
          <w:b/>
          <w:bCs/>
          <w:color w:val="auto"/>
        </w:rPr>
        <w:t>- 31 -</w:t>
      </w:r>
      <w:r>
        <w:rPr>
          <w:b/>
          <w:bCs/>
          <w:color w:val="auto"/>
        </w:rPr>
        <w:fldChar w:fldCharType="end"/>
      </w:r>
      <w:r>
        <w:rPr>
          <w:b/>
          <w:bCs/>
          <w:color w:val="auto"/>
        </w:rPr>
        <w:fldChar w:fldCharType="end"/>
      </w:r>
    </w:p>
    <w:p w14:paraId="012C5B07">
      <w:pPr>
        <w:pStyle w:val="13"/>
        <w:tabs>
          <w:tab w:val="right" w:leader="dot" w:pos="9381"/>
        </w:tabs>
        <w:rPr>
          <w:b/>
          <w:bCs/>
          <w:color w:val="auto"/>
        </w:rPr>
      </w:pPr>
      <w:r>
        <w:rPr>
          <w:color w:val="auto"/>
        </w:rPr>
        <w:fldChar w:fldCharType="begin"/>
      </w:r>
      <w:r>
        <w:rPr>
          <w:color w:val="auto"/>
        </w:rPr>
        <w:instrText xml:space="preserve"> HYPERLINK \l "_Toc25620" </w:instrText>
      </w:r>
      <w:r>
        <w:rPr>
          <w:color w:val="auto"/>
        </w:rPr>
        <w:fldChar w:fldCharType="separate"/>
      </w:r>
      <w:r>
        <w:rPr>
          <w:rFonts w:ascii="黑体" w:hAnsi="黑体" w:eastAsia="黑体" w:cs="楷体_GB2312"/>
          <w:b/>
          <w:bCs/>
          <w:color w:val="auto"/>
          <w:szCs w:val="28"/>
          <w:lang w:val="zh-CN"/>
        </w:rPr>
        <w:t>5.</w:t>
      </w:r>
      <w:r>
        <w:rPr>
          <w:rFonts w:hint="eastAsia" w:ascii="黑体" w:hAnsi="黑体" w:eastAsia="黑体" w:cs="楷体_GB2312"/>
          <w:b/>
          <w:bCs/>
          <w:color w:val="auto"/>
          <w:szCs w:val="28"/>
          <w:lang w:val="zh-CN"/>
        </w:rPr>
        <w:t>《响应文件》的开启</w:t>
      </w:r>
      <w:r>
        <w:rPr>
          <w:b/>
          <w:bCs/>
          <w:color w:val="auto"/>
        </w:rPr>
        <w:tab/>
      </w:r>
      <w:r>
        <w:rPr>
          <w:b/>
          <w:bCs/>
          <w:color w:val="auto"/>
        </w:rPr>
        <w:fldChar w:fldCharType="begin"/>
      </w:r>
      <w:r>
        <w:rPr>
          <w:b/>
          <w:bCs/>
          <w:color w:val="auto"/>
        </w:rPr>
        <w:instrText xml:space="preserve"> PAGEREF _Toc25620 \h </w:instrText>
      </w:r>
      <w:r>
        <w:rPr>
          <w:b/>
          <w:bCs/>
          <w:color w:val="auto"/>
        </w:rPr>
        <w:fldChar w:fldCharType="separate"/>
      </w:r>
      <w:r>
        <w:rPr>
          <w:b/>
          <w:bCs/>
          <w:color w:val="auto"/>
        </w:rPr>
        <w:t>- 32 -</w:t>
      </w:r>
      <w:r>
        <w:rPr>
          <w:b/>
          <w:bCs/>
          <w:color w:val="auto"/>
        </w:rPr>
        <w:fldChar w:fldCharType="end"/>
      </w:r>
      <w:r>
        <w:rPr>
          <w:b/>
          <w:bCs/>
          <w:color w:val="auto"/>
        </w:rPr>
        <w:fldChar w:fldCharType="end"/>
      </w:r>
    </w:p>
    <w:p w14:paraId="694124D5">
      <w:pPr>
        <w:pStyle w:val="13"/>
        <w:tabs>
          <w:tab w:val="right" w:leader="dot" w:pos="9381"/>
        </w:tabs>
        <w:rPr>
          <w:b/>
          <w:bCs/>
          <w:color w:val="auto"/>
        </w:rPr>
      </w:pPr>
      <w:r>
        <w:rPr>
          <w:color w:val="auto"/>
        </w:rPr>
        <w:fldChar w:fldCharType="begin"/>
      </w:r>
      <w:r>
        <w:rPr>
          <w:color w:val="auto"/>
        </w:rPr>
        <w:instrText xml:space="preserve"> HYPERLINK \l "_Toc13358" </w:instrText>
      </w:r>
      <w:r>
        <w:rPr>
          <w:color w:val="auto"/>
        </w:rPr>
        <w:fldChar w:fldCharType="separate"/>
      </w:r>
      <w:r>
        <w:rPr>
          <w:rFonts w:ascii="黑体" w:hAnsi="黑体" w:eastAsia="黑体" w:cs="楷体_GB2312"/>
          <w:b/>
          <w:bCs/>
          <w:color w:val="auto"/>
          <w:szCs w:val="28"/>
          <w:lang w:val="zh-CN"/>
        </w:rPr>
        <w:t xml:space="preserve">6. </w:t>
      </w:r>
      <w:r>
        <w:rPr>
          <w:rFonts w:hint="eastAsia" w:ascii="黑体" w:hAnsi="黑体" w:eastAsia="黑体" w:cs="楷体_GB2312"/>
          <w:b/>
          <w:bCs/>
          <w:color w:val="auto"/>
          <w:szCs w:val="28"/>
          <w:lang w:val="zh-CN"/>
        </w:rPr>
        <w:t>评审</w:t>
      </w:r>
      <w:r>
        <w:rPr>
          <w:b/>
          <w:bCs/>
          <w:color w:val="auto"/>
        </w:rPr>
        <w:tab/>
      </w:r>
      <w:r>
        <w:rPr>
          <w:b/>
          <w:bCs/>
          <w:color w:val="auto"/>
        </w:rPr>
        <w:fldChar w:fldCharType="begin"/>
      </w:r>
      <w:r>
        <w:rPr>
          <w:b/>
          <w:bCs/>
          <w:color w:val="auto"/>
        </w:rPr>
        <w:instrText xml:space="preserve"> PAGEREF _Toc13358 \h </w:instrText>
      </w:r>
      <w:r>
        <w:rPr>
          <w:b/>
          <w:bCs/>
          <w:color w:val="auto"/>
        </w:rPr>
        <w:fldChar w:fldCharType="separate"/>
      </w:r>
      <w:r>
        <w:rPr>
          <w:b/>
          <w:bCs/>
          <w:color w:val="auto"/>
        </w:rPr>
        <w:t>- 32 -</w:t>
      </w:r>
      <w:r>
        <w:rPr>
          <w:b/>
          <w:bCs/>
          <w:color w:val="auto"/>
        </w:rPr>
        <w:fldChar w:fldCharType="end"/>
      </w:r>
      <w:r>
        <w:rPr>
          <w:b/>
          <w:bCs/>
          <w:color w:val="auto"/>
        </w:rPr>
        <w:fldChar w:fldCharType="end"/>
      </w:r>
    </w:p>
    <w:p w14:paraId="2D8CF9D8">
      <w:pPr>
        <w:pStyle w:val="13"/>
        <w:tabs>
          <w:tab w:val="right" w:leader="dot" w:pos="9381"/>
        </w:tabs>
        <w:rPr>
          <w:b/>
          <w:bCs/>
          <w:color w:val="auto"/>
        </w:rPr>
      </w:pPr>
      <w:r>
        <w:rPr>
          <w:color w:val="auto"/>
        </w:rPr>
        <w:fldChar w:fldCharType="begin"/>
      </w:r>
      <w:r>
        <w:rPr>
          <w:color w:val="auto"/>
        </w:rPr>
        <w:instrText xml:space="preserve"> HYPERLINK \l "_Toc24309" </w:instrText>
      </w:r>
      <w:r>
        <w:rPr>
          <w:color w:val="auto"/>
        </w:rPr>
        <w:fldChar w:fldCharType="separate"/>
      </w:r>
      <w:r>
        <w:rPr>
          <w:rFonts w:ascii="黑体" w:hAnsi="黑体" w:eastAsia="黑体" w:cs="楷体_GB2312"/>
          <w:b/>
          <w:bCs/>
          <w:color w:val="auto"/>
          <w:szCs w:val="28"/>
          <w:lang w:val="zh-CN"/>
        </w:rPr>
        <w:t xml:space="preserve">7. </w:t>
      </w:r>
      <w:r>
        <w:rPr>
          <w:rFonts w:hint="eastAsia" w:ascii="黑体" w:hAnsi="黑体" w:eastAsia="黑体" w:cs="楷体_GB2312"/>
          <w:b/>
          <w:bCs/>
          <w:color w:val="auto"/>
          <w:szCs w:val="28"/>
          <w:lang w:val="zh-CN"/>
        </w:rPr>
        <w:t>授予合同</w:t>
      </w:r>
      <w:r>
        <w:rPr>
          <w:b/>
          <w:bCs/>
          <w:color w:val="auto"/>
        </w:rPr>
        <w:tab/>
      </w:r>
      <w:r>
        <w:rPr>
          <w:b/>
          <w:bCs/>
          <w:color w:val="auto"/>
        </w:rPr>
        <w:fldChar w:fldCharType="begin"/>
      </w:r>
      <w:r>
        <w:rPr>
          <w:b/>
          <w:bCs/>
          <w:color w:val="auto"/>
        </w:rPr>
        <w:instrText xml:space="preserve"> PAGEREF _Toc24309 \h </w:instrText>
      </w:r>
      <w:r>
        <w:rPr>
          <w:b/>
          <w:bCs/>
          <w:color w:val="auto"/>
        </w:rPr>
        <w:fldChar w:fldCharType="separate"/>
      </w:r>
      <w:r>
        <w:rPr>
          <w:b/>
          <w:bCs/>
          <w:color w:val="auto"/>
        </w:rPr>
        <w:t>- 33 -</w:t>
      </w:r>
      <w:r>
        <w:rPr>
          <w:b/>
          <w:bCs/>
          <w:color w:val="auto"/>
        </w:rPr>
        <w:fldChar w:fldCharType="end"/>
      </w:r>
      <w:r>
        <w:rPr>
          <w:b/>
          <w:bCs/>
          <w:color w:val="auto"/>
        </w:rPr>
        <w:fldChar w:fldCharType="end"/>
      </w:r>
    </w:p>
    <w:p w14:paraId="798976D8">
      <w:pPr>
        <w:pStyle w:val="13"/>
        <w:tabs>
          <w:tab w:val="right" w:leader="dot" w:pos="9381"/>
        </w:tabs>
        <w:rPr>
          <w:b/>
          <w:bCs/>
          <w:color w:val="auto"/>
        </w:rPr>
      </w:pPr>
      <w:r>
        <w:rPr>
          <w:color w:val="auto"/>
        </w:rPr>
        <w:fldChar w:fldCharType="begin"/>
      </w:r>
      <w:r>
        <w:rPr>
          <w:color w:val="auto"/>
        </w:rPr>
        <w:instrText xml:space="preserve"> HYPERLINK \l "_Toc16588" </w:instrText>
      </w:r>
      <w:r>
        <w:rPr>
          <w:color w:val="auto"/>
        </w:rPr>
        <w:fldChar w:fldCharType="separate"/>
      </w:r>
      <w:r>
        <w:rPr>
          <w:rFonts w:ascii="黑体" w:hAnsi="黑体" w:eastAsia="黑体" w:cs="楷体_GB2312"/>
          <w:b/>
          <w:bCs/>
          <w:color w:val="auto"/>
          <w:szCs w:val="28"/>
          <w:lang w:val="zh-CN"/>
        </w:rPr>
        <w:t xml:space="preserve">8. </w:t>
      </w:r>
      <w:r>
        <w:rPr>
          <w:rFonts w:hint="eastAsia" w:ascii="黑体" w:hAnsi="黑体" w:eastAsia="黑体" w:cs="楷体_GB2312"/>
          <w:b/>
          <w:bCs/>
          <w:color w:val="auto"/>
          <w:szCs w:val="28"/>
          <w:lang w:val="zh-CN"/>
        </w:rPr>
        <w:t>验收</w:t>
      </w:r>
      <w:r>
        <w:rPr>
          <w:b/>
          <w:bCs/>
          <w:color w:val="auto"/>
        </w:rPr>
        <w:tab/>
      </w:r>
      <w:r>
        <w:rPr>
          <w:b/>
          <w:bCs/>
          <w:color w:val="auto"/>
        </w:rPr>
        <w:fldChar w:fldCharType="begin"/>
      </w:r>
      <w:r>
        <w:rPr>
          <w:b/>
          <w:bCs/>
          <w:color w:val="auto"/>
        </w:rPr>
        <w:instrText xml:space="preserve"> PAGEREF _Toc16588 \h </w:instrText>
      </w:r>
      <w:r>
        <w:rPr>
          <w:b/>
          <w:bCs/>
          <w:color w:val="auto"/>
        </w:rPr>
        <w:fldChar w:fldCharType="separate"/>
      </w:r>
      <w:r>
        <w:rPr>
          <w:b/>
          <w:bCs/>
          <w:color w:val="auto"/>
        </w:rPr>
        <w:t>- 34 -</w:t>
      </w:r>
      <w:r>
        <w:rPr>
          <w:b/>
          <w:bCs/>
          <w:color w:val="auto"/>
        </w:rPr>
        <w:fldChar w:fldCharType="end"/>
      </w:r>
      <w:r>
        <w:rPr>
          <w:b/>
          <w:bCs/>
          <w:color w:val="auto"/>
        </w:rPr>
        <w:fldChar w:fldCharType="end"/>
      </w:r>
    </w:p>
    <w:p w14:paraId="2BE8DBBF">
      <w:pPr>
        <w:pStyle w:val="13"/>
        <w:tabs>
          <w:tab w:val="right" w:leader="dot" w:pos="9381"/>
        </w:tabs>
        <w:rPr>
          <w:b/>
          <w:bCs/>
          <w:color w:val="auto"/>
        </w:rPr>
      </w:pPr>
      <w:r>
        <w:rPr>
          <w:color w:val="auto"/>
        </w:rPr>
        <w:fldChar w:fldCharType="begin"/>
      </w:r>
      <w:r>
        <w:rPr>
          <w:color w:val="auto"/>
        </w:rPr>
        <w:instrText xml:space="preserve"> HYPERLINK \l "_Toc6766" </w:instrText>
      </w:r>
      <w:r>
        <w:rPr>
          <w:color w:val="auto"/>
        </w:rPr>
        <w:fldChar w:fldCharType="separate"/>
      </w:r>
      <w:r>
        <w:rPr>
          <w:rFonts w:ascii="黑体" w:hAnsi="黑体" w:eastAsia="黑体" w:cs="楷体_GB2312"/>
          <w:b/>
          <w:bCs/>
          <w:color w:val="auto"/>
          <w:szCs w:val="28"/>
          <w:lang w:val="zh-CN"/>
        </w:rPr>
        <w:t xml:space="preserve">9. </w:t>
      </w:r>
      <w:r>
        <w:rPr>
          <w:rFonts w:hint="eastAsia" w:ascii="黑体" w:hAnsi="黑体" w:eastAsia="黑体" w:cs="楷体_GB2312"/>
          <w:b/>
          <w:bCs/>
          <w:color w:val="auto"/>
          <w:szCs w:val="28"/>
          <w:lang w:val="zh-CN"/>
        </w:rPr>
        <w:t>付款</w:t>
      </w:r>
      <w:r>
        <w:rPr>
          <w:b/>
          <w:bCs/>
          <w:color w:val="auto"/>
        </w:rPr>
        <w:tab/>
      </w:r>
      <w:r>
        <w:rPr>
          <w:b/>
          <w:bCs/>
          <w:color w:val="auto"/>
        </w:rPr>
        <w:fldChar w:fldCharType="begin"/>
      </w:r>
      <w:r>
        <w:rPr>
          <w:b/>
          <w:bCs/>
          <w:color w:val="auto"/>
        </w:rPr>
        <w:instrText xml:space="preserve"> PAGEREF _Toc6766 \h </w:instrText>
      </w:r>
      <w:r>
        <w:rPr>
          <w:b/>
          <w:bCs/>
          <w:color w:val="auto"/>
        </w:rPr>
        <w:fldChar w:fldCharType="separate"/>
      </w:r>
      <w:r>
        <w:rPr>
          <w:b/>
          <w:bCs/>
          <w:color w:val="auto"/>
        </w:rPr>
        <w:t>- 35 -</w:t>
      </w:r>
      <w:r>
        <w:rPr>
          <w:b/>
          <w:bCs/>
          <w:color w:val="auto"/>
        </w:rPr>
        <w:fldChar w:fldCharType="end"/>
      </w:r>
      <w:r>
        <w:rPr>
          <w:b/>
          <w:bCs/>
          <w:color w:val="auto"/>
        </w:rPr>
        <w:fldChar w:fldCharType="end"/>
      </w:r>
    </w:p>
    <w:p w14:paraId="61E9C4FA">
      <w:pPr>
        <w:pStyle w:val="13"/>
        <w:tabs>
          <w:tab w:val="right" w:leader="dot" w:pos="9381"/>
        </w:tabs>
        <w:rPr>
          <w:b/>
          <w:bCs/>
          <w:color w:val="auto"/>
        </w:rPr>
      </w:pPr>
      <w:r>
        <w:rPr>
          <w:color w:val="auto"/>
        </w:rPr>
        <w:fldChar w:fldCharType="begin"/>
      </w:r>
      <w:r>
        <w:rPr>
          <w:color w:val="auto"/>
        </w:rPr>
        <w:instrText xml:space="preserve"> HYPERLINK \l "_Toc24325" </w:instrText>
      </w:r>
      <w:r>
        <w:rPr>
          <w:color w:val="auto"/>
        </w:rPr>
        <w:fldChar w:fldCharType="separate"/>
      </w:r>
      <w:r>
        <w:rPr>
          <w:rFonts w:ascii="黑体" w:hAnsi="黑体" w:eastAsia="黑体" w:cs="楷体_GB2312"/>
          <w:b/>
          <w:bCs/>
          <w:color w:val="auto"/>
          <w:szCs w:val="28"/>
          <w:lang w:val="zh-CN"/>
        </w:rPr>
        <w:t xml:space="preserve">10. </w:t>
      </w:r>
      <w:r>
        <w:rPr>
          <w:rFonts w:hint="eastAsia" w:ascii="黑体" w:hAnsi="黑体" w:eastAsia="黑体" w:cs="楷体_GB2312"/>
          <w:b/>
          <w:bCs/>
          <w:color w:val="auto"/>
          <w:szCs w:val="28"/>
          <w:lang w:val="zh-CN"/>
        </w:rPr>
        <w:t>其他</w:t>
      </w:r>
      <w:r>
        <w:rPr>
          <w:b/>
          <w:bCs/>
          <w:color w:val="auto"/>
        </w:rPr>
        <w:tab/>
      </w:r>
      <w:r>
        <w:rPr>
          <w:b/>
          <w:bCs/>
          <w:color w:val="auto"/>
        </w:rPr>
        <w:fldChar w:fldCharType="begin"/>
      </w:r>
      <w:r>
        <w:rPr>
          <w:b/>
          <w:bCs/>
          <w:color w:val="auto"/>
        </w:rPr>
        <w:instrText xml:space="preserve"> PAGEREF _Toc24325 \h </w:instrText>
      </w:r>
      <w:r>
        <w:rPr>
          <w:b/>
          <w:bCs/>
          <w:color w:val="auto"/>
        </w:rPr>
        <w:fldChar w:fldCharType="separate"/>
      </w:r>
      <w:r>
        <w:rPr>
          <w:b/>
          <w:bCs/>
          <w:color w:val="auto"/>
        </w:rPr>
        <w:t>- 35 -</w:t>
      </w:r>
      <w:r>
        <w:rPr>
          <w:b/>
          <w:bCs/>
          <w:color w:val="auto"/>
        </w:rPr>
        <w:fldChar w:fldCharType="end"/>
      </w:r>
      <w:r>
        <w:rPr>
          <w:b/>
          <w:bCs/>
          <w:color w:val="auto"/>
        </w:rPr>
        <w:fldChar w:fldCharType="end"/>
      </w:r>
    </w:p>
    <w:p w14:paraId="2C0FDDDA">
      <w:pPr>
        <w:pStyle w:val="13"/>
        <w:tabs>
          <w:tab w:val="right" w:leader="dot" w:pos="9381"/>
        </w:tabs>
        <w:rPr>
          <w:b/>
          <w:bCs/>
          <w:color w:val="auto"/>
        </w:rPr>
      </w:pPr>
      <w:r>
        <w:rPr>
          <w:color w:val="auto"/>
        </w:rPr>
        <w:fldChar w:fldCharType="begin"/>
      </w:r>
      <w:r>
        <w:rPr>
          <w:color w:val="auto"/>
        </w:rPr>
        <w:instrText xml:space="preserve"> HYPERLINK \l "_Toc28669" </w:instrText>
      </w:r>
      <w:r>
        <w:rPr>
          <w:color w:val="auto"/>
        </w:rPr>
        <w:fldChar w:fldCharType="separate"/>
      </w:r>
      <w:r>
        <w:rPr>
          <w:rFonts w:ascii="黑体" w:hAnsi="黑体" w:eastAsia="黑体" w:cs="楷体_GB2312"/>
          <w:b/>
          <w:bCs/>
          <w:color w:val="auto"/>
          <w:szCs w:val="28"/>
          <w:lang w:val="zh-CN"/>
        </w:rPr>
        <w:t>1</w:t>
      </w:r>
      <w:r>
        <w:rPr>
          <w:rFonts w:hint="eastAsia" w:ascii="黑体" w:hAnsi="黑体" w:eastAsia="黑体" w:cs="楷体_GB2312"/>
          <w:b/>
          <w:bCs/>
          <w:color w:val="auto"/>
          <w:szCs w:val="28"/>
          <w:lang w:val="zh-CN"/>
        </w:rPr>
        <w:t>1</w:t>
      </w:r>
      <w:r>
        <w:rPr>
          <w:rFonts w:ascii="黑体" w:hAnsi="黑体" w:eastAsia="黑体" w:cs="楷体_GB2312"/>
          <w:b/>
          <w:bCs/>
          <w:color w:val="auto"/>
          <w:szCs w:val="28"/>
          <w:lang w:val="zh-CN"/>
        </w:rPr>
        <w:t>.</w:t>
      </w:r>
      <w:r>
        <w:rPr>
          <w:rFonts w:hint="eastAsia" w:ascii="黑体" w:hAnsi="黑体" w:eastAsia="黑体" w:cs="楷体_GB2312"/>
          <w:b/>
          <w:bCs/>
          <w:color w:val="auto"/>
          <w:szCs w:val="28"/>
          <w:lang w:val="zh-CN"/>
        </w:rPr>
        <w:t xml:space="preserve"> 河南省政府采购合同融资政策告知函</w:t>
      </w:r>
      <w:r>
        <w:rPr>
          <w:b/>
          <w:bCs/>
          <w:color w:val="auto"/>
        </w:rPr>
        <w:tab/>
      </w:r>
      <w:r>
        <w:rPr>
          <w:b/>
          <w:bCs/>
          <w:color w:val="auto"/>
        </w:rPr>
        <w:fldChar w:fldCharType="begin"/>
      </w:r>
      <w:r>
        <w:rPr>
          <w:b/>
          <w:bCs/>
          <w:color w:val="auto"/>
        </w:rPr>
        <w:instrText xml:space="preserve"> PAGEREF _Toc28669 \h </w:instrText>
      </w:r>
      <w:r>
        <w:rPr>
          <w:b/>
          <w:bCs/>
          <w:color w:val="auto"/>
        </w:rPr>
        <w:fldChar w:fldCharType="separate"/>
      </w:r>
      <w:r>
        <w:rPr>
          <w:b/>
          <w:bCs/>
          <w:color w:val="auto"/>
        </w:rPr>
        <w:t>- 36 -</w:t>
      </w:r>
      <w:r>
        <w:rPr>
          <w:b/>
          <w:bCs/>
          <w:color w:val="auto"/>
        </w:rPr>
        <w:fldChar w:fldCharType="end"/>
      </w:r>
      <w:r>
        <w:rPr>
          <w:b/>
          <w:bCs/>
          <w:color w:val="auto"/>
        </w:rPr>
        <w:fldChar w:fldCharType="end"/>
      </w:r>
    </w:p>
    <w:p w14:paraId="722A71C7">
      <w:pPr>
        <w:pStyle w:val="12"/>
        <w:tabs>
          <w:tab w:val="right" w:leader="dot" w:pos="9381"/>
        </w:tabs>
        <w:rPr>
          <w:b/>
          <w:bCs/>
          <w:color w:val="auto"/>
        </w:rPr>
      </w:pPr>
      <w:r>
        <w:rPr>
          <w:color w:val="auto"/>
        </w:rPr>
        <w:fldChar w:fldCharType="begin"/>
      </w:r>
      <w:r>
        <w:rPr>
          <w:color w:val="auto"/>
        </w:rPr>
        <w:instrText xml:space="preserve"> HYPERLINK \l "_Toc26440" </w:instrText>
      </w:r>
      <w:r>
        <w:rPr>
          <w:color w:val="auto"/>
        </w:rPr>
        <w:fldChar w:fldCharType="separate"/>
      </w:r>
      <w:r>
        <w:rPr>
          <w:rFonts w:hint="eastAsia" w:eastAsia="黑体"/>
          <w:b/>
          <w:bCs/>
          <w:color w:val="auto"/>
          <w:szCs w:val="36"/>
          <w:lang w:val="zh-CN"/>
        </w:rPr>
        <w:t>第四章  评审办法</w:t>
      </w:r>
      <w:r>
        <w:rPr>
          <w:b/>
          <w:bCs/>
          <w:color w:val="auto"/>
        </w:rPr>
        <w:tab/>
      </w:r>
      <w:r>
        <w:rPr>
          <w:b/>
          <w:bCs/>
          <w:color w:val="auto"/>
        </w:rPr>
        <w:fldChar w:fldCharType="begin"/>
      </w:r>
      <w:r>
        <w:rPr>
          <w:b/>
          <w:bCs/>
          <w:color w:val="auto"/>
        </w:rPr>
        <w:instrText xml:space="preserve"> PAGEREF _Toc26440 \h </w:instrText>
      </w:r>
      <w:r>
        <w:rPr>
          <w:b/>
          <w:bCs/>
          <w:color w:val="auto"/>
        </w:rPr>
        <w:fldChar w:fldCharType="separate"/>
      </w:r>
      <w:r>
        <w:rPr>
          <w:b/>
          <w:bCs/>
          <w:color w:val="auto"/>
        </w:rPr>
        <w:t>- 37 -</w:t>
      </w:r>
      <w:r>
        <w:rPr>
          <w:b/>
          <w:bCs/>
          <w:color w:val="auto"/>
        </w:rPr>
        <w:fldChar w:fldCharType="end"/>
      </w:r>
      <w:r>
        <w:rPr>
          <w:b/>
          <w:bCs/>
          <w:color w:val="auto"/>
        </w:rPr>
        <w:fldChar w:fldCharType="end"/>
      </w:r>
    </w:p>
    <w:p w14:paraId="28AB5E30">
      <w:pPr>
        <w:pStyle w:val="13"/>
        <w:tabs>
          <w:tab w:val="right" w:leader="dot" w:pos="9381"/>
        </w:tabs>
        <w:rPr>
          <w:b/>
          <w:bCs/>
          <w:color w:val="auto"/>
        </w:rPr>
      </w:pPr>
      <w:r>
        <w:rPr>
          <w:color w:val="auto"/>
        </w:rPr>
        <w:fldChar w:fldCharType="begin"/>
      </w:r>
      <w:r>
        <w:rPr>
          <w:color w:val="auto"/>
        </w:rPr>
        <w:instrText xml:space="preserve"> HYPERLINK \l "_Toc28542" </w:instrText>
      </w:r>
      <w:r>
        <w:rPr>
          <w:color w:val="auto"/>
        </w:rPr>
        <w:fldChar w:fldCharType="separate"/>
      </w:r>
      <w:r>
        <w:rPr>
          <w:rFonts w:hint="eastAsia" w:ascii="黑体" w:hAnsi="黑体" w:eastAsia="黑体"/>
          <w:b/>
          <w:bCs/>
          <w:color w:val="auto"/>
          <w:szCs w:val="28"/>
        </w:rPr>
        <w:t>评审办法前附表</w:t>
      </w:r>
      <w:r>
        <w:rPr>
          <w:b/>
          <w:bCs/>
          <w:color w:val="auto"/>
        </w:rPr>
        <w:tab/>
      </w:r>
      <w:r>
        <w:rPr>
          <w:b/>
          <w:bCs/>
          <w:color w:val="auto"/>
        </w:rPr>
        <w:fldChar w:fldCharType="begin"/>
      </w:r>
      <w:r>
        <w:rPr>
          <w:b/>
          <w:bCs/>
          <w:color w:val="auto"/>
        </w:rPr>
        <w:instrText xml:space="preserve"> PAGEREF _Toc28542 \h </w:instrText>
      </w:r>
      <w:r>
        <w:rPr>
          <w:b/>
          <w:bCs/>
          <w:color w:val="auto"/>
        </w:rPr>
        <w:fldChar w:fldCharType="separate"/>
      </w:r>
      <w:r>
        <w:rPr>
          <w:b/>
          <w:bCs/>
          <w:color w:val="auto"/>
        </w:rPr>
        <w:t>- 37 -</w:t>
      </w:r>
      <w:r>
        <w:rPr>
          <w:b/>
          <w:bCs/>
          <w:color w:val="auto"/>
        </w:rPr>
        <w:fldChar w:fldCharType="end"/>
      </w:r>
      <w:r>
        <w:rPr>
          <w:b/>
          <w:bCs/>
          <w:color w:val="auto"/>
        </w:rPr>
        <w:fldChar w:fldCharType="end"/>
      </w:r>
    </w:p>
    <w:p w14:paraId="344E9E27">
      <w:pPr>
        <w:pStyle w:val="13"/>
        <w:tabs>
          <w:tab w:val="right" w:leader="dot" w:pos="9381"/>
        </w:tabs>
        <w:rPr>
          <w:b/>
          <w:bCs/>
          <w:color w:val="auto"/>
        </w:rPr>
      </w:pPr>
      <w:r>
        <w:rPr>
          <w:color w:val="auto"/>
        </w:rPr>
        <w:fldChar w:fldCharType="begin"/>
      </w:r>
      <w:r>
        <w:rPr>
          <w:color w:val="auto"/>
        </w:rPr>
        <w:instrText xml:space="preserve"> HYPERLINK \l "_Toc1676" </w:instrText>
      </w:r>
      <w:r>
        <w:rPr>
          <w:color w:val="auto"/>
        </w:rPr>
        <w:fldChar w:fldCharType="separate"/>
      </w:r>
      <w:r>
        <w:rPr>
          <w:rFonts w:ascii="黑体" w:hAnsi="黑体" w:eastAsia="黑体" w:cs="楷体_GB2312"/>
          <w:b/>
          <w:bCs/>
          <w:color w:val="auto"/>
          <w:szCs w:val="28"/>
          <w:lang w:val="zh-CN"/>
        </w:rPr>
        <w:t xml:space="preserve">1. </w:t>
      </w:r>
      <w:r>
        <w:rPr>
          <w:rFonts w:hint="eastAsia" w:ascii="黑体" w:hAnsi="黑体" w:eastAsia="黑体" w:cs="楷体_GB2312"/>
          <w:b/>
          <w:bCs/>
          <w:color w:val="auto"/>
          <w:szCs w:val="28"/>
          <w:lang w:val="zh-CN"/>
        </w:rPr>
        <w:t>评审方法（评定成交的标准）</w:t>
      </w:r>
      <w:r>
        <w:rPr>
          <w:b/>
          <w:bCs/>
          <w:color w:val="auto"/>
        </w:rPr>
        <w:tab/>
      </w:r>
      <w:r>
        <w:rPr>
          <w:b/>
          <w:bCs/>
          <w:color w:val="auto"/>
        </w:rPr>
        <w:fldChar w:fldCharType="begin"/>
      </w:r>
      <w:r>
        <w:rPr>
          <w:b/>
          <w:bCs/>
          <w:color w:val="auto"/>
        </w:rPr>
        <w:instrText xml:space="preserve"> PAGEREF _Toc1676 \h </w:instrText>
      </w:r>
      <w:r>
        <w:rPr>
          <w:b/>
          <w:bCs/>
          <w:color w:val="auto"/>
        </w:rPr>
        <w:fldChar w:fldCharType="separate"/>
      </w:r>
      <w:r>
        <w:rPr>
          <w:b/>
          <w:bCs/>
          <w:color w:val="auto"/>
        </w:rPr>
        <w:t>- 41 -</w:t>
      </w:r>
      <w:r>
        <w:rPr>
          <w:b/>
          <w:bCs/>
          <w:color w:val="auto"/>
        </w:rPr>
        <w:fldChar w:fldCharType="end"/>
      </w:r>
      <w:r>
        <w:rPr>
          <w:b/>
          <w:bCs/>
          <w:color w:val="auto"/>
        </w:rPr>
        <w:fldChar w:fldCharType="end"/>
      </w:r>
    </w:p>
    <w:p w14:paraId="21EF0DB3">
      <w:pPr>
        <w:pStyle w:val="13"/>
        <w:tabs>
          <w:tab w:val="right" w:leader="dot" w:pos="9381"/>
        </w:tabs>
        <w:rPr>
          <w:b/>
          <w:bCs/>
          <w:color w:val="auto"/>
        </w:rPr>
      </w:pPr>
      <w:r>
        <w:rPr>
          <w:color w:val="auto"/>
        </w:rPr>
        <w:fldChar w:fldCharType="begin"/>
      </w:r>
      <w:r>
        <w:rPr>
          <w:color w:val="auto"/>
        </w:rPr>
        <w:instrText xml:space="preserve"> HYPERLINK \l "_Toc1158" </w:instrText>
      </w:r>
      <w:r>
        <w:rPr>
          <w:color w:val="auto"/>
        </w:rPr>
        <w:fldChar w:fldCharType="separate"/>
      </w:r>
      <w:r>
        <w:rPr>
          <w:rFonts w:ascii="黑体" w:hAnsi="黑体" w:eastAsia="黑体" w:cs="楷体_GB2312"/>
          <w:b/>
          <w:bCs/>
          <w:color w:val="auto"/>
          <w:szCs w:val="28"/>
          <w:lang w:val="zh-CN"/>
        </w:rPr>
        <w:t xml:space="preserve">2. </w:t>
      </w:r>
      <w:r>
        <w:rPr>
          <w:rFonts w:hint="eastAsia" w:ascii="黑体" w:hAnsi="黑体" w:eastAsia="黑体" w:cs="楷体_GB2312"/>
          <w:b/>
          <w:bCs/>
          <w:color w:val="auto"/>
          <w:szCs w:val="28"/>
          <w:lang w:val="zh-CN"/>
        </w:rPr>
        <w:t>评审标准</w:t>
      </w:r>
      <w:r>
        <w:rPr>
          <w:b/>
          <w:bCs/>
          <w:color w:val="auto"/>
        </w:rPr>
        <w:tab/>
      </w:r>
      <w:r>
        <w:rPr>
          <w:b/>
          <w:bCs/>
          <w:color w:val="auto"/>
        </w:rPr>
        <w:fldChar w:fldCharType="begin"/>
      </w:r>
      <w:r>
        <w:rPr>
          <w:b/>
          <w:bCs/>
          <w:color w:val="auto"/>
        </w:rPr>
        <w:instrText xml:space="preserve"> PAGEREF _Toc1158 \h </w:instrText>
      </w:r>
      <w:r>
        <w:rPr>
          <w:b/>
          <w:bCs/>
          <w:color w:val="auto"/>
        </w:rPr>
        <w:fldChar w:fldCharType="separate"/>
      </w:r>
      <w:r>
        <w:rPr>
          <w:b/>
          <w:bCs/>
          <w:color w:val="auto"/>
        </w:rPr>
        <w:t>- 41 -</w:t>
      </w:r>
      <w:r>
        <w:rPr>
          <w:b/>
          <w:bCs/>
          <w:color w:val="auto"/>
        </w:rPr>
        <w:fldChar w:fldCharType="end"/>
      </w:r>
      <w:r>
        <w:rPr>
          <w:b/>
          <w:bCs/>
          <w:color w:val="auto"/>
        </w:rPr>
        <w:fldChar w:fldCharType="end"/>
      </w:r>
    </w:p>
    <w:p w14:paraId="03E35158">
      <w:pPr>
        <w:pStyle w:val="13"/>
        <w:tabs>
          <w:tab w:val="right" w:leader="dot" w:pos="9381"/>
        </w:tabs>
        <w:rPr>
          <w:b/>
          <w:bCs/>
          <w:color w:val="auto"/>
        </w:rPr>
      </w:pPr>
      <w:r>
        <w:rPr>
          <w:color w:val="auto"/>
        </w:rPr>
        <w:fldChar w:fldCharType="begin"/>
      </w:r>
      <w:r>
        <w:rPr>
          <w:color w:val="auto"/>
        </w:rPr>
        <w:instrText xml:space="preserve"> HYPERLINK \l "_Toc2717" </w:instrText>
      </w:r>
      <w:r>
        <w:rPr>
          <w:color w:val="auto"/>
        </w:rPr>
        <w:fldChar w:fldCharType="separate"/>
      </w:r>
      <w:r>
        <w:rPr>
          <w:rFonts w:ascii="黑体" w:hAnsi="黑体" w:eastAsia="黑体" w:cs="楷体_GB2312"/>
          <w:b/>
          <w:bCs/>
          <w:color w:val="auto"/>
          <w:szCs w:val="28"/>
          <w:lang w:val="zh-CN"/>
        </w:rPr>
        <w:t xml:space="preserve">3. </w:t>
      </w:r>
      <w:r>
        <w:rPr>
          <w:rFonts w:hint="eastAsia" w:ascii="黑体" w:hAnsi="黑体" w:eastAsia="黑体" w:cs="楷体_GB2312"/>
          <w:b/>
          <w:bCs/>
          <w:color w:val="auto"/>
          <w:szCs w:val="28"/>
          <w:lang w:val="zh-CN"/>
        </w:rPr>
        <w:t>评审程序</w:t>
      </w:r>
      <w:r>
        <w:rPr>
          <w:b/>
          <w:bCs/>
          <w:color w:val="auto"/>
        </w:rPr>
        <w:tab/>
      </w:r>
      <w:r>
        <w:rPr>
          <w:b/>
          <w:bCs/>
          <w:color w:val="auto"/>
        </w:rPr>
        <w:fldChar w:fldCharType="begin"/>
      </w:r>
      <w:r>
        <w:rPr>
          <w:b/>
          <w:bCs/>
          <w:color w:val="auto"/>
        </w:rPr>
        <w:instrText xml:space="preserve"> PAGEREF _Toc2717 \h </w:instrText>
      </w:r>
      <w:r>
        <w:rPr>
          <w:b/>
          <w:bCs/>
          <w:color w:val="auto"/>
        </w:rPr>
        <w:fldChar w:fldCharType="separate"/>
      </w:r>
      <w:r>
        <w:rPr>
          <w:b/>
          <w:bCs/>
          <w:color w:val="auto"/>
        </w:rPr>
        <w:t>- 41 -</w:t>
      </w:r>
      <w:r>
        <w:rPr>
          <w:b/>
          <w:bCs/>
          <w:color w:val="auto"/>
        </w:rPr>
        <w:fldChar w:fldCharType="end"/>
      </w:r>
      <w:r>
        <w:rPr>
          <w:b/>
          <w:bCs/>
          <w:color w:val="auto"/>
        </w:rPr>
        <w:fldChar w:fldCharType="end"/>
      </w:r>
    </w:p>
    <w:p w14:paraId="6044831A">
      <w:pPr>
        <w:pStyle w:val="13"/>
        <w:tabs>
          <w:tab w:val="right" w:leader="dot" w:pos="9381"/>
        </w:tabs>
        <w:rPr>
          <w:b/>
          <w:bCs/>
          <w:color w:val="auto"/>
        </w:rPr>
      </w:pPr>
      <w:r>
        <w:rPr>
          <w:color w:val="auto"/>
        </w:rPr>
        <w:fldChar w:fldCharType="begin"/>
      </w:r>
      <w:r>
        <w:rPr>
          <w:color w:val="auto"/>
        </w:rPr>
        <w:instrText xml:space="preserve"> HYPERLINK \l "_Toc23544" </w:instrText>
      </w:r>
      <w:r>
        <w:rPr>
          <w:color w:val="auto"/>
        </w:rPr>
        <w:fldChar w:fldCharType="separate"/>
      </w:r>
      <w:r>
        <w:rPr>
          <w:rFonts w:ascii="黑体" w:hAnsi="黑体" w:eastAsia="黑体" w:cs="楷体_GB2312"/>
          <w:b/>
          <w:bCs/>
          <w:color w:val="auto"/>
          <w:szCs w:val="28"/>
          <w:lang w:val="zh-CN"/>
        </w:rPr>
        <w:t xml:space="preserve">4. </w:t>
      </w:r>
      <w:r>
        <w:rPr>
          <w:rFonts w:hint="eastAsia" w:ascii="黑体" w:hAnsi="黑体" w:eastAsia="黑体" w:cs="楷体_GB2312"/>
          <w:b/>
          <w:bCs/>
          <w:color w:val="auto"/>
          <w:szCs w:val="28"/>
          <w:lang w:val="zh-CN"/>
        </w:rPr>
        <w:t>政府采购促进中小企业发展扶持政策</w:t>
      </w:r>
      <w:r>
        <w:rPr>
          <w:b/>
          <w:bCs/>
          <w:color w:val="auto"/>
        </w:rPr>
        <w:tab/>
      </w:r>
      <w:r>
        <w:rPr>
          <w:b/>
          <w:bCs/>
          <w:color w:val="auto"/>
        </w:rPr>
        <w:fldChar w:fldCharType="begin"/>
      </w:r>
      <w:r>
        <w:rPr>
          <w:b/>
          <w:bCs/>
          <w:color w:val="auto"/>
        </w:rPr>
        <w:instrText xml:space="preserve"> PAGEREF _Toc23544 \h </w:instrText>
      </w:r>
      <w:r>
        <w:rPr>
          <w:b/>
          <w:bCs/>
          <w:color w:val="auto"/>
        </w:rPr>
        <w:fldChar w:fldCharType="separate"/>
      </w:r>
      <w:r>
        <w:rPr>
          <w:b/>
          <w:bCs/>
          <w:color w:val="auto"/>
        </w:rPr>
        <w:t>- 45 -</w:t>
      </w:r>
      <w:r>
        <w:rPr>
          <w:b/>
          <w:bCs/>
          <w:color w:val="auto"/>
        </w:rPr>
        <w:fldChar w:fldCharType="end"/>
      </w:r>
      <w:r>
        <w:rPr>
          <w:b/>
          <w:bCs/>
          <w:color w:val="auto"/>
        </w:rPr>
        <w:fldChar w:fldCharType="end"/>
      </w:r>
    </w:p>
    <w:p w14:paraId="10572A22">
      <w:pPr>
        <w:pStyle w:val="12"/>
        <w:tabs>
          <w:tab w:val="right" w:leader="dot" w:pos="9381"/>
        </w:tabs>
        <w:rPr>
          <w:b/>
          <w:bCs/>
          <w:color w:val="auto"/>
        </w:rPr>
      </w:pPr>
      <w:r>
        <w:rPr>
          <w:color w:val="auto"/>
        </w:rPr>
        <w:fldChar w:fldCharType="begin"/>
      </w:r>
      <w:r>
        <w:rPr>
          <w:color w:val="auto"/>
        </w:rPr>
        <w:instrText xml:space="preserve"> HYPERLINK \l "_Toc20981" </w:instrText>
      </w:r>
      <w:r>
        <w:rPr>
          <w:color w:val="auto"/>
        </w:rPr>
        <w:fldChar w:fldCharType="separate"/>
      </w:r>
      <w:r>
        <w:rPr>
          <w:rFonts w:hint="eastAsia" w:eastAsia="黑体"/>
          <w:b/>
          <w:bCs/>
          <w:color w:val="auto"/>
          <w:szCs w:val="36"/>
          <w:lang w:val="zh-CN"/>
        </w:rPr>
        <w:t>第五章  合同主要条款</w:t>
      </w:r>
      <w:r>
        <w:rPr>
          <w:b/>
          <w:bCs/>
          <w:color w:val="auto"/>
        </w:rPr>
        <w:tab/>
      </w:r>
      <w:r>
        <w:rPr>
          <w:b/>
          <w:bCs/>
          <w:color w:val="auto"/>
        </w:rPr>
        <w:fldChar w:fldCharType="begin"/>
      </w:r>
      <w:r>
        <w:rPr>
          <w:b/>
          <w:bCs/>
          <w:color w:val="auto"/>
        </w:rPr>
        <w:instrText xml:space="preserve"> PAGEREF _Toc20981 \h </w:instrText>
      </w:r>
      <w:r>
        <w:rPr>
          <w:b/>
          <w:bCs/>
          <w:color w:val="auto"/>
        </w:rPr>
        <w:fldChar w:fldCharType="separate"/>
      </w:r>
      <w:r>
        <w:rPr>
          <w:b/>
          <w:bCs/>
          <w:color w:val="auto"/>
        </w:rPr>
        <w:t>- 49 -</w:t>
      </w:r>
      <w:r>
        <w:rPr>
          <w:b/>
          <w:bCs/>
          <w:color w:val="auto"/>
        </w:rPr>
        <w:fldChar w:fldCharType="end"/>
      </w:r>
      <w:r>
        <w:rPr>
          <w:b/>
          <w:bCs/>
          <w:color w:val="auto"/>
        </w:rPr>
        <w:fldChar w:fldCharType="end"/>
      </w:r>
    </w:p>
    <w:p w14:paraId="45B61652">
      <w:pPr>
        <w:pStyle w:val="12"/>
        <w:tabs>
          <w:tab w:val="right" w:leader="dot" w:pos="9381"/>
        </w:tabs>
        <w:rPr>
          <w:color w:val="auto"/>
        </w:rPr>
      </w:pPr>
      <w:r>
        <w:rPr>
          <w:color w:val="auto"/>
        </w:rPr>
        <w:fldChar w:fldCharType="begin"/>
      </w:r>
      <w:r>
        <w:rPr>
          <w:color w:val="auto"/>
        </w:rPr>
        <w:instrText xml:space="preserve"> HYPERLINK \l "_Toc13059" </w:instrText>
      </w:r>
      <w:r>
        <w:rPr>
          <w:color w:val="auto"/>
        </w:rPr>
        <w:fldChar w:fldCharType="separate"/>
      </w:r>
      <w:r>
        <w:rPr>
          <w:rFonts w:hint="eastAsia" w:eastAsia="黑体"/>
          <w:b/>
          <w:bCs/>
          <w:color w:val="auto"/>
          <w:szCs w:val="36"/>
        </w:rPr>
        <w:t xml:space="preserve">第六章 </w:t>
      </w:r>
      <w:r>
        <w:rPr>
          <w:rFonts w:hint="eastAsia" w:eastAsia="黑体"/>
          <w:b/>
          <w:bCs/>
          <w:color w:val="auto"/>
          <w:szCs w:val="36"/>
          <w:lang w:val="zh-CN"/>
        </w:rPr>
        <w:t>《响应文件》格式</w:t>
      </w:r>
      <w:r>
        <w:rPr>
          <w:b/>
          <w:bCs/>
          <w:color w:val="auto"/>
        </w:rPr>
        <w:tab/>
      </w:r>
      <w:r>
        <w:rPr>
          <w:b/>
          <w:bCs/>
          <w:color w:val="auto"/>
        </w:rPr>
        <w:fldChar w:fldCharType="begin"/>
      </w:r>
      <w:r>
        <w:rPr>
          <w:b/>
          <w:bCs/>
          <w:color w:val="auto"/>
        </w:rPr>
        <w:instrText xml:space="preserve"> PAGEREF _Toc13059 \h </w:instrText>
      </w:r>
      <w:r>
        <w:rPr>
          <w:b/>
          <w:bCs/>
          <w:color w:val="auto"/>
        </w:rPr>
        <w:fldChar w:fldCharType="separate"/>
      </w:r>
      <w:r>
        <w:rPr>
          <w:b/>
          <w:bCs/>
          <w:color w:val="auto"/>
        </w:rPr>
        <w:t>- 53 -</w:t>
      </w:r>
      <w:r>
        <w:rPr>
          <w:b/>
          <w:bCs/>
          <w:color w:val="auto"/>
        </w:rPr>
        <w:fldChar w:fldCharType="end"/>
      </w:r>
      <w:r>
        <w:rPr>
          <w:b/>
          <w:bCs/>
          <w:color w:val="auto"/>
        </w:rPr>
        <w:fldChar w:fldCharType="end"/>
      </w:r>
    </w:p>
    <w:p w14:paraId="7AB28ECA">
      <w:pPr>
        <w:pStyle w:val="50"/>
        <w:spacing w:before="0" w:line="360" w:lineRule="auto"/>
        <w:jc w:val="center"/>
        <w:rPr>
          <w:color w:val="auto"/>
        </w:rPr>
      </w:pPr>
      <w:r>
        <w:rPr>
          <w:color w:val="auto"/>
        </w:rPr>
        <w:fldChar w:fldCharType="end"/>
      </w:r>
    </w:p>
    <w:p w14:paraId="562D7E3A">
      <w:pPr>
        <w:widowControl w:val="0"/>
        <w:snapToGrid w:val="0"/>
        <w:spacing w:line="660" w:lineRule="exact"/>
        <w:ind w:firstLine="607" w:firstLineChars="168"/>
        <w:rPr>
          <w:rFonts w:ascii="黑体" w:hAnsi="黑体" w:eastAsia="黑体"/>
          <w:b/>
          <w:color w:val="auto"/>
          <w:sz w:val="36"/>
          <w:szCs w:val="36"/>
        </w:rPr>
      </w:pPr>
    </w:p>
    <w:p w14:paraId="283F6AF8">
      <w:pPr>
        <w:widowControl w:val="0"/>
        <w:snapToGrid w:val="0"/>
        <w:spacing w:line="560" w:lineRule="exact"/>
        <w:ind w:firstLine="181" w:firstLineChars="50"/>
        <w:rPr>
          <w:rFonts w:ascii="黑体" w:eastAsia="黑体"/>
          <w:b/>
          <w:color w:val="auto"/>
          <w:sz w:val="36"/>
          <w:szCs w:val="36"/>
        </w:rPr>
        <w:sectPr>
          <w:pgSz w:w="11905" w:h="16837"/>
          <w:pgMar w:top="1418" w:right="1106" w:bottom="1418" w:left="1418" w:header="567" w:footer="567" w:gutter="0"/>
          <w:pgNumType w:fmt="numberInDash" w:start="0"/>
          <w:cols w:space="720" w:num="1"/>
          <w:titlePg/>
        </w:sectPr>
      </w:pPr>
    </w:p>
    <w:p w14:paraId="7892065A">
      <w:pPr>
        <w:widowControl w:val="0"/>
        <w:snapToGrid w:val="0"/>
        <w:spacing w:line="276" w:lineRule="auto"/>
        <w:jc w:val="left"/>
        <w:rPr>
          <w:rFonts w:ascii="宋体"/>
          <w:b/>
          <w:color w:val="auto"/>
          <w:sz w:val="24"/>
          <w:szCs w:val="24"/>
        </w:rPr>
      </w:pPr>
    </w:p>
    <w:p w14:paraId="1290E7AD">
      <w:pPr>
        <w:widowControl w:val="0"/>
        <w:snapToGrid w:val="0"/>
        <w:spacing w:line="560" w:lineRule="exact"/>
        <w:jc w:val="center"/>
        <w:outlineLvl w:val="0"/>
        <w:rPr>
          <w:color w:val="auto"/>
          <w:sz w:val="36"/>
          <w:szCs w:val="36"/>
        </w:rPr>
      </w:pPr>
      <w:bookmarkStart w:id="0" w:name="_Toc17653"/>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竞争性磋商公告</w:t>
      </w:r>
      <w:bookmarkEnd w:id="0"/>
    </w:p>
    <w:p w14:paraId="3A4AECA6">
      <w:pPr>
        <w:widowControl w:val="0"/>
        <w:snapToGrid w:val="0"/>
        <w:spacing w:line="276" w:lineRule="auto"/>
        <w:ind w:firstLine="567"/>
        <w:rPr>
          <w:rFonts w:asciiTheme="minorEastAsia" w:hAnsiTheme="minorEastAsia" w:eastAsiaTheme="minorEastAsia" w:cstheme="minorEastAsia"/>
          <w:color w:val="auto"/>
          <w:sz w:val="24"/>
          <w:szCs w:val="24"/>
        </w:rPr>
      </w:pPr>
    </w:p>
    <w:p w14:paraId="737BB433">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1.项目基本情况：</w:t>
      </w:r>
    </w:p>
    <w:p w14:paraId="31B24C18">
      <w:pPr>
        <w:widowControl w:val="0"/>
        <w:adjustRightInd w:val="0"/>
        <w:snapToGrid w:val="0"/>
        <w:spacing w:line="360" w:lineRule="auto"/>
        <w:ind w:firstLine="540" w:firstLineChars="225"/>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1.1 项目编号：安财磋商采购-2025-</w:t>
      </w:r>
      <w:r>
        <w:rPr>
          <w:rFonts w:hint="eastAsia" w:asciiTheme="minorEastAsia" w:hAnsiTheme="minorEastAsia" w:eastAsiaTheme="minorEastAsia" w:cstheme="minorEastAsia"/>
          <w:color w:val="auto"/>
          <w:sz w:val="24"/>
          <w:szCs w:val="24"/>
          <w:lang w:val="en-US" w:eastAsia="zh-CN"/>
        </w:rPr>
        <w:t>44</w:t>
      </w:r>
    </w:p>
    <w:p w14:paraId="5AD3C970">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 项目名称：安阳市人民医院安阳市医保数据分析系统技术服务项目</w:t>
      </w:r>
    </w:p>
    <w:p w14:paraId="79A420A2">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 采购方式：竞争性磋商</w:t>
      </w:r>
    </w:p>
    <w:p w14:paraId="106713C8">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1.4 预算金额：521500元 </w:t>
      </w:r>
    </w:p>
    <w:p w14:paraId="38544453">
      <w:pPr>
        <w:adjustRightInd w:val="0"/>
        <w:snapToGrid w:val="0"/>
        <w:spacing w:line="360" w:lineRule="auto"/>
        <w:ind w:firstLine="540" w:firstLineChars="225"/>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1.5 采购需求：安阳市医保数据分析系统技术服务，详见《磋商文件》“基本技术服务要求”。</w:t>
      </w:r>
    </w:p>
    <w:p w14:paraId="54E94EB6">
      <w:pPr>
        <w:adjustRightInd w:val="0"/>
        <w:snapToGrid w:val="0"/>
        <w:spacing w:line="360" w:lineRule="auto"/>
        <w:ind w:firstLine="540" w:firstLineChars="22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 合同履行期限：建设期：合同签订日起</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日内，运维期：验收合格日起3年。</w:t>
      </w:r>
    </w:p>
    <w:p w14:paraId="28AE709C">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 本项目（是/否）接受联合体投标：否</w:t>
      </w:r>
    </w:p>
    <w:p w14:paraId="1D20434E">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 是否接受进口产品：否</w:t>
      </w:r>
    </w:p>
    <w:p w14:paraId="052757CF">
      <w:pPr>
        <w:widowControl w:val="0"/>
        <w:snapToGrid w:val="0"/>
        <w:spacing w:line="276" w:lineRule="auto"/>
        <w:ind w:firstLine="567"/>
        <w:rPr>
          <w:color w:val="auto"/>
          <w:sz w:val="24"/>
          <w:szCs w:val="24"/>
        </w:rPr>
      </w:pPr>
    </w:p>
    <w:p w14:paraId="20F7545D">
      <w:pPr>
        <w:widowControl w:val="0"/>
        <w:snapToGrid w:val="0"/>
        <w:spacing w:line="360" w:lineRule="auto"/>
        <w:ind w:firstLine="562" w:firstLineChars="200"/>
        <w:rPr>
          <w:rFonts w:ascii="黑体" w:hAnsi="黑体" w:eastAsia="黑体"/>
          <w:b/>
          <w:color w:val="auto"/>
          <w:sz w:val="28"/>
          <w:szCs w:val="28"/>
        </w:rPr>
      </w:pPr>
      <w:bookmarkStart w:id="1" w:name="_Toc28359080"/>
      <w:bookmarkStart w:id="2" w:name="_Toc28359003"/>
      <w:bookmarkStart w:id="3" w:name="_Toc35393791"/>
      <w:bookmarkStart w:id="4" w:name="_Toc35393622"/>
      <w:r>
        <w:rPr>
          <w:rFonts w:hint="eastAsia" w:ascii="黑体" w:hAnsi="黑体" w:eastAsia="黑体"/>
          <w:b/>
          <w:color w:val="auto"/>
          <w:sz w:val="28"/>
          <w:szCs w:val="28"/>
        </w:rPr>
        <w:t>2.申请人的资格要求：</w:t>
      </w:r>
      <w:bookmarkEnd w:id="1"/>
      <w:bookmarkEnd w:id="2"/>
      <w:bookmarkEnd w:id="3"/>
      <w:bookmarkEnd w:id="4"/>
    </w:p>
    <w:p w14:paraId="0AC31B45">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 满足《中华人民共和国政府采购法》第二十二条规定；</w:t>
      </w:r>
    </w:p>
    <w:p w14:paraId="42219BE0">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 落实政府采购政策需满足的资格要求：无专项资格要求。</w:t>
      </w:r>
    </w:p>
    <w:p w14:paraId="0B9868B2">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 本项目的特定资格要求：</w:t>
      </w:r>
    </w:p>
    <w:p w14:paraId="5ECD0F84">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 满足《中华人民共和国政府采购法》第二十二条第一款规定的供应商基础性资格要求；供应商自行承诺并承担后果，承诺书不实的，按《政府采购法》有关提供虚假材料的有关规定给予处罚。</w:t>
      </w:r>
    </w:p>
    <w:p w14:paraId="10F7DEF2">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 对供应商的限制性规定：</w:t>
      </w:r>
    </w:p>
    <w:p w14:paraId="0B0340FB">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供应商应当无不良信用记录。(在“信用中国”&lt;www.creditchina.gov.cn&gt;网站的“失信被执行人”和“重大税收违法失信主体”及“中国政府采购网”&lt;www.ccgp.gov.cn&gt;网站的“政府采购严重违法失信行为记录名单”</w:t>
      </w:r>
      <w:r>
        <w:rPr>
          <w:rFonts w:hint="eastAsia" w:ascii="宋体" w:hAnsi="宋体"/>
          <w:b/>
          <w:bCs/>
          <w:color w:val="auto"/>
          <w:sz w:val="24"/>
          <w:szCs w:val="24"/>
        </w:rPr>
        <w:t>均未列入</w:t>
      </w:r>
      <w:r>
        <w:rPr>
          <w:rFonts w:hint="eastAsia" w:ascii="宋体" w:hAnsi="宋体"/>
          <w:color w:val="auto"/>
          <w:sz w:val="24"/>
          <w:szCs w:val="24"/>
        </w:rPr>
        <w:t>)</w:t>
      </w:r>
    </w:p>
    <w:p w14:paraId="07B2E681">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p>
    <w:p w14:paraId="59CC822F">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66CCC5F4">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48EAE58F">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2.3.3 项目的特定资格要求：</w:t>
      </w:r>
    </w:p>
    <w:p w14:paraId="256A2B38">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（1）具备法律、行政法规规定的其他条件。</w:t>
      </w:r>
    </w:p>
    <w:p w14:paraId="4EFD625D">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（2）本项目（是/否）接受联合体投标：同“项目基本情况”1.7款要求。</w:t>
      </w:r>
    </w:p>
    <w:p w14:paraId="4EF9BFA8">
      <w:pPr>
        <w:widowControl w:val="0"/>
        <w:adjustRightInd w:val="0"/>
        <w:snapToGrid w:val="0"/>
        <w:spacing w:before="120" w:beforeLines="50" w:line="360" w:lineRule="auto"/>
        <w:ind w:firstLine="72" w:firstLineChars="3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注：（1）所有证照均应为有效的证照；文中“近”、“前”指距投标截止时间。</w:t>
      </w:r>
    </w:p>
    <w:p w14:paraId="4C70AA73">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（2）资格证明材料（文件）应附于《响应文件》中并经供应商电子签章。供应商对资格证明材料（文件）真实性有效合规承担责任，提供虚假材料的为无效投标并将进一步追究其责任。</w:t>
      </w:r>
    </w:p>
    <w:p w14:paraId="61197BD1">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（3）本项目采取资格后审，开标后，将由磋商小组对供应商的资格证明材料（文件）进行资格审核，未按要求逐一提供、或资格审查不合格的为无效投标，供应商应自负其风险费用。</w:t>
      </w:r>
    </w:p>
    <w:p w14:paraId="0A30F075">
      <w:pPr>
        <w:widowControl w:val="0"/>
        <w:snapToGrid w:val="0"/>
        <w:spacing w:line="276" w:lineRule="auto"/>
        <w:ind w:firstLine="567"/>
        <w:rPr>
          <w:b/>
          <w:color w:val="auto"/>
          <w:sz w:val="24"/>
          <w:szCs w:val="24"/>
        </w:rPr>
      </w:pPr>
    </w:p>
    <w:p w14:paraId="4B77E71D">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3.获取《磋商文件》：</w:t>
      </w:r>
    </w:p>
    <w:p w14:paraId="5468203E">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 时间：2025年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日至2025年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日，每天上午00：00至12：00，下午12：00至23：59（北京时间，法定节假日除外）</w:t>
      </w:r>
    </w:p>
    <w:p w14:paraId="01F8A42C">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 地点：登陆安阳市公共资源交易中心网站（https：//ggzy.anyang.gov.cn），在【交易主体登录】入口完成注册。凭数字证书下载《磋商文件》及其它资料。</w:t>
      </w:r>
    </w:p>
    <w:p w14:paraId="3C9D3CED">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 方式：网上下载；具体流程请查询安阳市公共资源交易中心网站-服务指南-操作手册-《安阳市公共资源交易系统投标人（供应商）操作手册》。如有技术问题请咨询400-998-0000、0372-3387739。</w:t>
      </w:r>
    </w:p>
    <w:p w14:paraId="46136BB6">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 售价：0元</w:t>
      </w:r>
    </w:p>
    <w:p w14:paraId="35E451A1">
      <w:pPr>
        <w:widowControl w:val="0"/>
        <w:snapToGrid w:val="0"/>
        <w:spacing w:line="276" w:lineRule="auto"/>
        <w:ind w:firstLine="567"/>
        <w:rPr>
          <w:color w:val="auto"/>
          <w:sz w:val="24"/>
          <w:szCs w:val="24"/>
        </w:rPr>
      </w:pPr>
    </w:p>
    <w:p w14:paraId="4A77933D">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4.首次《响应文件》提交：</w:t>
      </w:r>
    </w:p>
    <w:p w14:paraId="4BF9A6EF">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 截止时间：2025年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日09时00分（北京时间）</w:t>
      </w:r>
    </w:p>
    <w:p w14:paraId="3B252EEB">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 地点：于安阳市公共资源交易平台网上上传递交、并由供应商在规定时间远程解密。</w:t>
      </w:r>
    </w:p>
    <w:p w14:paraId="46C66AE1">
      <w:pPr>
        <w:widowControl w:val="0"/>
        <w:snapToGrid w:val="0"/>
        <w:spacing w:line="276" w:lineRule="auto"/>
        <w:ind w:firstLine="567"/>
        <w:rPr>
          <w:rFonts w:asciiTheme="minorEastAsia" w:hAnsiTheme="minorEastAsia" w:eastAsiaTheme="minorEastAsia" w:cstheme="minorEastAsia"/>
          <w:color w:val="auto"/>
          <w:sz w:val="24"/>
          <w:szCs w:val="24"/>
        </w:rPr>
      </w:pPr>
    </w:p>
    <w:p w14:paraId="7EBF77ED">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5.首次《响应文件》开启：</w:t>
      </w:r>
    </w:p>
    <w:p w14:paraId="71B450DD">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时间：2025年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日09时00分（北京时间）</w:t>
      </w:r>
    </w:p>
    <w:p w14:paraId="12723C29">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地点（管理员网上操作地点）：安阳市公共资源交易中心五楼集</w:t>
      </w:r>
      <w:r>
        <w:rPr>
          <w:rFonts w:hint="eastAsia" w:asciiTheme="minorEastAsia" w:hAnsiTheme="minorEastAsia" w:eastAsiaTheme="minorEastAsia" w:cstheme="minorEastAsia"/>
          <w:color w:val="auto"/>
          <w:sz w:val="24"/>
          <w:szCs w:val="24"/>
          <w:highlight w:val="none"/>
        </w:rPr>
        <w:t>中开标大厅</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室</w:t>
      </w:r>
      <w:r>
        <w:rPr>
          <w:rFonts w:hint="eastAsia" w:asciiTheme="minorEastAsia" w:hAnsiTheme="minorEastAsia" w:eastAsiaTheme="minorEastAsia" w:cstheme="minorEastAsia"/>
          <w:color w:val="auto"/>
          <w:sz w:val="24"/>
          <w:szCs w:val="24"/>
        </w:rPr>
        <w:t>（安阳市文峰大道东段559号安阳市民之家）。</w:t>
      </w:r>
    </w:p>
    <w:p w14:paraId="6FD7E516">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5.3 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0D21D32E">
      <w:pPr>
        <w:widowControl w:val="0"/>
        <w:snapToGrid w:val="0"/>
        <w:spacing w:line="276" w:lineRule="auto"/>
        <w:ind w:firstLine="567"/>
        <w:rPr>
          <w:rFonts w:asciiTheme="minorEastAsia" w:hAnsiTheme="minorEastAsia" w:eastAsiaTheme="minorEastAsia" w:cstheme="minorEastAsia"/>
          <w:b/>
          <w:color w:val="auto"/>
          <w:sz w:val="24"/>
          <w:szCs w:val="24"/>
        </w:rPr>
      </w:pPr>
    </w:p>
    <w:p w14:paraId="70154176">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6.发布公告的媒介及公告期限：</w:t>
      </w:r>
    </w:p>
    <w:p w14:paraId="4CE86A6E">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本项目在“河南省政府采购网（安阳市政府采购网）”、“全国公共资源交易平台（河南省·安阳市）安阳市公共资源交易中心”、“安阳招标采购网”网站上同期发布。公告期限为三个工作日。</w:t>
      </w:r>
    </w:p>
    <w:p w14:paraId="7AB08A41">
      <w:pPr>
        <w:widowControl w:val="0"/>
        <w:snapToGrid w:val="0"/>
        <w:spacing w:line="276" w:lineRule="auto"/>
        <w:ind w:firstLine="567"/>
        <w:rPr>
          <w:rFonts w:ascii="宋体" w:hAnsi="宋体" w:cs="宋体"/>
          <w:color w:val="auto"/>
          <w:sz w:val="24"/>
          <w:szCs w:val="24"/>
        </w:rPr>
      </w:pPr>
    </w:p>
    <w:p w14:paraId="130784A0">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7.其他补充事宜：</w:t>
      </w:r>
    </w:p>
    <w:p w14:paraId="1DDF331A">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 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6AECD9FD">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 政府采购合同融资：</w:t>
      </w:r>
    </w:p>
    <w:p w14:paraId="4BC14279">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2419A474">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 网上电子交易系统网址：</w:t>
      </w:r>
    </w:p>
    <w:p w14:paraId="1BD2F5D3">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7.3.1 全国公共资源交易平台（河南省·安阳市）</w:t>
      </w:r>
      <w:r>
        <w:rPr>
          <w:color w:val="auto"/>
        </w:rPr>
        <w:fldChar w:fldCharType="begin"/>
      </w:r>
      <w:r>
        <w:rPr>
          <w:color w:val="auto"/>
        </w:rPr>
        <w:instrText xml:space="preserve"> HYPERLINK "https://ggzy.anyang.gov.cn" </w:instrText>
      </w:r>
      <w:r>
        <w:rPr>
          <w:color w:val="auto"/>
        </w:rPr>
        <w:fldChar w:fldCharType="separate"/>
      </w:r>
      <w:r>
        <w:rPr>
          <w:rFonts w:hint="eastAsia" w:asciiTheme="minorEastAsia" w:hAnsiTheme="minorEastAsia" w:eastAsiaTheme="minorEastAsia" w:cstheme="minorEastAsia"/>
          <w:color w:val="auto"/>
          <w:sz w:val="24"/>
          <w:szCs w:val="24"/>
        </w:rPr>
        <w:t>https：//ggzy.anyang.gov.cn</w:t>
      </w:r>
      <w:r>
        <w:rPr>
          <w:rFonts w:hint="eastAsia" w:asciiTheme="minorEastAsia" w:hAnsiTheme="minorEastAsia" w:eastAsiaTheme="minorEastAsia" w:cstheme="minorEastAsia"/>
          <w:color w:val="auto"/>
          <w:sz w:val="24"/>
          <w:szCs w:val="24"/>
        </w:rPr>
        <w:fldChar w:fldCharType="end"/>
      </w:r>
    </w:p>
    <w:p w14:paraId="019B234A">
      <w:pPr>
        <w:widowControl w:val="0"/>
        <w:adjustRightInd w:val="0"/>
        <w:snapToGrid w:val="0"/>
        <w:spacing w:line="360" w:lineRule="auto"/>
        <w:ind w:firstLine="1260" w:firstLineChars="5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《磋商文件》简称“安阳市公共资源交易平台”</w:t>
      </w:r>
    </w:p>
    <w:p w14:paraId="1BE81FD2">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7.3.2 投标文件制作软件：在安阳市公共资源交易平台进行下载、并安装投标文件制作工具，查看《磋商文件》和制作电子《响应文件》。</w:t>
      </w:r>
    </w:p>
    <w:p w14:paraId="2FF8F843">
      <w:pPr>
        <w:widowControl w:val="0"/>
        <w:snapToGrid w:val="0"/>
        <w:spacing w:line="276" w:lineRule="auto"/>
        <w:ind w:firstLine="567"/>
        <w:rPr>
          <w:rFonts w:asciiTheme="minorEastAsia" w:hAnsiTheme="minorEastAsia" w:eastAsiaTheme="minorEastAsia" w:cstheme="minorEastAsia"/>
          <w:b/>
          <w:color w:val="auto"/>
          <w:sz w:val="24"/>
          <w:szCs w:val="24"/>
        </w:rPr>
      </w:pPr>
    </w:p>
    <w:p w14:paraId="380F8A8C">
      <w:pPr>
        <w:widowControl w:val="0"/>
        <w:snapToGrid w:val="0"/>
        <w:spacing w:line="360" w:lineRule="auto"/>
        <w:ind w:firstLine="562" w:firstLineChars="200"/>
        <w:rPr>
          <w:rFonts w:ascii="黑体" w:hAnsi="黑体" w:eastAsia="黑体"/>
          <w:b/>
          <w:color w:val="auto"/>
          <w:sz w:val="28"/>
          <w:szCs w:val="28"/>
        </w:rPr>
      </w:pPr>
      <w:bookmarkStart w:id="5" w:name="_Toc35393627"/>
      <w:bookmarkStart w:id="6" w:name="_Toc35393796"/>
      <w:bookmarkStart w:id="7" w:name="_Toc28359008"/>
      <w:bookmarkStart w:id="8" w:name="_Toc28359085"/>
      <w:r>
        <w:rPr>
          <w:rFonts w:hint="eastAsia" w:ascii="黑体" w:hAnsi="黑体" w:eastAsia="黑体"/>
          <w:b/>
          <w:color w:val="auto"/>
          <w:sz w:val="28"/>
          <w:szCs w:val="28"/>
        </w:rPr>
        <w:t>8.凡对本次采购提出询问，请按以下方式联系</w:t>
      </w:r>
      <w:bookmarkEnd w:id="5"/>
      <w:bookmarkEnd w:id="6"/>
      <w:bookmarkEnd w:id="7"/>
      <w:bookmarkEnd w:id="8"/>
      <w:r>
        <w:rPr>
          <w:rFonts w:hint="eastAsia" w:ascii="黑体" w:hAnsi="黑体" w:eastAsia="黑体"/>
          <w:b/>
          <w:color w:val="auto"/>
          <w:sz w:val="28"/>
          <w:szCs w:val="28"/>
        </w:rPr>
        <w:t>：</w:t>
      </w:r>
    </w:p>
    <w:p w14:paraId="25E8F154">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 采购人信息：</w:t>
      </w:r>
    </w:p>
    <w:p w14:paraId="3C593328">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名称：安阳市人民医院</w:t>
      </w:r>
    </w:p>
    <w:p w14:paraId="6BA53228">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地址：安阳市人民医院东院区　       　</w:t>
      </w:r>
    </w:p>
    <w:p w14:paraId="4C0C0C3E">
      <w:pPr>
        <w:widowControl w:val="0"/>
        <w:adjustRightInd w:val="0"/>
        <w:snapToGrid w:val="0"/>
        <w:spacing w:line="360" w:lineRule="auto"/>
        <w:ind w:firstLine="1020" w:firstLineChars="425"/>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曹俊强</w:t>
      </w:r>
    </w:p>
    <w:p w14:paraId="22D3DBA4">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16637231122</w:t>
      </w:r>
      <w:r>
        <w:rPr>
          <w:rFonts w:hint="eastAsia" w:asciiTheme="minorEastAsia" w:hAnsiTheme="minorEastAsia" w:eastAsiaTheme="minorEastAsia" w:cstheme="minorEastAsia"/>
          <w:color w:val="auto"/>
          <w:sz w:val="24"/>
          <w:szCs w:val="24"/>
          <w:highlight w:val="none"/>
        </w:rPr>
        <w:t xml:space="preserve">      </w:t>
      </w:r>
      <w:bookmarkStart w:id="9" w:name="_Toc28359009"/>
      <w:bookmarkStart w:id="10" w:name="_Toc28359086"/>
    </w:p>
    <w:p w14:paraId="257E9DD5">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采购代理机构信息</w:t>
      </w:r>
      <w:bookmarkEnd w:id="9"/>
      <w:bookmarkEnd w:id="10"/>
      <w:r>
        <w:rPr>
          <w:rFonts w:hint="eastAsia" w:asciiTheme="minorEastAsia" w:hAnsiTheme="minorEastAsia" w:eastAsiaTheme="minorEastAsia" w:cstheme="minorEastAsia"/>
          <w:color w:val="auto"/>
          <w:sz w:val="24"/>
          <w:szCs w:val="24"/>
          <w:highlight w:val="none"/>
        </w:rPr>
        <w:t>：</w:t>
      </w:r>
    </w:p>
    <w:p w14:paraId="30D22F8B">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名称：安阳市方正招标采购服务有限责任公司</w:t>
      </w:r>
    </w:p>
    <w:p w14:paraId="166F47F9">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地址：安阳市安钢大道39号（人民大道北地下道口南侧、安阳粮食产业集团-后</w:t>
      </w:r>
    </w:p>
    <w:p w14:paraId="01A8566E">
      <w:pPr>
        <w:widowControl w:val="0"/>
        <w:adjustRightInd w:val="0"/>
        <w:snapToGrid w:val="0"/>
        <w:spacing w:line="360" w:lineRule="auto"/>
        <w:ind w:firstLine="1740" w:firstLineChars="7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院办公楼五楼）</w:t>
      </w:r>
    </w:p>
    <w:p w14:paraId="4BD21FB8">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联系人：彭亚松 </w:t>
      </w:r>
    </w:p>
    <w:p w14:paraId="63E677BF">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bookmarkStart w:id="11" w:name="_Toc28359010"/>
      <w:bookmarkStart w:id="12" w:name="_Toc28359087"/>
      <w:r>
        <w:rPr>
          <w:rFonts w:hint="eastAsia" w:asciiTheme="minorEastAsia" w:hAnsiTheme="minorEastAsia" w:eastAsiaTheme="minorEastAsia" w:cstheme="minorEastAsia"/>
          <w:color w:val="auto"/>
          <w:sz w:val="24"/>
          <w:szCs w:val="24"/>
          <w:highlight w:val="none"/>
        </w:rPr>
        <w:t>0372-2283981、2283982   财务部咨询电话：0372-2283983　</w:t>
      </w:r>
    </w:p>
    <w:p w14:paraId="227B9384">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 项目联系方式</w:t>
      </w:r>
      <w:bookmarkEnd w:id="11"/>
      <w:bookmarkEnd w:id="12"/>
      <w:r>
        <w:rPr>
          <w:rFonts w:hint="eastAsia" w:asciiTheme="minorEastAsia" w:hAnsiTheme="minorEastAsia" w:eastAsiaTheme="minorEastAsia" w:cstheme="minorEastAsia"/>
          <w:color w:val="auto"/>
          <w:sz w:val="24"/>
          <w:szCs w:val="24"/>
          <w:highlight w:val="none"/>
        </w:rPr>
        <w:t>：</w:t>
      </w:r>
    </w:p>
    <w:p w14:paraId="31422F49">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项目联系人：彭亚松  </w:t>
      </w:r>
    </w:p>
    <w:p w14:paraId="50325C6E">
      <w:pPr>
        <w:widowControl w:val="0"/>
        <w:adjustRightInd w:val="0"/>
        <w:snapToGrid w:val="0"/>
        <w:spacing w:line="360" w:lineRule="auto"/>
        <w:ind w:firstLine="1020" w:firstLineChars="4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联系方式：15670030799</w:t>
      </w:r>
    </w:p>
    <w:p w14:paraId="2B379B3C">
      <w:pPr>
        <w:widowControl w:val="0"/>
        <w:snapToGrid w:val="0"/>
        <w:spacing w:line="276" w:lineRule="auto"/>
        <w:ind w:firstLine="567"/>
        <w:rPr>
          <w:color w:val="auto"/>
          <w:sz w:val="24"/>
          <w:szCs w:val="24"/>
          <w:highlight w:val="none"/>
        </w:rPr>
      </w:pPr>
    </w:p>
    <w:p w14:paraId="1EA766AB">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 xml:space="preserve">9.网上电子交易提示： </w:t>
      </w:r>
    </w:p>
    <w:p w14:paraId="53CDBFD0">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注册：供应商完成注册、办理数字证书后，方可获取《磋商文件》、参加投标等网上电子交易。</w:t>
      </w:r>
    </w:p>
    <w:p w14:paraId="5FFB90F9">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 获取《磋商文件》：按本章第3条“获取《磋商文件》”办理。</w:t>
      </w:r>
    </w:p>
    <w:p w14:paraId="072C978E">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9.3 《磋商文件》的澄清与修改或延期的通知：按《磋商文件》第三章“供应商须知”第2条“2.4 《磋商文件》的澄清、修改、补充的通知，及相应时间变更”执行。</w:t>
      </w:r>
      <w:r>
        <w:rPr>
          <w:rFonts w:hint="eastAsia" w:asciiTheme="minorEastAsia" w:hAnsiTheme="minorEastAsia" w:eastAsiaTheme="minorEastAsia" w:cstheme="minorEastAsia"/>
          <w:b/>
          <w:bCs/>
          <w:color w:val="auto"/>
          <w:sz w:val="24"/>
          <w:szCs w:val="24"/>
          <w:highlight w:val="none"/>
          <w:lang w:val="zh-CN"/>
        </w:rPr>
        <w:t>不另行通知</w:t>
      </w:r>
      <w:r>
        <w:rPr>
          <w:rFonts w:hint="eastAsia" w:asciiTheme="minorEastAsia" w:hAnsiTheme="minorEastAsia" w:eastAsiaTheme="minorEastAsia" w:cstheme="minorEastAsia"/>
          <w:color w:val="auto"/>
          <w:sz w:val="24"/>
          <w:szCs w:val="24"/>
          <w:highlight w:val="none"/>
          <w:lang w:val="zh-CN"/>
        </w:rPr>
        <w:t>。</w:t>
      </w:r>
    </w:p>
    <w:p w14:paraId="708B0CB1">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9.4 《响应文件》编制：在安阳市公共资源交易中心网站下载并安装投标文件制作工具、进行编制，按《磋商文件》第三章“供应商须知”第3条第7款“3.7 《响应文件》的编制”执行，</w:t>
      </w:r>
      <w:r>
        <w:rPr>
          <w:rFonts w:hint="eastAsia" w:asciiTheme="minorEastAsia" w:hAnsiTheme="minorEastAsia" w:eastAsiaTheme="minorEastAsia" w:cstheme="minorEastAsia"/>
          <w:b/>
          <w:bCs/>
          <w:color w:val="auto"/>
          <w:sz w:val="24"/>
          <w:szCs w:val="24"/>
          <w:highlight w:val="none"/>
          <w:lang w:val="zh-CN"/>
        </w:rPr>
        <w:t>否则将会评定为无效投标</w:t>
      </w:r>
      <w:r>
        <w:rPr>
          <w:rFonts w:hint="eastAsia" w:asciiTheme="minorEastAsia" w:hAnsiTheme="minorEastAsia" w:eastAsiaTheme="minorEastAsia" w:cstheme="minorEastAsia"/>
          <w:color w:val="auto"/>
          <w:sz w:val="24"/>
          <w:szCs w:val="24"/>
          <w:highlight w:val="none"/>
          <w:lang w:val="zh-CN"/>
        </w:rPr>
        <w:t>。</w:t>
      </w:r>
    </w:p>
    <w:p w14:paraId="5DE075F4">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9.5 《响应文件》递交：供应商应在投标截止时间前上传加密的电子《响应文件》（*.aytf）到安阳市公共资源交易平台，按《磋商文件》第三章“供应商须知”第4条“4.《响应文件》</w:t>
      </w:r>
      <w:r>
        <w:rPr>
          <w:rFonts w:hint="eastAsia" w:asciiTheme="minorEastAsia" w:hAnsiTheme="minorEastAsia" w:eastAsiaTheme="minorEastAsia" w:cstheme="minorEastAsia"/>
          <w:color w:val="auto"/>
          <w:sz w:val="24"/>
          <w:szCs w:val="24"/>
        </w:rPr>
        <w:t>的提交”执行，</w:t>
      </w:r>
      <w:r>
        <w:rPr>
          <w:rFonts w:hint="eastAsia" w:asciiTheme="minorEastAsia" w:hAnsiTheme="minorEastAsia" w:eastAsiaTheme="minorEastAsia" w:cstheme="minorEastAsia"/>
          <w:b/>
          <w:bCs/>
          <w:color w:val="auto"/>
          <w:sz w:val="24"/>
          <w:szCs w:val="24"/>
          <w:lang w:val="zh-CN"/>
        </w:rPr>
        <w:t>否则将会评定为无效投标</w:t>
      </w:r>
      <w:r>
        <w:rPr>
          <w:rFonts w:hint="eastAsia" w:asciiTheme="minorEastAsia" w:hAnsiTheme="minorEastAsia" w:eastAsiaTheme="minorEastAsia" w:cstheme="minorEastAsia"/>
          <w:color w:val="auto"/>
          <w:sz w:val="24"/>
          <w:szCs w:val="24"/>
          <w:lang w:val="zh-CN"/>
        </w:rPr>
        <w:t>。</w:t>
      </w:r>
    </w:p>
    <w:p w14:paraId="5035E8A0">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9.6 《响应文件》解密：本项目采用远程不见面交易的模式；开标当日，供应商无需到开标现场参加开标会议，</w:t>
      </w:r>
      <w:r>
        <w:rPr>
          <w:rFonts w:hint="eastAsia" w:ascii="宋体" w:hAnsi="宋体"/>
          <w:color w:val="auto"/>
          <w:sz w:val="24"/>
        </w:rPr>
        <w:t>供应商</w:t>
      </w:r>
      <w:r>
        <w:rPr>
          <w:rFonts w:hint="eastAsia" w:asciiTheme="minorEastAsia" w:hAnsiTheme="minorEastAsia" w:eastAsiaTheme="minorEastAsia" w:cstheme="minorEastAsia"/>
          <w:color w:val="auto"/>
          <w:sz w:val="24"/>
          <w:szCs w:val="24"/>
        </w:rPr>
        <w:t>应当在投标截止时间前，使用IE浏览器登录到安阳市公共资源交易不见面开标大厅，点击右上方【登录】按钮进入，在线准时参加开标活动并进行《响应文件》解密等。按《磋商文件》第三章“供应商须知”第5条“5.《响应文件》的开启”执行，</w:t>
      </w:r>
      <w:r>
        <w:rPr>
          <w:rFonts w:hint="eastAsia" w:asciiTheme="minorEastAsia" w:hAnsiTheme="minorEastAsia" w:eastAsiaTheme="minorEastAsia" w:cstheme="minorEastAsia"/>
          <w:b/>
          <w:bCs/>
          <w:color w:val="auto"/>
          <w:sz w:val="24"/>
          <w:szCs w:val="24"/>
          <w:lang w:val="zh-CN"/>
        </w:rPr>
        <w:t>否则其投标将不能被接受</w:t>
      </w:r>
      <w:r>
        <w:rPr>
          <w:rFonts w:hint="eastAsia" w:asciiTheme="minorEastAsia" w:hAnsiTheme="minorEastAsia" w:eastAsiaTheme="minorEastAsia" w:cstheme="minorEastAsia"/>
          <w:color w:val="auto"/>
          <w:sz w:val="24"/>
          <w:szCs w:val="24"/>
          <w:lang w:val="zh-CN"/>
        </w:rPr>
        <w:t>。</w:t>
      </w:r>
    </w:p>
    <w:p w14:paraId="3EF5A215">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9.7 磋商：时刻关注电子开标室并及时澄清，有效供应商在规定时间进行最后报价，按《磋商文件》第四章“评审办法”执行，</w:t>
      </w:r>
      <w:r>
        <w:rPr>
          <w:rFonts w:hint="eastAsia" w:asciiTheme="minorEastAsia" w:hAnsiTheme="minorEastAsia" w:eastAsiaTheme="minorEastAsia" w:cstheme="minorEastAsia"/>
          <w:b/>
          <w:bCs/>
          <w:color w:val="auto"/>
          <w:sz w:val="24"/>
          <w:szCs w:val="24"/>
          <w:lang w:val="zh-CN"/>
        </w:rPr>
        <w:t>否则将会评定为无效投标</w:t>
      </w:r>
      <w:r>
        <w:rPr>
          <w:rFonts w:hint="eastAsia" w:asciiTheme="minorEastAsia" w:hAnsiTheme="minorEastAsia" w:eastAsiaTheme="minorEastAsia" w:cstheme="minorEastAsia"/>
          <w:color w:val="auto"/>
          <w:sz w:val="24"/>
          <w:szCs w:val="24"/>
          <w:lang w:val="zh-CN"/>
        </w:rPr>
        <w:t>。</w:t>
      </w:r>
    </w:p>
    <w:p w14:paraId="244EC39D">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9.8</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zh-CN"/>
        </w:rPr>
        <w:t>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093C2A4E">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①锁名称变更前建议先在交易系统修改单位名称为最新的，变更完成后再变更锁名称，以免因名称不一致无法正常登录系统。</w:t>
      </w:r>
    </w:p>
    <w:p w14:paraId="2B44A631">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②锁延期之后序列号可能会发生改变（视不同CA而定），变更后需要重新进行绑定。</w:t>
      </w:r>
    </w:p>
    <w:p w14:paraId="5B56A0CC">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9.9 政府采购电子交易中，供应商网上电子交易的系统操作规则应以安阳市公共资源交易平台即时发布的相关规则为准。</w:t>
      </w:r>
    </w:p>
    <w:p w14:paraId="6FB00E0C">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9.10 望供应商充分熟悉网上电子交易操作流程、以便有效投标。</w:t>
      </w:r>
    </w:p>
    <w:p w14:paraId="22755CB3">
      <w:pPr>
        <w:widowControl w:val="0"/>
        <w:adjustRightInd w:val="0"/>
        <w:snapToGrid w:val="0"/>
        <w:spacing w:line="360" w:lineRule="auto"/>
        <w:ind w:firstLine="540" w:firstLineChars="22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9.11 如遇到网上系统操作等技术问题请咨询400-998-0000、0372-3387739。</w:t>
      </w:r>
    </w:p>
    <w:p w14:paraId="351CF1F3">
      <w:pPr>
        <w:widowControl w:val="0"/>
        <w:tabs>
          <w:tab w:val="left" w:pos="39"/>
          <w:tab w:val="left" w:pos="96"/>
        </w:tabs>
        <w:snapToGrid w:val="0"/>
        <w:spacing w:line="360" w:lineRule="auto"/>
        <w:ind w:firstLine="540" w:firstLineChars="225"/>
        <w:rPr>
          <w:rFonts w:ascii="宋体"/>
          <w:color w:val="auto"/>
          <w:sz w:val="24"/>
          <w:szCs w:val="24"/>
        </w:rPr>
      </w:pPr>
    </w:p>
    <w:p w14:paraId="38A819ED">
      <w:pPr>
        <w:widowControl w:val="0"/>
        <w:tabs>
          <w:tab w:val="left" w:pos="39"/>
          <w:tab w:val="left" w:pos="96"/>
        </w:tabs>
        <w:snapToGrid w:val="0"/>
        <w:spacing w:line="360" w:lineRule="auto"/>
        <w:ind w:firstLine="540" w:firstLineChars="225"/>
        <w:rPr>
          <w:rFonts w:ascii="宋体"/>
          <w:color w:val="auto"/>
          <w:sz w:val="24"/>
          <w:szCs w:val="24"/>
        </w:rPr>
      </w:pPr>
    </w:p>
    <w:p w14:paraId="43B24C06">
      <w:pPr>
        <w:widowControl w:val="0"/>
        <w:tabs>
          <w:tab w:val="left" w:pos="39"/>
          <w:tab w:val="left" w:pos="96"/>
        </w:tabs>
        <w:snapToGrid w:val="0"/>
        <w:spacing w:line="360" w:lineRule="auto"/>
        <w:ind w:firstLine="540" w:firstLineChars="225"/>
        <w:rPr>
          <w:rFonts w:ascii="宋体"/>
          <w:color w:val="auto"/>
          <w:sz w:val="24"/>
          <w:szCs w:val="24"/>
        </w:rPr>
      </w:pPr>
    </w:p>
    <w:p w14:paraId="5F8B61EF">
      <w:pPr>
        <w:widowControl w:val="0"/>
        <w:tabs>
          <w:tab w:val="left" w:pos="39"/>
          <w:tab w:val="left" w:pos="96"/>
        </w:tabs>
        <w:snapToGrid w:val="0"/>
        <w:spacing w:line="360" w:lineRule="auto"/>
        <w:ind w:firstLine="5220" w:firstLineChars="2175"/>
        <w:jc w:val="right"/>
        <w:rPr>
          <w:rFonts w:ascii="宋体"/>
          <w:color w:val="auto"/>
          <w:sz w:val="24"/>
          <w:szCs w:val="24"/>
        </w:rPr>
      </w:pPr>
      <w:r>
        <w:rPr>
          <w:rFonts w:hint="eastAsia" w:ascii="宋体"/>
          <w:color w:val="auto"/>
          <w:sz w:val="24"/>
          <w:szCs w:val="24"/>
        </w:rPr>
        <w:t>安阳市方正招标采购服务有限责任公司</w:t>
      </w:r>
    </w:p>
    <w:p w14:paraId="24CF6D22">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二〇二五年</w:t>
      </w:r>
      <w:r>
        <w:rPr>
          <w:rFonts w:hint="eastAsia" w:ascii="宋体"/>
          <w:color w:val="auto"/>
          <w:sz w:val="24"/>
          <w:szCs w:val="24"/>
          <w:lang w:eastAsia="zh-CN"/>
        </w:rPr>
        <w:t>九</w:t>
      </w:r>
      <w:r>
        <w:rPr>
          <w:rFonts w:hint="eastAsia" w:ascii="宋体"/>
          <w:color w:val="auto"/>
          <w:sz w:val="24"/>
          <w:szCs w:val="24"/>
        </w:rPr>
        <w:t>月</w:t>
      </w:r>
      <w:r>
        <w:rPr>
          <w:rFonts w:hint="eastAsia" w:ascii="宋体"/>
          <w:color w:val="auto"/>
          <w:sz w:val="24"/>
          <w:szCs w:val="24"/>
          <w:lang w:eastAsia="zh-CN"/>
        </w:rPr>
        <w:t>十五</w:t>
      </w:r>
      <w:r>
        <w:rPr>
          <w:rFonts w:hint="eastAsia" w:ascii="宋体"/>
          <w:color w:val="auto"/>
          <w:sz w:val="24"/>
          <w:szCs w:val="24"/>
        </w:rPr>
        <w:t>日</w:t>
      </w:r>
    </w:p>
    <w:p w14:paraId="320A2292">
      <w:pPr>
        <w:widowControl w:val="0"/>
        <w:snapToGrid w:val="0"/>
        <w:spacing w:line="276" w:lineRule="auto"/>
        <w:jc w:val="left"/>
        <w:rPr>
          <w:rFonts w:asciiTheme="minorEastAsia" w:hAnsiTheme="minorEastAsia" w:eastAsiaTheme="minorEastAsia" w:cstheme="minorEastAsia"/>
          <w:color w:val="auto"/>
          <w:sz w:val="24"/>
          <w:szCs w:val="24"/>
        </w:rPr>
      </w:pPr>
      <w:r>
        <w:rPr>
          <w:rFonts w:ascii="黑体" w:hAnsi="黑体" w:eastAsia="黑体"/>
          <w:b/>
          <w:color w:val="auto"/>
          <w:sz w:val="28"/>
          <w:szCs w:val="28"/>
          <w:highlight w:val="yellow"/>
        </w:rPr>
        <w:br w:type="page"/>
      </w:r>
    </w:p>
    <w:p w14:paraId="7326FE6F">
      <w:pPr>
        <w:widowControl w:val="0"/>
        <w:snapToGrid w:val="0"/>
        <w:spacing w:line="560" w:lineRule="exact"/>
        <w:jc w:val="center"/>
        <w:outlineLvl w:val="0"/>
        <w:rPr>
          <w:rFonts w:eastAsia="黑体"/>
          <w:b/>
          <w:color w:val="auto"/>
          <w:sz w:val="36"/>
          <w:szCs w:val="36"/>
        </w:rPr>
      </w:pPr>
      <w:bookmarkStart w:id="13" w:name="_Toc26373"/>
      <w:r>
        <w:rPr>
          <w:rFonts w:hint="eastAsia" w:eastAsia="黑体"/>
          <w:b/>
          <w:color w:val="auto"/>
          <w:sz w:val="36"/>
          <w:szCs w:val="36"/>
        </w:rPr>
        <w:t>第二章  采购项目及技术服务要求</w:t>
      </w:r>
      <w:bookmarkEnd w:id="13"/>
    </w:p>
    <w:p w14:paraId="440E3EFA">
      <w:pPr>
        <w:widowControl w:val="0"/>
        <w:snapToGrid w:val="0"/>
        <w:spacing w:line="276" w:lineRule="auto"/>
        <w:jc w:val="left"/>
        <w:rPr>
          <w:rFonts w:asciiTheme="minorEastAsia" w:hAnsiTheme="minorEastAsia" w:eastAsiaTheme="minorEastAsia" w:cstheme="minorEastAsia"/>
          <w:b/>
          <w:color w:val="auto"/>
          <w:sz w:val="24"/>
          <w:szCs w:val="24"/>
        </w:rPr>
      </w:pPr>
    </w:p>
    <w:p w14:paraId="5A147A4C">
      <w:pPr>
        <w:widowControl w:val="0"/>
        <w:snapToGrid w:val="0"/>
        <w:spacing w:line="360" w:lineRule="auto"/>
        <w:ind w:firstLine="422" w:firstLineChars="150"/>
        <w:jc w:val="left"/>
        <w:outlineLvl w:val="1"/>
        <w:rPr>
          <w:rFonts w:ascii="黑体" w:hAnsi="黑体" w:eastAsia="黑体"/>
          <w:b/>
          <w:color w:val="auto"/>
          <w:sz w:val="28"/>
        </w:rPr>
      </w:pPr>
      <w:bookmarkStart w:id="14" w:name="_Toc30552"/>
      <w:r>
        <w:rPr>
          <w:rFonts w:ascii="黑体" w:hAnsi="黑体" w:eastAsia="黑体"/>
          <w:b/>
          <w:color w:val="auto"/>
          <w:sz w:val="28"/>
        </w:rPr>
        <w:t xml:space="preserve">1. </w:t>
      </w:r>
      <w:r>
        <w:rPr>
          <w:rFonts w:hint="eastAsia" w:ascii="黑体" w:hAnsi="黑体" w:eastAsia="黑体"/>
          <w:b/>
          <w:color w:val="auto"/>
          <w:sz w:val="28"/>
        </w:rPr>
        <w:t>采购项目、标段（包）划分、磋商报价</w:t>
      </w:r>
      <w:bookmarkEnd w:id="14"/>
    </w:p>
    <w:p w14:paraId="4C915168">
      <w:pPr>
        <w:widowControl w:val="0"/>
        <w:snapToGrid w:val="0"/>
        <w:spacing w:line="360" w:lineRule="auto"/>
        <w:ind w:firstLine="482" w:firstLineChars="200"/>
        <w:jc w:val="left"/>
        <w:rPr>
          <w:rFonts w:ascii="宋体" w:hAnsi="宋体"/>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 xml:space="preserve"> 采购项目名称</w:t>
      </w:r>
      <w:r>
        <w:rPr>
          <w:rFonts w:hint="eastAsia"/>
          <w:color w:val="auto"/>
          <w:sz w:val="24"/>
          <w:szCs w:val="24"/>
        </w:rPr>
        <w:t>：</w:t>
      </w:r>
      <w:r>
        <w:rPr>
          <w:rFonts w:hint="eastAsia" w:ascii="宋体" w:hAnsi="宋体"/>
          <w:color w:val="auto"/>
          <w:sz w:val="24"/>
          <w:szCs w:val="24"/>
        </w:rPr>
        <w:t>安阳市人民医院安阳市医保数据分析系统技术服务项目</w:t>
      </w:r>
    </w:p>
    <w:p w14:paraId="64BE6EE1">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标段（包）划分及其交验期、服务地点</w:t>
      </w:r>
      <w:r>
        <w:rPr>
          <w:rFonts w:hint="eastAsia"/>
          <w:color w:val="auto"/>
          <w:sz w:val="24"/>
          <w:szCs w:val="24"/>
        </w:rPr>
        <w:t>：</w:t>
      </w:r>
      <w:r>
        <w:rPr>
          <w:rFonts w:hint="eastAsia" w:asciiTheme="minorEastAsia" w:hAnsiTheme="minorEastAsia" w:eastAsiaTheme="minorEastAsia" w:cstheme="minorEastAsia"/>
          <w:color w:val="auto"/>
          <w:sz w:val="24"/>
          <w:szCs w:val="24"/>
        </w:rPr>
        <w:t>本次采购项目划分为1个标段（包）</w:t>
      </w:r>
    </w:p>
    <w:tbl>
      <w:tblPr>
        <w:tblStyle w:val="17"/>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785"/>
        <w:gridCol w:w="2722"/>
        <w:gridCol w:w="1881"/>
        <w:gridCol w:w="1562"/>
      </w:tblGrid>
      <w:tr w14:paraId="3275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88" w:type="dxa"/>
            <w:gridSpan w:val="5"/>
            <w:vAlign w:val="center"/>
          </w:tcPr>
          <w:p w14:paraId="42195FC3">
            <w:pPr>
              <w:widowControl w:val="0"/>
              <w:snapToGrid w:val="0"/>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标段（包）一览表</w:t>
            </w:r>
          </w:p>
        </w:tc>
      </w:tr>
      <w:tr w14:paraId="112C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8" w:type="dxa"/>
            <w:vAlign w:val="center"/>
          </w:tcPr>
          <w:p w14:paraId="78AFFEA2">
            <w:pPr>
              <w:widowControl w:val="0"/>
              <w:snapToGrid w:val="0"/>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项目名称</w:t>
            </w:r>
          </w:p>
        </w:tc>
        <w:tc>
          <w:tcPr>
            <w:tcW w:w="1785" w:type="dxa"/>
            <w:vAlign w:val="center"/>
          </w:tcPr>
          <w:p w14:paraId="0C0BDE80">
            <w:pPr>
              <w:widowControl w:val="0"/>
              <w:snapToGrid w:val="0"/>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标段（包）名称</w:t>
            </w:r>
          </w:p>
        </w:tc>
        <w:tc>
          <w:tcPr>
            <w:tcW w:w="2722" w:type="dxa"/>
            <w:vAlign w:val="center"/>
          </w:tcPr>
          <w:p w14:paraId="103D24D1">
            <w:pPr>
              <w:widowControl w:val="0"/>
              <w:snapToGrid w:val="0"/>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标段（包）内容（范围）</w:t>
            </w:r>
          </w:p>
        </w:tc>
        <w:tc>
          <w:tcPr>
            <w:tcW w:w="1881" w:type="dxa"/>
            <w:vAlign w:val="center"/>
          </w:tcPr>
          <w:p w14:paraId="1CBB6384">
            <w:pPr>
              <w:widowControl w:val="0"/>
              <w:snapToGrid w:val="0"/>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合同履行期限</w:t>
            </w:r>
          </w:p>
          <w:p w14:paraId="241A813A">
            <w:pPr>
              <w:widowControl w:val="0"/>
              <w:snapToGrid w:val="0"/>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（交验期）</w:t>
            </w:r>
          </w:p>
        </w:tc>
        <w:tc>
          <w:tcPr>
            <w:tcW w:w="1562" w:type="dxa"/>
            <w:vAlign w:val="center"/>
          </w:tcPr>
          <w:p w14:paraId="60B3D934">
            <w:pPr>
              <w:widowControl w:val="0"/>
              <w:snapToGrid w:val="0"/>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服务地点</w:t>
            </w:r>
          </w:p>
        </w:tc>
      </w:tr>
      <w:tr w14:paraId="4193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838" w:type="dxa"/>
            <w:vAlign w:val="center"/>
          </w:tcPr>
          <w:p w14:paraId="6045C424">
            <w:pPr>
              <w:widowControl w:val="0"/>
              <w:snapToGrid w:val="0"/>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安阳市人民医院安阳市医保数据分析系统技术服务项目</w:t>
            </w:r>
          </w:p>
        </w:tc>
        <w:tc>
          <w:tcPr>
            <w:tcW w:w="1785" w:type="dxa"/>
            <w:vAlign w:val="center"/>
          </w:tcPr>
          <w:p w14:paraId="363C5FF5">
            <w:pPr>
              <w:widowControl w:val="0"/>
              <w:snapToGrid w:val="0"/>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同项目名称</w:t>
            </w:r>
          </w:p>
        </w:tc>
        <w:tc>
          <w:tcPr>
            <w:tcW w:w="2722" w:type="dxa"/>
            <w:vAlign w:val="center"/>
          </w:tcPr>
          <w:p w14:paraId="473C34D4">
            <w:pPr>
              <w:widowControl w:val="0"/>
              <w:snapToGrid w:val="0"/>
              <w:spacing w:line="24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见“第二章第2条：标段（包）内容（范围）及技术服务要求”</w:t>
            </w:r>
          </w:p>
        </w:tc>
        <w:tc>
          <w:tcPr>
            <w:tcW w:w="1881" w:type="dxa"/>
            <w:vAlign w:val="center"/>
          </w:tcPr>
          <w:p w14:paraId="768FB621">
            <w:pPr>
              <w:widowControl w:val="0"/>
              <w:snapToGrid w:val="0"/>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见竞争性磋商公告1.6</w:t>
            </w:r>
          </w:p>
        </w:tc>
        <w:tc>
          <w:tcPr>
            <w:tcW w:w="1562" w:type="dxa"/>
            <w:vAlign w:val="center"/>
          </w:tcPr>
          <w:p w14:paraId="5529945D">
            <w:pPr>
              <w:widowControl w:val="0"/>
              <w:snapToGrid w:val="0"/>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采购人指定地点</w:t>
            </w:r>
          </w:p>
        </w:tc>
      </w:tr>
    </w:tbl>
    <w:p w14:paraId="632C5FF4">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rPr>
        <w:t>磋商报价（价格构成）</w:t>
      </w:r>
    </w:p>
    <w:p w14:paraId="16E17F70">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 供应商的磋商报价应为达到技术服务要求下的总包价，包括：产品价款、运维服务费、合同期内的系统更新升级相关费用、售后及技术服务费、人员管理、相关税款、知识产权（如有）、保险（如需）、培训费等与采购项目（标段（包））相关的、必须的款项及费用（包括未列明而为完成交验所必须的所有费用、材料、工具、设施）。成交价格在成交合同范围内固定不变。</w:t>
      </w:r>
    </w:p>
    <w:p w14:paraId="3ED9205A">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 本次竞争性磋商共二次报价（含系统中开标一览表报价共二次价格磋商）。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依据《磋商文件》“第三章 3.5.5 违背承诺的责任追究措施”，供应商承担相应法律责任及违约责任。</w:t>
      </w:r>
    </w:p>
    <w:p w14:paraId="67F03A02">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价格磋商规则详见第四章“评审办法”第“3.4.7 价格磋商”条款。</w:t>
      </w:r>
    </w:p>
    <w:p w14:paraId="430E077A">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1.3.3 如供应商的磋商报价未超过</w:t>
      </w:r>
      <w:r>
        <w:rPr>
          <w:rFonts w:hint="eastAsia" w:asciiTheme="minorEastAsia" w:hAnsiTheme="minorEastAsia" w:eastAsiaTheme="minorEastAsia" w:cstheme="minorEastAsia"/>
          <w:color w:val="auto"/>
          <w:sz w:val="24"/>
          <w:szCs w:val="24"/>
          <w:lang w:val="zh-CN"/>
        </w:rPr>
        <w:t>预算金额</w:t>
      </w:r>
      <w:r>
        <w:rPr>
          <w:rFonts w:hint="eastAsia" w:asciiTheme="minorEastAsia" w:hAnsiTheme="minorEastAsia" w:eastAsiaTheme="minorEastAsia" w:cstheme="minorEastAsia"/>
          <w:color w:val="auto"/>
          <w:sz w:val="24"/>
          <w:szCs w:val="24"/>
        </w:rPr>
        <w:t>（见竞争性磋商公告1.4）的供应商不足三家的，该标段（包）做废标处理。</w:t>
      </w:r>
    </w:p>
    <w:p w14:paraId="41F85779">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1.3.4 遵循第三章“供应商须知”3.7.5项规定。</w:t>
      </w:r>
    </w:p>
    <w:p w14:paraId="3DBF5093">
      <w:pPr>
        <w:spacing w:line="560" w:lineRule="exact"/>
        <w:ind w:firstLine="562" w:firstLineChars="200"/>
        <w:rPr>
          <w:rFonts w:ascii="黑体" w:hAnsi="黑体" w:eastAsia="黑体"/>
          <w:b/>
          <w:color w:val="auto"/>
          <w:sz w:val="28"/>
        </w:rPr>
      </w:pPr>
    </w:p>
    <w:p w14:paraId="3306A116">
      <w:pPr>
        <w:widowControl w:val="0"/>
        <w:snapToGrid w:val="0"/>
        <w:spacing w:line="360" w:lineRule="auto"/>
        <w:ind w:firstLine="422" w:firstLineChars="150"/>
        <w:jc w:val="left"/>
        <w:outlineLvl w:val="1"/>
        <w:rPr>
          <w:rFonts w:ascii="黑体" w:hAnsi="黑体" w:eastAsia="黑体"/>
          <w:b/>
          <w:color w:val="auto"/>
          <w:sz w:val="28"/>
        </w:rPr>
      </w:pPr>
      <w:bookmarkStart w:id="15" w:name="_Toc20679"/>
      <w:r>
        <w:rPr>
          <w:rFonts w:ascii="黑体" w:hAnsi="黑体" w:eastAsia="黑体"/>
          <w:b/>
          <w:color w:val="auto"/>
          <w:sz w:val="28"/>
        </w:rPr>
        <w:t xml:space="preserve">2. </w:t>
      </w:r>
      <w:r>
        <w:rPr>
          <w:rFonts w:hint="eastAsia" w:ascii="黑体" w:hAnsi="黑体" w:eastAsia="黑体"/>
          <w:b/>
          <w:color w:val="auto"/>
          <w:sz w:val="28"/>
        </w:rPr>
        <w:t>标段（包）内容（范围）及技术服务要求</w:t>
      </w:r>
      <w:bookmarkEnd w:id="15"/>
    </w:p>
    <w:p w14:paraId="560FF9E9">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总体技术服务（方案）要求及标段（包）内容（范围）：</w:t>
      </w:r>
      <w:r>
        <w:rPr>
          <w:rFonts w:hint="eastAsia" w:asciiTheme="minorEastAsia" w:hAnsiTheme="minorEastAsia" w:eastAsiaTheme="minorEastAsia" w:cstheme="minorEastAsia"/>
          <w:color w:val="auto"/>
          <w:sz w:val="24"/>
          <w:szCs w:val="24"/>
        </w:rPr>
        <w:t>详见下述2.4款</w:t>
      </w:r>
    </w:p>
    <w:p w14:paraId="39F7EEF3">
      <w:pPr>
        <w:widowControl w:val="0"/>
        <w:snapToGrid w:val="0"/>
        <w:spacing w:line="36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2</w:t>
      </w:r>
      <w:r>
        <w:rPr>
          <w:rFonts w:ascii="黑体" w:hAnsi="黑体" w:eastAsia="黑体"/>
          <w:b/>
          <w:color w:val="auto"/>
          <w:sz w:val="24"/>
          <w:szCs w:val="24"/>
        </w:rPr>
        <w:t xml:space="preserve"> </w:t>
      </w:r>
      <w:r>
        <w:rPr>
          <w:rFonts w:hint="eastAsia" w:ascii="黑体" w:hAnsi="黑体" w:eastAsia="黑体"/>
          <w:b/>
          <w:color w:val="auto"/>
          <w:sz w:val="24"/>
          <w:szCs w:val="24"/>
        </w:rPr>
        <w:t>项目落实的政府采购政策（法规标准条款）</w:t>
      </w:r>
    </w:p>
    <w:p w14:paraId="570B4D7C">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政府采购节能产品、环境标志产品实施品目清单管理后，对本次采购产品属于“节能产品政府采购品目清单”中强制采购品目的，投标产品应当具有相应的认证证书（认证证书应当为国家确定的认证机构出具、且应处于有效期之内），《响应文件》中应当提供相应的认证证书（认证证书应当为国家确定的认证机构出具、且应处于有效期之内）。</w:t>
      </w:r>
    </w:p>
    <w:p w14:paraId="35715C62">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属于政府强制采购品目、而未按要求提供相应资料的，为</w:t>
      </w:r>
      <w:r>
        <w:rPr>
          <w:rFonts w:hint="eastAsia" w:asciiTheme="minorEastAsia" w:hAnsiTheme="minorEastAsia" w:eastAsiaTheme="minorEastAsia" w:cstheme="minorEastAsia"/>
          <w:b/>
          <w:bCs/>
          <w:color w:val="auto"/>
          <w:sz w:val="24"/>
          <w:szCs w:val="24"/>
        </w:rPr>
        <w:t>无效投标</w:t>
      </w:r>
      <w:r>
        <w:rPr>
          <w:rFonts w:hint="eastAsia" w:asciiTheme="minorEastAsia" w:hAnsiTheme="minorEastAsia" w:eastAsiaTheme="minorEastAsia" w:cstheme="minorEastAsia"/>
          <w:color w:val="auto"/>
          <w:sz w:val="24"/>
          <w:szCs w:val="24"/>
        </w:rPr>
        <w:t>。</w:t>
      </w:r>
    </w:p>
    <w:p w14:paraId="5E76BA3E">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 同等条件下，获得节能产品认证证书或环境标志产品认证证书的产品优先采购。(认证证书应当为国家确定的认证机构出具、且应处于有效期之内。)</w:t>
      </w:r>
    </w:p>
    <w:p w14:paraId="773E3E0C">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 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应处于有效期内）。</w:t>
      </w:r>
    </w:p>
    <w:p w14:paraId="13314382">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2.2.4 计算机产品须预装正版操作系统软件。</w:t>
      </w:r>
    </w:p>
    <w:p w14:paraId="617DED03">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2.2.5 本次采购不允许进口产品参加。</w:t>
      </w:r>
    </w:p>
    <w:p w14:paraId="1E5B3D10">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2.2.6 如允许采购进口产品的，优先采购向我国企业转让技术、与我国企业签订消化吸收再创新方案的供应商的进口产品。</w:t>
      </w:r>
    </w:p>
    <w:p w14:paraId="7FA283AA">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2.2.7 促进中小企业发展扶持政策：见第四章“评审办法”第4条。</w:t>
      </w:r>
    </w:p>
    <w:p w14:paraId="1B133AEA">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2.2.8 促进残疾人就业、支持监狱企业发展：见第四章“评审办法”第4条。</w:t>
      </w:r>
    </w:p>
    <w:p w14:paraId="25FB8B69">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2.2.9 所供产品有商品包装的应当使用绿色包装。所供产品有其他环保政策要求的，应符合相关环保法律政策要求。</w:t>
      </w:r>
    </w:p>
    <w:p w14:paraId="631F5D1E">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2.2.10 支持绿色建筑、绿色建材，支持使用低VOCs含量涂料和胶黏剂，支持不发达、少数民族地区的企业，促进自主创新产业发展，支持脱贫攻坚等；同等条件下，优先采购。</w:t>
      </w:r>
    </w:p>
    <w:p w14:paraId="5C78EAF5">
      <w:pPr>
        <w:widowControl w:val="0"/>
        <w:snapToGrid w:val="0"/>
        <w:spacing w:line="36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 xml:space="preserve"> 采购标的需执行的国家相关标准、行业标准、地方标准或者其他标准、规范</w:t>
      </w:r>
    </w:p>
    <w:p w14:paraId="62A93D03">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所报响应服务（及所涉货物材料设施）应符合国家质量标准、部颁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磋商文件》未列明事项为由，来降低响应服务（及所涉货物材料设施）的质量。</w:t>
      </w:r>
    </w:p>
    <w:p w14:paraId="7AA93EA4">
      <w:pPr>
        <w:widowControl w:val="0"/>
        <w:snapToGrid w:val="0"/>
        <w:spacing w:line="36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4 具体技术服务要求及标段（包）内容（范围）</w:t>
      </w:r>
    </w:p>
    <w:p w14:paraId="4B2D7E7D">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一、总体要求</w:t>
      </w:r>
    </w:p>
    <w:p w14:paraId="4B860F84">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成交供应商负责实现本项目与河南省医保平台、安阳市全民健康信息平台的对接（不含第三方要求的接口费用）。通过订阅方式获取河南省医保平台回流数据；通过接口获取安阳市卫生健康平台数据。对以上数据进行清洗、治理、脱敏后转储到本地，进行数据分析、挖掘，实现安阳市卫生健康委员会、安阳市医疗保障局等管理部门了解本地医疗、医保领域关键指标数据分析与管理的目标。包括但不限于：参保数据分析、门诊住院数据分析、外转数据分析、转入患者分析、病种分析等。为提升本地医疗水平提供数据支撑等功能。　</w:t>
      </w:r>
    </w:p>
    <w:p w14:paraId="035D4C2E">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交供应商需对项目所涉及的数据获取、治理、接口、分析等提供技术服务。在运维期内，数据源满足的情况下，完全满足采购人的服务要求，不得再另行收取服务费用；运维期满后，如后续运维仍由成交供应商承接的，运维服务费用另行协商且优于市场价。采购人享有该项目涉及到的应用软件的永久使用权。成交供应商对项目实施过程中获取的相关信息和数据负有保密义务，违规行为将承担法律责任。</w:t>
      </w:r>
    </w:p>
    <w:p w14:paraId="6BA612B2">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二、具体要求</w:t>
      </w:r>
    </w:p>
    <w:tbl>
      <w:tblPr>
        <w:tblStyle w:val="1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080"/>
        <w:gridCol w:w="1656"/>
        <w:gridCol w:w="6425"/>
      </w:tblGrid>
      <w:tr w14:paraId="4A86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8" w:type="dxa"/>
            <w:shd w:val="clear" w:color="auto" w:fill="FFFFFF" w:themeFill="background1"/>
            <w:vAlign w:val="center"/>
          </w:tcPr>
          <w:p w14:paraId="7D7B0A49">
            <w:pPr>
              <w:spacing w:line="240" w:lineRule="auto"/>
              <w:jc w:val="center"/>
              <w:rPr>
                <w:rFonts w:cs="宋体" w:asciiTheme="minorEastAsia" w:hAnsiTheme="minorEastAsia" w:eastAsiaTheme="minorEastAsia"/>
                <w:b/>
                <w:bCs/>
                <w:color w:val="auto"/>
                <w:sz w:val="24"/>
                <w:szCs w:val="24"/>
              </w:rPr>
            </w:pPr>
            <w:r>
              <w:rPr>
                <w:rFonts w:hint="eastAsia" w:cs="宋体" w:asciiTheme="minorEastAsia" w:hAnsiTheme="minorEastAsia" w:eastAsiaTheme="minorEastAsia"/>
                <w:b/>
                <w:bCs/>
                <w:color w:val="auto"/>
                <w:sz w:val="24"/>
                <w:szCs w:val="24"/>
              </w:rPr>
              <w:t>序号</w:t>
            </w:r>
          </w:p>
        </w:tc>
        <w:tc>
          <w:tcPr>
            <w:tcW w:w="1080" w:type="dxa"/>
            <w:shd w:val="clear" w:color="auto" w:fill="FFFFFF" w:themeFill="background1"/>
            <w:vAlign w:val="center"/>
          </w:tcPr>
          <w:p w14:paraId="149B184E">
            <w:pPr>
              <w:spacing w:line="240" w:lineRule="auto"/>
              <w:jc w:val="center"/>
              <w:rPr>
                <w:rFonts w:cs="宋体" w:asciiTheme="minorEastAsia" w:hAnsiTheme="minorEastAsia" w:eastAsiaTheme="minorEastAsia"/>
                <w:b/>
                <w:bCs/>
                <w:color w:val="auto"/>
                <w:sz w:val="24"/>
                <w:szCs w:val="24"/>
              </w:rPr>
            </w:pPr>
            <w:r>
              <w:rPr>
                <w:rFonts w:hint="eastAsia" w:cs="宋体" w:asciiTheme="minorEastAsia" w:hAnsiTheme="minorEastAsia" w:eastAsiaTheme="minorEastAsia"/>
                <w:b/>
                <w:bCs/>
                <w:color w:val="auto"/>
                <w:sz w:val="24"/>
                <w:szCs w:val="24"/>
              </w:rPr>
              <w:t>子系统</w:t>
            </w:r>
          </w:p>
        </w:tc>
        <w:tc>
          <w:tcPr>
            <w:tcW w:w="1656" w:type="dxa"/>
            <w:shd w:val="clear" w:color="auto" w:fill="FFFFFF" w:themeFill="background1"/>
            <w:vAlign w:val="center"/>
          </w:tcPr>
          <w:p w14:paraId="07502827">
            <w:pPr>
              <w:spacing w:line="240" w:lineRule="auto"/>
              <w:jc w:val="center"/>
              <w:rPr>
                <w:rFonts w:cs="宋体" w:asciiTheme="minorEastAsia" w:hAnsiTheme="minorEastAsia" w:eastAsiaTheme="minorEastAsia"/>
                <w:b/>
                <w:bCs/>
                <w:color w:val="auto"/>
                <w:sz w:val="24"/>
                <w:szCs w:val="24"/>
              </w:rPr>
            </w:pPr>
            <w:r>
              <w:rPr>
                <w:rFonts w:hint="eastAsia" w:cs="宋体" w:asciiTheme="minorEastAsia" w:hAnsiTheme="minorEastAsia" w:eastAsiaTheme="minorEastAsia"/>
                <w:b/>
                <w:bCs/>
                <w:color w:val="auto"/>
                <w:sz w:val="24"/>
                <w:szCs w:val="24"/>
              </w:rPr>
              <w:t>功能名称</w:t>
            </w:r>
          </w:p>
        </w:tc>
        <w:tc>
          <w:tcPr>
            <w:tcW w:w="6425" w:type="dxa"/>
            <w:shd w:val="clear" w:color="auto" w:fill="FFFFFF" w:themeFill="background1"/>
            <w:vAlign w:val="center"/>
          </w:tcPr>
          <w:p w14:paraId="22274439">
            <w:pPr>
              <w:spacing w:line="240" w:lineRule="auto"/>
              <w:jc w:val="center"/>
              <w:rPr>
                <w:rFonts w:cs="宋体" w:asciiTheme="minorEastAsia" w:hAnsiTheme="minorEastAsia" w:eastAsiaTheme="minorEastAsia"/>
                <w:b/>
                <w:bCs/>
                <w:color w:val="auto"/>
                <w:sz w:val="24"/>
                <w:szCs w:val="24"/>
              </w:rPr>
            </w:pPr>
            <w:r>
              <w:rPr>
                <w:rFonts w:hint="eastAsia" w:cs="宋体" w:asciiTheme="minorEastAsia" w:hAnsiTheme="minorEastAsia" w:eastAsiaTheme="minorEastAsia"/>
                <w:b/>
                <w:bCs/>
                <w:color w:val="auto"/>
                <w:sz w:val="24"/>
                <w:szCs w:val="24"/>
              </w:rPr>
              <w:t>技术指标</w:t>
            </w:r>
          </w:p>
        </w:tc>
      </w:tr>
      <w:tr w14:paraId="13EC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14:paraId="5F0756EF">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p>
        </w:tc>
        <w:tc>
          <w:tcPr>
            <w:tcW w:w="1080" w:type="dxa"/>
            <w:vMerge w:val="restart"/>
            <w:vAlign w:val="center"/>
          </w:tcPr>
          <w:p w14:paraId="386F15BA">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接口及数据管理</w:t>
            </w:r>
          </w:p>
        </w:tc>
        <w:tc>
          <w:tcPr>
            <w:tcW w:w="1656" w:type="dxa"/>
            <w:vAlign w:val="center"/>
          </w:tcPr>
          <w:p w14:paraId="27829EB6">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医保回流数据接口及数据治理</w:t>
            </w:r>
          </w:p>
        </w:tc>
        <w:tc>
          <w:tcPr>
            <w:tcW w:w="6425" w:type="dxa"/>
            <w:vAlign w:val="center"/>
          </w:tcPr>
          <w:p w14:paraId="36438165">
            <w:pPr>
              <w:widowControl w:val="0"/>
              <w:spacing w:line="360" w:lineRule="auto"/>
              <w:textAlignment w:val="auto"/>
              <w:rPr>
                <w:rFonts w:cs="宋体" w:asciiTheme="minorEastAsia" w:hAnsiTheme="minorEastAsia" w:eastAsiaTheme="minorEastAsia"/>
                <w:color w:val="auto"/>
                <w:sz w:val="24"/>
                <w:szCs w:val="24"/>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cs="宋体" w:asciiTheme="minorEastAsia" w:hAnsiTheme="minorEastAsia" w:eastAsiaTheme="minorEastAsia"/>
                <w:color w:val="auto"/>
                <w:kern w:val="2"/>
                <w:sz w:val="24"/>
                <w:szCs w:val="24"/>
              </w:rPr>
              <w:t>1、具备与河南省医保平台进行数据对接，实现医保数据的实时或定期同步的功能。具备通过大数据局的数据订阅服务，以实时或定期的方式获取医保回流数据的功能。</w:t>
            </w:r>
          </w:p>
          <w:p w14:paraId="1382AB4D">
            <w:pPr>
              <w:widowControl w:val="0"/>
              <w:spacing w:line="360" w:lineRule="auto"/>
              <w:ind w:firstLine="240" w:firstLineChars="100"/>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kern w:val="2"/>
                <w:sz w:val="24"/>
                <w:szCs w:val="24"/>
              </w:rPr>
              <w:t>2、具备通过数据接口或数据导入导出的方式，灵活获取医保回流数据的功能。</w:t>
            </w:r>
          </w:p>
          <w:p w14:paraId="70317678">
            <w:pPr>
              <w:widowControl w:val="0"/>
              <w:spacing w:line="360" w:lineRule="auto"/>
              <w:textAlignment w:val="auto"/>
              <w:rPr>
                <w:rFonts w:cs="宋体" w:asciiTheme="minorEastAsia" w:hAnsiTheme="minorEastAsia" w:eastAsiaTheme="minorEastAsia"/>
                <w:color w:val="auto"/>
                <w:sz w:val="24"/>
                <w:szCs w:val="24"/>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cs="宋体" w:asciiTheme="minorEastAsia" w:hAnsiTheme="minorEastAsia" w:eastAsiaTheme="minorEastAsia"/>
                <w:color w:val="auto"/>
                <w:kern w:val="2"/>
                <w:sz w:val="24"/>
                <w:szCs w:val="24"/>
              </w:rPr>
              <w:t>3、医保回流数据涵盖广泛，包括但不限于：全市职工历年参保数据、全市居民历年参保数据、全市职工历年住院结算数据、全市居民历年住院结算数据、全市职工历年门诊结算数据、全市居民历年门诊结算数据以及其他必要的医保数据。</w:t>
            </w:r>
          </w:p>
          <w:p w14:paraId="1D6CEC16">
            <w:pPr>
              <w:widowControl w:val="0"/>
              <w:spacing w:line="360" w:lineRule="auto"/>
              <w:ind w:firstLine="240" w:firstLineChars="100"/>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kern w:val="2"/>
                <w:sz w:val="24"/>
                <w:szCs w:val="24"/>
              </w:rPr>
              <w:t>4、具备医保数据清洗和治理的功能，确保数据质量满足平台分析的使用标准。</w:t>
            </w:r>
          </w:p>
        </w:tc>
      </w:tr>
      <w:tr w14:paraId="1E8D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1E7296CB">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1222804A">
            <w:pPr>
              <w:spacing w:line="276" w:lineRule="auto"/>
              <w:jc w:val="center"/>
              <w:rPr>
                <w:rFonts w:cs="宋体" w:asciiTheme="minorEastAsia" w:hAnsiTheme="minorEastAsia" w:eastAsiaTheme="minorEastAsia"/>
                <w:color w:val="auto"/>
                <w:sz w:val="24"/>
                <w:szCs w:val="24"/>
              </w:rPr>
            </w:pPr>
          </w:p>
        </w:tc>
        <w:tc>
          <w:tcPr>
            <w:tcW w:w="1656" w:type="dxa"/>
            <w:vAlign w:val="center"/>
          </w:tcPr>
          <w:p w14:paraId="652A18AA">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安阳市全民健康信息平台数据接口及数据治理</w:t>
            </w:r>
          </w:p>
        </w:tc>
        <w:tc>
          <w:tcPr>
            <w:tcW w:w="6425" w:type="dxa"/>
            <w:vAlign w:val="center"/>
          </w:tcPr>
          <w:p w14:paraId="07448229">
            <w:pPr>
              <w:widowControl w:val="0"/>
              <w:spacing w:line="360" w:lineRule="auto"/>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rPr>
              <w:t>1、</w:t>
            </w:r>
            <w:r>
              <w:rPr>
                <w:rFonts w:hint="eastAsia" w:cs="宋体" w:asciiTheme="minorEastAsia" w:hAnsiTheme="minorEastAsia" w:eastAsiaTheme="minorEastAsia"/>
                <w:color w:val="auto"/>
                <w:kern w:val="2"/>
                <w:sz w:val="24"/>
                <w:szCs w:val="24"/>
              </w:rPr>
              <w:t>具备</w:t>
            </w:r>
            <w:r>
              <w:rPr>
                <w:rFonts w:hint="eastAsia" w:asciiTheme="minorEastAsia" w:hAnsiTheme="minorEastAsia" w:eastAsiaTheme="minorEastAsia" w:cstheme="minorEastAsia"/>
                <w:color w:val="auto"/>
                <w:kern w:val="2"/>
                <w:sz w:val="24"/>
                <w:szCs w:val="24"/>
              </w:rPr>
              <w:t>与安阳市全民健康信息平台的数据接口对接的功能，允许通过视图或数据接口方式获取全民健康信息平台的相关数据。</w:t>
            </w:r>
          </w:p>
          <w:p w14:paraId="6EFC8816">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2、</w:t>
            </w:r>
            <w:r>
              <w:rPr>
                <w:rFonts w:hint="eastAsia" w:cs="宋体" w:asciiTheme="minorEastAsia" w:hAnsiTheme="minorEastAsia" w:eastAsiaTheme="minorEastAsia"/>
                <w:color w:val="auto"/>
                <w:kern w:val="2"/>
                <w:sz w:val="24"/>
                <w:szCs w:val="24"/>
              </w:rPr>
              <w:t>具备</w:t>
            </w:r>
            <w:r>
              <w:rPr>
                <w:rFonts w:hint="eastAsia" w:asciiTheme="minorEastAsia" w:hAnsiTheme="minorEastAsia" w:eastAsiaTheme="minorEastAsia" w:cstheme="minorEastAsia"/>
                <w:color w:val="auto"/>
                <w:kern w:val="2"/>
                <w:sz w:val="24"/>
                <w:szCs w:val="24"/>
              </w:rPr>
              <w:t>获取安阳市全民健康信息平台的出院结算数据的功能。</w:t>
            </w:r>
          </w:p>
          <w:p w14:paraId="0841FBD8">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3、</w:t>
            </w:r>
            <w:r>
              <w:rPr>
                <w:rFonts w:hint="eastAsia" w:cs="宋体" w:asciiTheme="minorEastAsia" w:hAnsiTheme="minorEastAsia" w:eastAsiaTheme="minorEastAsia"/>
                <w:color w:val="auto"/>
                <w:kern w:val="2"/>
                <w:sz w:val="24"/>
                <w:szCs w:val="24"/>
              </w:rPr>
              <w:t>具备</w:t>
            </w:r>
            <w:r>
              <w:rPr>
                <w:rFonts w:hint="eastAsia" w:asciiTheme="minorEastAsia" w:hAnsiTheme="minorEastAsia" w:eastAsiaTheme="minorEastAsia" w:cstheme="minorEastAsia"/>
                <w:color w:val="auto"/>
                <w:kern w:val="2"/>
                <w:sz w:val="24"/>
                <w:szCs w:val="24"/>
              </w:rPr>
              <w:t>获取安阳市全民健康信息平台的病案首页数据的功能。</w:t>
            </w:r>
          </w:p>
          <w:p w14:paraId="04AC7036">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4、</w:t>
            </w:r>
            <w:r>
              <w:rPr>
                <w:rFonts w:hint="eastAsia" w:cs="宋体" w:asciiTheme="minorEastAsia" w:hAnsiTheme="minorEastAsia" w:eastAsiaTheme="minorEastAsia"/>
                <w:color w:val="auto"/>
                <w:kern w:val="2"/>
                <w:sz w:val="24"/>
                <w:szCs w:val="24"/>
              </w:rPr>
              <w:t>具备</w:t>
            </w:r>
            <w:r>
              <w:rPr>
                <w:rFonts w:hint="eastAsia" w:asciiTheme="minorEastAsia" w:hAnsiTheme="minorEastAsia" w:eastAsiaTheme="minorEastAsia" w:cstheme="minorEastAsia"/>
                <w:color w:val="auto"/>
                <w:kern w:val="2"/>
                <w:sz w:val="24"/>
                <w:szCs w:val="24"/>
              </w:rPr>
              <w:t>对医保数据进行清洗和治理</w:t>
            </w:r>
            <w:r>
              <w:rPr>
                <w:rFonts w:hint="eastAsia" w:cs="宋体" w:asciiTheme="minorEastAsia" w:hAnsiTheme="minorEastAsia" w:eastAsiaTheme="minorEastAsia"/>
                <w:color w:val="auto"/>
                <w:kern w:val="2"/>
                <w:sz w:val="24"/>
                <w:szCs w:val="24"/>
              </w:rPr>
              <w:t>的功能</w:t>
            </w:r>
            <w:r>
              <w:rPr>
                <w:rFonts w:hint="eastAsia" w:asciiTheme="minorEastAsia" w:hAnsiTheme="minorEastAsia" w:eastAsiaTheme="minorEastAsia" w:cstheme="minorEastAsia"/>
                <w:color w:val="auto"/>
                <w:kern w:val="2"/>
                <w:sz w:val="24"/>
                <w:szCs w:val="24"/>
              </w:rPr>
              <w:t>，确保数据达到满足平台分析使用的标准。</w:t>
            </w:r>
          </w:p>
        </w:tc>
      </w:tr>
      <w:tr w14:paraId="49A6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14:paraId="1361EB47">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w:t>
            </w:r>
          </w:p>
        </w:tc>
        <w:tc>
          <w:tcPr>
            <w:tcW w:w="1080" w:type="dxa"/>
            <w:vMerge w:val="restart"/>
            <w:vAlign w:val="center"/>
          </w:tcPr>
          <w:p w14:paraId="7CF113FA">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市级监管平台</w:t>
            </w:r>
          </w:p>
          <w:p w14:paraId="66072C6F">
            <w:pPr>
              <w:spacing w:line="276" w:lineRule="auto"/>
              <w:jc w:val="center"/>
              <w:rPr>
                <w:rFonts w:cs="宋体" w:asciiTheme="minorEastAsia" w:hAnsiTheme="minorEastAsia" w:eastAsiaTheme="minorEastAsia"/>
                <w:color w:val="auto"/>
                <w:sz w:val="24"/>
                <w:szCs w:val="24"/>
              </w:rPr>
            </w:pPr>
          </w:p>
        </w:tc>
        <w:tc>
          <w:tcPr>
            <w:tcW w:w="1656" w:type="dxa"/>
            <w:vAlign w:val="center"/>
          </w:tcPr>
          <w:p w14:paraId="42377D4A">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数据总览</w:t>
            </w:r>
          </w:p>
        </w:tc>
        <w:tc>
          <w:tcPr>
            <w:tcW w:w="6425" w:type="dxa"/>
            <w:vAlign w:val="center"/>
          </w:tcPr>
          <w:p w14:paraId="775050AF">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1、具备综合展示全市医疗保险参保总人数及医疗保险资金征缴总额，并附上同比增长率的功能。</w:t>
            </w:r>
          </w:p>
          <w:p w14:paraId="3F530971">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2、具备综合展示当前时间全市医疗保险资金使用进度的功能。</w:t>
            </w:r>
          </w:p>
          <w:p w14:paraId="1C13AB97">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3、具备分别展示当前全市职工医疗保险资金和居民医疗保险资金使用进度的功能。</w:t>
            </w:r>
          </w:p>
          <w:p w14:paraId="6875C06D">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4、具备综合展示当前全市住院率及其同比增长率和人次增长率的功能。</w:t>
            </w:r>
          </w:p>
          <w:p w14:paraId="2CBFB40C">
            <w:pPr>
              <w:widowControl w:val="0"/>
              <w:spacing w:line="360" w:lineRule="auto"/>
              <w:ind w:firstLine="240" w:firstLineChars="10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5、具备综合展示当前全市外转率、外转人次数、同比增长率和同比增幅比例的功能。</w:t>
            </w:r>
          </w:p>
          <w:p w14:paraId="50D86D23">
            <w:pPr>
              <w:widowControl w:val="0"/>
              <w:spacing w:line="360" w:lineRule="auto"/>
              <w:ind w:firstLine="240" w:firstLineChars="10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6、具备展示当前全市市域外转率和省域外转率人次，外转率以及同比增长率的功能。</w:t>
            </w:r>
          </w:p>
          <w:p w14:paraId="4715E2C9">
            <w:pPr>
              <w:widowControl w:val="0"/>
              <w:spacing w:line="360" w:lineRule="auto"/>
              <w:ind w:firstLine="240" w:firstLineChars="10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7、具备综合展示其中城镇职工参保总人数，医疗保险总资征缴数，城镇职工住院率和外转率，并同步展示以上指标同比增长数据的功能。</w:t>
            </w:r>
          </w:p>
          <w:p w14:paraId="370E9DD6">
            <w:pPr>
              <w:widowControl w:val="0"/>
              <w:spacing w:line="360" w:lineRule="auto"/>
              <w:ind w:firstLine="240" w:firstLineChars="10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8、具备综合展示其中城乡居民参保总人数，医疗保险总资征缴数，城镇职工住院率和外转率，并同步展示以上指标同比增长数据的功能。</w:t>
            </w:r>
          </w:p>
          <w:p w14:paraId="7464C8D7">
            <w:pPr>
              <w:widowControl w:val="0"/>
              <w:spacing w:line="360" w:lineRule="auto"/>
              <w:ind w:firstLine="240" w:firstLineChars="10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9、具备展示安阳市人民医院医疗集团和安阳市中医院医疗集团所辖区城乡居民参保人数、医疗保险资金总数、住院率和外传率，同步分析以上数据的同比增长数据的功能。</w:t>
            </w:r>
          </w:p>
          <w:p w14:paraId="40591568">
            <w:pPr>
              <w:widowControl w:val="0"/>
              <w:spacing w:line="360" w:lineRule="auto"/>
              <w:ind w:firstLine="240" w:firstLineChars="10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10、具备展示各县区城乡居民参保人数、医疗保险资金总数、同比增长率、医疗保险资金使用进度、住院人次数、外转人次数、外转率、住院率等数据的功能。</w:t>
            </w:r>
          </w:p>
          <w:p w14:paraId="46985D39">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11、以上指标具备数据下钻查看明细的功能。</w:t>
            </w:r>
          </w:p>
        </w:tc>
      </w:tr>
      <w:tr w14:paraId="673A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3DBB06B1">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599DE52B">
            <w:pPr>
              <w:spacing w:line="276" w:lineRule="auto"/>
              <w:jc w:val="center"/>
              <w:rPr>
                <w:rFonts w:cs="宋体" w:asciiTheme="minorEastAsia" w:hAnsiTheme="minorEastAsia" w:eastAsiaTheme="minorEastAsia"/>
                <w:color w:val="auto"/>
                <w:sz w:val="24"/>
                <w:szCs w:val="24"/>
              </w:rPr>
            </w:pPr>
          </w:p>
        </w:tc>
        <w:tc>
          <w:tcPr>
            <w:tcW w:w="1656" w:type="dxa"/>
            <w:vAlign w:val="center"/>
          </w:tcPr>
          <w:p w14:paraId="430B2E9A">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参保数据分析</w:t>
            </w:r>
          </w:p>
        </w:tc>
        <w:tc>
          <w:tcPr>
            <w:tcW w:w="6425" w:type="dxa"/>
            <w:vAlign w:val="center"/>
          </w:tcPr>
          <w:p w14:paraId="4668E95B">
            <w:pPr>
              <w:widowControl w:val="0"/>
              <w:spacing w:line="360" w:lineRule="auto"/>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rPr>
              <w:t>1、具备分析全市居民的参保人数和征缴的医保资金，同时展示历年参保人数的趋势变化的功能。</w:t>
            </w:r>
          </w:p>
          <w:p w14:paraId="39B9C60F">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2、具备展示各区县居民的参保人数和征缴的医保资金，并展示历年参保人数的趋势变化的功能。</w:t>
            </w:r>
          </w:p>
          <w:p w14:paraId="1AB87BEA">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3、数据具备下钻至各区县对应的乡镇和村组，以显示参保人数和医保资金，并展示历年参保人数的趋势变化的功能。</w:t>
            </w:r>
          </w:p>
          <w:p w14:paraId="4F9BECE0">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4、具备医保资金使用支出预警功能，针对当前使用医保资金额度进行分析，预测可能超出预算的县区并进行预警。</w:t>
            </w:r>
          </w:p>
        </w:tc>
      </w:tr>
      <w:tr w14:paraId="6BFC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5AD2E344">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1E7CAADD">
            <w:pPr>
              <w:spacing w:line="276" w:lineRule="auto"/>
              <w:jc w:val="center"/>
              <w:rPr>
                <w:rFonts w:cs="宋体" w:asciiTheme="minorEastAsia" w:hAnsiTheme="minorEastAsia" w:eastAsiaTheme="minorEastAsia"/>
                <w:color w:val="auto"/>
                <w:sz w:val="24"/>
                <w:szCs w:val="24"/>
              </w:rPr>
            </w:pPr>
          </w:p>
        </w:tc>
        <w:tc>
          <w:tcPr>
            <w:tcW w:w="1656" w:type="dxa"/>
            <w:vAlign w:val="center"/>
          </w:tcPr>
          <w:p w14:paraId="544BD8FA">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住院数据分析</w:t>
            </w:r>
          </w:p>
        </w:tc>
        <w:tc>
          <w:tcPr>
            <w:tcW w:w="6425" w:type="dxa"/>
            <w:vAlign w:val="center"/>
          </w:tcPr>
          <w:p w14:paraId="5622BD8F">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1、具备分析展示全市当前住院人次的状况，并提供住院人次的同比与环比对比分析的功能。</w:t>
            </w:r>
          </w:p>
          <w:p w14:paraId="77CBCE1B">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2、具备展示全市住院人次、次均费用、平均统筹报销以及同比环比数据的功能。</w:t>
            </w:r>
          </w:p>
          <w:p w14:paraId="10D614C7">
            <w:pPr>
              <w:widowControl w:val="0"/>
              <w:tabs>
                <w:tab w:val="left" w:pos="312"/>
              </w:tabs>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分别分析展示</w:t>
            </w:r>
            <w:r>
              <w:rPr>
                <w:rFonts w:hint="eastAsia" w:asciiTheme="minorEastAsia" w:hAnsiTheme="minorEastAsia" w:eastAsiaTheme="minorEastAsia" w:cstheme="minorEastAsia"/>
                <w:color w:val="auto"/>
                <w:kern w:val="2"/>
                <w:sz w:val="24"/>
                <w:szCs w:val="24"/>
              </w:rPr>
              <w:t>安阳市人民医院医疗集团</w:t>
            </w:r>
            <w:r>
              <w:rPr>
                <w:rFonts w:hint="eastAsia" w:asciiTheme="minorEastAsia" w:hAnsiTheme="minorEastAsia" w:eastAsiaTheme="minorEastAsia" w:cstheme="minorEastAsia"/>
                <w:color w:val="auto"/>
                <w:sz w:val="24"/>
                <w:szCs w:val="24"/>
              </w:rPr>
              <w:t>和安阳市中医院医疗集团所辖区内住院人次数、次均费用、总费用、次均统筹报销，并展示同比环比数据</w:t>
            </w:r>
            <w:r>
              <w:rPr>
                <w:rFonts w:hint="eastAsia" w:asciiTheme="minorEastAsia" w:hAnsiTheme="minorEastAsia" w:eastAsiaTheme="minorEastAsia" w:cstheme="minorEastAsia"/>
                <w:color w:val="auto"/>
                <w:kern w:val="2"/>
                <w:sz w:val="24"/>
                <w:szCs w:val="24"/>
              </w:rPr>
              <w:t>的功能。</w:t>
            </w:r>
          </w:p>
          <w:p w14:paraId="0513561D">
            <w:pPr>
              <w:widowControl w:val="0"/>
              <w:tabs>
                <w:tab w:val="left" w:pos="312"/>
              </w:tabs>
              <w:spacing w:line="360" w:lineRule="auto"/>
              <w:ind w:firstLine="240" w:firstLineChars="100"/>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分别分析展示安阳市人民医院医疗集团和安阳市中医院医疗集团所辖各医疗机构住院人次数和住院次均费用，住院次均天数、次均统筹报销，并展示同比环比数据和趋势数据；</w:t>
            </w:r>
            <w:r>
              <w:rPr>
                <w:rFonts w:hint="eastAsia" w:asciiTheme="minorEastAsia" w:hAnsiTheme="minorEastAsia" w:eastAsiaTheme="minorEastAsia" w:cstheme="minorEastAsia"/>
                <w:color w:val="auto"/>
                <w:kern w:val="2"/>
                <w:sz w:val="24"/>
                <w:szCs w:val="24"/>
              </w:rPr>
              <w:t>统计各县区目前住院人次的情况，并提供住院人次的同比与环比对比分析的功能。</w:t>
            </w:r>
          </w:p>
          <w:p w14:paraId="553C6CB4">
            <w:pPr>
              <w:widowControl w:val="0"/>
              <w:tabs>
                <w:tab w:val="left" w:pos="312"/>
              </w:tabs>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5、具备统计各县区住院人次、总费用、统筹总花费、次均费用、平均统筹报销、平均住院日等数据，并展示各数据的同比增幅的功能。</w:t>
            </w:r>
          </w:p>
          <w:p w14:paraId="25D7321E">
            <w:pPr>
              <w:widowControl w:val="0"/>
              <w:tabs>
                <w:tab w:val="left" w:pos="312"/>
              </w:tabs>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6、具备显示外转患者的比例，显示全市外转患者数量以及各县区外转数量，包括：县域外转占比、市域外转占比、省域外转占比，并展示外转患者总费用、统筹使用、统筹使用占比、次均费用、次均统筹使用等数据的功能。</w:t>
            </w:r>
          </w:p>
          <w:p w14:paraId="5E1646E8">
            <w:pPr>
              <w:widowControl w:val="0"/>
              <w:tabs>
                <w:tab w:val="left" w:pos="312"/>
              </w:tabs>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7、具备分析展示各医疗机构，住院人次、次均费用、次均报销费用、次均住院日，以及各数据的同比环比数据，趋势数据，并支持按医疗机构级别或者行政区划进行划分筛选的功能。</w:t>
            </w:r>
          </w:p>
          <w:p w14:paraId="7A34C19D">
            <w:pPr>
              <w:widowControl w:val="0"/>
              <w:tabs>
                <w:tab w:val="left" w:pos="312"/>
              </w:tabs>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8、上述数据具备下钻分析的功能，下钻后可展示各县区或县区内各乡镇街道的数据情况。</w:t>
            </w:r>
          </w:p>
        </w:tc>
      </w:tr>
      <w:tr w14:paraId="37FF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5EDF49D3">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1E0DAA63">
            <w:pPr>
              <w:spacing w:line="276" w:lineRule="auto"/>
              <w:jc w:val="center"/>
              <w:rPr>
                <w:rFonts w:cs="宋体" w:asciiTheme="minorEastAsia" w:hAnsiTheme="minorEastAsia" w:eastAsiaTheme="minorEastAsia"/>
                <w:color w:val="auto"/>
                <w:sz w:val="24"/>
                <w:szCs w:val="24"/>
              </w:rPr>
            </w:pPr>
          </w:p>
        </w:tc>
        <w:tc>
          <w:tcPr>
            <w:tcW w:w="1656" w:type="dxa"/>
            <w:vAlign w:val="center"/>
          </w:tcPr>
          <w:p w14:paraId="0DEB37B7">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门诊数据分析</w:t>
            </w:r>
          </w:p>
        </w:tc>
        <w:tc>
          <w:tcPr>
            <w:tcW w:w="6425" w:type="dxa"/>
            <w:vAlign w:val="center"/>
          </w:tcPr>
          <w:p w14:paraId="3CAD4B3C">
            <w:pPr>
              <w:widowControl w:val="0"/>
              <w:tabs>
                <w:tab w:val="left" w:pos="312"/>
              </w:tabs>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分析展示全市门诊患者就诊情况，显示就诊人次和就诊人次月度趋势图</w:t>
            </w:r>
            <w:r>
              <w:rPr>
                <w:rFonts w:hint="eastAsia" w:asciiTheme="minorEastAsia" w:hAnsiTheme="minorEastAsia" w:eastAsiaTheme="minorEastAsia" w:cstheme="minorEastAsia"/>
                <w:color w:val="auto"/>
                <w:kern w:val="2"/>
                <w:sz w:val="24"/>
                <w:szCs w:val="24"/>
              </w:rPr>
              <w:t>的功能。</w:t>
            </w:r>
          </w:p>
          <w:p w14:paraId="3B95AB51">
            <w:pPr>
              <w:widowControl w:val="0"/>
              <w:tabs>
                <w:tab w:val="left" w:pos="312"/>
              </w:tabs>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分析展示全市门诊人次数、次均费用、总费用、次均统筹报销数据，并展示同比环比数据</w:t>
            </w:r>
            <w:r>
              <w:rPr>
                <w:rFonts w:hint="eastAsia" w:asciiTheme="minorEastAsia" w:hAnsiTheme="minorEastAsia" w:eastAsiaTheme="minorEastAsia" w:cstheme="minorEastAsia"/>
                <w:color w:val="auto"/>
                <w:kern w:val="2"/>
                <w:sz w:val="24"/>
                <w:szCs w:val="24"/>
              </w:rPr>
              <w:t>的功能。</w:t>
            </w:r>
          </w:p>
          <w:p w14:paraId="5EA299A8">
            <w:pPr>
              <w:widowControl w:val="0"/>
              <w:tabs>
                <w:tab w:val="left" w:pos="312"/>
              </w:tabs>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分别分析展示安阳市人民医院医疗集团和安阳市中医院医疗集团所辖区内门诊人次数、次均费用、总费用、次均统筹报销，并展示同比环比数据</w:t>
            </w:r>
            <w:r>
              <w:rPr>
                <w:rFonts w:hint="eastAsia" w:asciiTheme="minorEastAsia" w:hAnsiTheme="minorEastAsia" w:eastAsiaTheme="minorEastAsia" w:cstheme="minorEastAsia"/>
                <w:color w:val="auto"/>
                <w:kern w:val="2"/>
                <w:sz w:val="24"/>
                <w:szCs w:val="24"/>
              </w:rPr>
              <w:t>的功能。</w:t>
            </w:r>
          </w:p>
          <w:p w14:paraId="28F6B85A">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分别分析展示安阳市人民医院医疗集团和安阳市中医院医疗集团所辖区内各医疗机构门诊人次数和门诊次均费用，次均统筹报销，并展示同比环比数据和趋势数据</w:t>
            </w:r>
            <w:r>
              <w:rPr>
                <w:rFonts w:hint="eastAsia" w:asciiTheme="minorEastAsia" w:hAnsiTheme="minorEastAsia" w:eastAsiaTheme="minorEastAsia" w:cstheme="minorEastAsia"/>
                <w:color w:val="auto"/>
                <w:kern w:val="2"/>
                <w:sz w:val="24"/>
                <w:szCs w:val="24"/>
              </w:rPr>
              <w:t>的功能。</w:t>
            </w:r>
          </w:p>
          <w:p w14:paraId="08B05466">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统计各县区门诊人次、总费用、统筹总花费、次均费用、平均统筹报销等数据，并展示各数据的同比增幅</w:t>
            </w:r>
            <w:r>
              <w:rPr>
                <w:rFonts w:hint="eastAsia" w:asciiTheme="minorEastAsia" w:hAnsiTheme="minorEastAsia" w:eastAsiaTheme="minorEastAsia" w:cstheme="minorEastAsia"/>
                <w:color w:val="auto"/>
                <w:kern w:val="2"/>
                <w:sz w:val="24"/>
                <w:szCs w:val="24"/>
              </w:rPr>
              <w:t>的功能。</w:t>
            </w:r>
          </w:p>
          <w:p w14:paraId="4969517D">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分析展示各医疗机构，门诊人次、次均费用、次均报销费用，以及各数据的同比环比数据，趋势数据，并支持按医疗机构级别或者行政区划进行划分筛选</w:t>
            </w:r>
            <w:r>
              <w:rPr>
                <w:rFonts w:hint="eastAsia" w:asciiTheme="minorEastAsia" w:hAnsiTheme="minorEastAsia" w:eastAsiaTheme="minorEastAsia" w:cstheme="minorEastAsia"/>
                <w:color w:val="auto"/>
                <w:kern w:val="2"/>
                <w:sz w:val="24"/>
                <w:szCs w:val="24"/>
              </w:rPr>
              <w:t>的功能。</w:t>
            </w:r>
          </w:p>
          <w:p w14:paraId="3DA2582A">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7、上述数据支持下钻分析的功能，下钻后可展示各县区或县区内各乡镇街道以及各医疗机构的数据详情。</w:t>
            </w:r>
          </w:p>
        </w:tc>
      </w:tr>
      <w:tr w14:paraId="741E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3940979F">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6F974F9E">
            <w:pPr>
              <w:spacing w:line="276" w:lineRule="auto"/>
              <w:jc w:val="center"/>
              <w:rPr>
                <w:rFonts w:cs="宋体" w:asciiTheme="minorEastAsia" w:hAnsiTheme="minorEastAsia" w:eastAsiaTheme="minorEastAsia"/>
                <w:color w:val="auto"/>
                <w:sz w:val="24"/>
                <w:szCs w:val="24"/>
              </w:rPr>
            </w:pPr>
          </w:p>
        </w:tc>
        <w:tc>
          <w:tcPr>
            <w:tcW w:w="1656" w:type="dxa"/>
            <w:vAlign w:val="center"/>
          </w:tcPr>
          <w:p w14:paraId="028F0D46">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外转数据分析</w:t>
            </w:r>
          </w:p>
        </w:tc>
        <w:tc>
          <w:tcPr>
            <w:tcW w:w="6425" w:type="dxa"/>
            <w:vAlign w:val="center"/>
          </w:tcPr>
          <w:p w14:paraId="029DF1A3">
            <w:pPr>
              <w:widowControl w:val="0"/>
              <w:spacing w:line="360" w:lineRule="auto"/>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分析全市外转人次数，外转患者医疗总费用、统筹资金花费、次均费用、次均住院日、次均统筹花费等，并显示各数值的同比增幅</w:t>
            </w:r>
            <w:r>
              <w:rPr>
                <w:rFonts w:hint="eastAsia" w:asciiTheme="minorEastAsia" w:hAnsiTheme="minorEastAsia" w:eastAsiaTheme="minorEastAsia" w:cstheme="minorEastAsia"/>
                <w:color w:val="auto"/>
                <w:kern w:val="2"/>
                <w:sz w:val="24"/>
                <w:szCs w:val="24"/>
              </w:rPr>
              <w:t>的功能。</w:t>
            </w:r>
          </w:p>
          <w:p w14:paraId="16F62984">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显示全市外转人次数、占比、外传患者总费用、次均费用、次均住院日，并显示外传患者人次数月度趋势</w:t>
            </w:r>
            <w:r>
              <w:rPr>
                <w:rFonts w:hint="eastAsia" w:asciiTheme="minorEastAsia" w:hAnsiTheme="minorEastAsia" w:eastAsiaTheme="minorEastAsia" w:cstheme="minorEastAsia"/>
                <w:color w:val="auto"/>
                <w:kern w:val="2"/>
                <w:sz w:val="24"/>
                <w:szCs w:val="24"/>
              </w:rPr>
              <w:t>的功能。</w:t>
            </w:r>
          </w:p>
          <w:p w14:paraId="7F5CC946">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显示全市外转医疗机构汇总信息，显示各医疗机构人次数、总费用、总统筹费用、次均费用、次均住院日、次均统筹费用，支持按照市域外和省域外进行汇总分析，各外转医疗机构支持下钻分析外转病种和外传患者统筹区划</w:t>
            </w:r>
            <w:r>
              <w:rPr>
                <w:rFonts w:hint="eastAsia" w:asciiTheme="minorEastAsia" w:hAnsiTheme="minorEastAsia" w:eastAsiaTheme="minorEastAsia" w:cstheme="minorEastAsia"/>
                <w:color w:val="auto"/>
                <w:kern w:val="2"/>
                <w:sz w:val="24"/>
                <w:szCs w:val="24"/>
              </w:rPr>
              <w:t>的功能。</w:t>
            </w:r>
          </w:p>
          <w:p w14:paraId="289F2A47">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分别分析展示安阳市人民医院医疗集团和安阳市中医院医疗集团所辖区内外转人次数和总费用、统筹总支出、次均费用、次均统筹报销，并展示同比环比数据和趋势数据</w:t>
            </w:r>
            <w:r>
              <w:rPr>
                <w:rFonts w:hint="eastAsia" w:asciiTheme="minorEastAsia" w:hAnsiTheme="minorEastAsia" w:eastAsiaTheme="minorEastAsia" w:cstheme="minorEastAsia"/>
                <w:color w:val="auto"/>
                <w:kern w:val="2"/>
                <w:sz w:val="24"/>
                <w:szCs w:val="24"/>
              </w:rPr>
              <w:t>的功能。</w:t>
            </w:r>
          </w:p>
          <w:p w14:paraId="3D301EF9">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按各县区汇总显示外转患者人次数、总费用、总统筹支出、次均费用、次均统筹支出、次均住院日、同比增幅等</w:t>
            </w:r>
            <w:r>
              <w:rPr>
                <w:rFonts w:hint="eastAsia" w:asciiTheme="minorEastAsia" w:hAnsiTheme="minorEastAsia" w:eastAsiaTheme="minorEastAsia" w:cstheme="minorEastAsia"/>
                <w:color w:val="auto"/>
                <w:kern w:val="2"/>
                <w:sz w:val="24"/>
                <w:szCs w:val="24"/>
              </w:rPr>
              <w:t>的功能。</w:t>
            </w:r>
          </w:p>
          <w:p w14:paraId="1F9847DF">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按ICD10病种类目和亚目统计外传分类排行，显示各分类人次数、总费用、总统筹支出、次均费用、次均统筹支出、次均住院日，同比增幅等</w:t>
            </w:r>
            <w:r>
              <w:rPr>
                <w:rFonts w:hint="eastAsia" w:asciiTheme="minorEastAsia" w:hAnsiTheme="minorEastAsia" w:eastAsiaTheme="minorEastAsia" w:cstheme="minorEastAsia"/>
                <w:color w:val="auto"/>
                <w:kern w:val="2"/>
                <w:sz w:val="24"/>
                <w:szCs w:val="24"/>
              </w:rPr>
              <w:t>的功能。</w:t>
            </w:r>
          </w:p>
          <w:p w14:paraId="7BE4F5E7">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7、上述数据</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下钻分析明细</w:t>
            </w:r>
            <w:r>
              <w:rPr>
                <w:rFonts w:hint="eastAsia" w:asciiTheme="minorEastAsia" w:hAnsiTheme="minorEastAsia" w:eastAsiaTheme="minorEastAsia" w:cstheme="minorEastAsia"/>
                <w:color w:val="auto"/>
                <w:kern w:val="2"/>
                <w:sz w:val="24"/>
                <w:szCs w:val="24"/>
              </w:rPr>
              <w:t>的功能</w:t>
            </w:r>
            <w:r>
              <w:rPr>
                <w:rFonts w:hint="eastAsia" w:asciiTheme="minorEastAsia" w:hAnsiTheme="minorEastAsia" w:eastAsiaTheme="minorEastAsia" w:cstheme="minorEastAsia"/>
                <w:color w:val="auto"/>
                <w:sz w:val="24"/>
                <w:szCs w:val="24"/>
              </w:rPr>
              <w:t>，可以下钻到具体就诊患者记录。</w:t>
            </w:r>
          </w:p>
        </w:tc>
      </w:tr>
      <w:tr w14:paraId="6D7D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5CAD0F5D">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06B1E659">
            <w:pPr>
              <w:spacing w:line="276" w:lineRule="auto"/>
              <w:jc w:val="center"/>
              <w:rPr>
                <w:rFonts w:cs="宋体" w:asciiTheme="minorEastAsia" w:hAnsiTheme="minorEastAsia" w:eastAsiaTheme="minorEastAsia"/>
                <w:color w:val="auto"/>
                <w:sz w:val="24"/>
                <w:szCs w:val="24"/>
              </w:rPr>
            </w:pPr>
          </w:p>
        </w:tc>
        <w:tc>
          <w:tcPr>
            <w:tcW w:w="1656" w:type="dxa"/>
            <w:vAlign w:val="center"/>
          </w:tcPr>
          <w:p w14:paraId="2CA7F201">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转入数据分析</w:t>
            </w:r>
          </w:p>
        </w:tc>
        <w:tc>
          <w:tcPr>
            <w:tcW w:w="6425" w:type="dxa"/>
            <w:vAlign w:val="center"/>
          </w:tcPr>
          <w:p w14:paraId="6EBFCA88">
            <w:pPr>
              <w:widowControl w:val="0"/>
              <w:spacing w:line="360" w:lineRule="auto"/>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分析全市转入人次数，转入患者总费用、次均费用、次均住院日、并显示各数值同比增幅</w:t>
            </w:r>
            <w:r>
              <w:rPr>
                <w:rFonts w:hint="eastAsia" w:asciiTheme="minorEastAsia" w:hAnsiTheme="minorEastAsia" w:eastAsiaTheme="minorEastAsia" w:cstheme="minorEastAsia"/>
                <w:color w:val="auto"/>
                <w:kern w:val="2"/>
                <w:sz w:val="24"/>
                <w:szCs w:val="24"/>
              </w:rPr>
              <w:t>的功能。</w:t>
            </w:r>
          </w:p>
          <w:p w14:paraId="4DC849B6">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显示全市转入患者人次数、占比、总费用、人次数月度趋势</w:t>
            </w:r>
            <w:r>
              <w:rPr>
                <w:rFonts w:hint="eastAsia" w:asciiTheme="minorEastAsia" w:hAnsiTheme="minorEastAsia" w:eastAsiaTheme="minorEastAsia" w:cstheme="minorEastAsia"/>
                <w:color w:val="auto"/>
                <w:kern w:val="2"/>
                <w:sz w:val="24"/>
                <w:szCs w:val="24"/>
              </w:rPr>
              <w:t>的功能。</w:t>
            </w:r>
          </w:p>
          <w:p w14:paraId="0661B439">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按医疗机构分析转入人次数、转入患者总费用、次均费用、次均住院日，并显示各数值同比增幅</w:t>
            </w:r>
            <w:r>
              <w:rPr>
                <w:rFonts w:hint="eastAsia" w:asciiTheme="minorEastAsia" w:hAnsiTheme="minorEastAsia" w:eastAsiaTheme="minorEastAsia" w:cstheme="minorEastAsia"/>
                <w:color w:val="auto"/>
                <w:kern w:val="2"/>
                <w:sz w:val="24"/>
                <w:szCs w:val="24"/>
              </w:rPr>
              <w:t>的功能。</w:t>
            </w:r>
          </w:p>
          <w:p w14:paraId="5F637233">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按医疗机构分析转入患者ICD10病种分析，按照ICD10类目和ICD10亚目进行分析，显示各转入医疗机构分类排行，以及各分类总人次、次均费用、次均住院日等信息，并显示各数值同比增幅</w:t>
            </w:r>
            <w:r>
              <w:rPr>
                <w:rFonts w:hint="eastAsia" w:asciiTheme="minorEastAsia" w:hAnsiTheme="minorEastAsia" w:eastAsiaTheme="minorEastAsia" w:cstheme="minorEastAsia"/>
                <w:color w:val="auto"/>
                <w:kern w:val="2"/>
                <w:sz w:val="24"/>
                <w:szCs w:val="24"/>
              </w:rPr>
              <w:t>的功能。</w:t>
            </w:r>
          </w:p>
          <w:p w14:paraId="65828CC6">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按ICD10病种类目和亚目统计转入患者分类排行，显示各分类人次数、总费用、总统筹支出、次均费用、次均统筹支出、次均住院日，同比增幅等</w:t>
            </w:r>
            <w:r>
              <w:rPr>
                <w:rFonts w:hint="eastAsia" w:asciiTheme="minorEastAsia" w:hAnsiTheme="minorEastAsia" w:eastAsiaTheme="minorEastAsia" w:cstheme="minorEastAsia"/>
                <w:color w:val="auto"/>
                <w:kern w:val="2"/>
                <w:sz w:val="24"/>
                <w:szCs w:val="24"/>
              </w:rPr>
              <w:t>的功能。</w:t>
            </w:r>
          </w:p>
          <w:p w14:paraId="189E53DF">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6、上述数据</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下钻分析明细</w:t>
            </w:r>
            <w:r>
              <w:rPr>
                <w:rFonts w:hint="eastAsia" w:asciiTheme="minorEastAsia" w:hAnsiTheme="minorEastAsia" w:eastAsiaTheme="minorEastAsia" w:cstheme="minorEastAsia"/>
                <w:color w:val="auto"/>
                <w:kern w:val="2"/>
                <w:sz w:val="24"/>
                <w:szCs w:val="24"/>
              </w:rPr>
              <w:t>的功能</w:t>
            </w:r>
            <w:r>
              <w:rPr>
                <w:rFonts w:hint="eastAsia" w:asciiTheme="minorEastAsia" w:hAnsiTheme="minorEastAsia" w:eastAsiaTheme="minorEastAsia" w:cstheme="minorEastAsia"/>
                <w:color w:val="auto"/>
                <w:sz w:val="24"/>
                <w:szCs w:val="24"/>
              </w:rPr>
              <w:t>，可以下钻到具体就诊患者记录。</w:t>
            </w:r>
          </w:p>
        </w:tc>
      </w:tr>
      <w:tr w14:paraId="6D8E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5C3C814A">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46D64D20">
            <w:pPr>
              <w:spacing w:line="276" w:lineRule="auto"/>
              <w:jc w:val="center"/>
              <w:rPr>
                <w:rFonts w:cs="宋体" w:asciiTheme="minorEastAsia" w:hAnsiTheme="minorEastAsia" w:eastAsiaTheme="minorEastAsia"/>
                <w:color w:val="auto"/>
                <w:sz w:val="24"/>
                <w:szCs w:val="24"/>
              </w:rPr>
            </w:pPr>
          </w:p>
        </w:tc>
        <w:tc>
          <w:tcPr>
            <w:tcW w:w="1656" w:type="dxa"/>
            <w:vAlign w:val="center"/>
          </w:tcPr>
          <w:p w14:paraId="5D030DC0">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住院病种分析</w:t>
            </w:r>
          </w:p>
        </w:tc>
        <w:tc>
          <w:tcPr>
            <w:tcW w:w="6425" w:type="dxa"/>
            <w:vAlign w:val="center"/>
          </w:tcPr>
          <w:p w14:paraId="2B4E6F90">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按照ICD10类目、ICD10亚目、ICD诊断分析全市各分类住院人次、总费用、统筹总费用、次均费用、次均统筹费用、次均住院日等信息，并同步显示同步增幅</w:t>
            </w:r>
            <w:r>
              <w:rPr>
                <w:rFonts w:hint="eastAsia" w:asciiTheme="minorEastAsia" w:hAnsiTheme="minorEastAsia" w:eastAsiaTheme="minorEastAsia" w:cstheme="minorEastAsia"/>
                <w:color w:val="auto"/>
                <w:kern w:val="2"/>
                <w:sz w:val="24"/>
                <w:szCs w:val="24"/>
              </w:rPr>
              <w:t>的功能。</w:t>
            </w:r>
          </w:p>
          <w:p w14:paraId="5812078B">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按照医疗集团分别统计ICD10类目、ICD10亚目、ICD诊断分析全市各分类住院人次、总费用、统筹总费用、次均费用、次均统筹费用、次均住院日等信息，并同步显示同步增幅</w:t>
            </w:r>
            <w:r>
              <w:rPr>
                <w:rFonts w:hint="eastAsia" w:asciiTheme="minorEastAsia" w:hAnsiTheme="minorEastAsia" w:eastAsiaTheme="minorEastAsia" w:cstheme="minorEastAsia"/>
                <w:color w:val="auto"/>
                <w:kern w:val="2"/>
                <w:sz w:val="24"/>
                <w:szCs w:val="24"/>
              </w:rPr>
              <w:t>的功能。</w:t>
            </w:r>
          </w:p>
          <w:p w14:paraId="0EC6796A">
            <w:pPr>
              <w:widowControl w:val="0"/>
              <w:spacing w:line="360" w:lineRule="auto"/>
              <w:ind w:firstLine="240" w:firstLineChars="100"/>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按照医疗机构分别统计ICD10类目、ICD10亚目、ICD诊断分析全市各分类住院人次、总费用、统筹总费用、次均费用、次均统筹费用、次均住院日等信息，并同步显示同步增幅</w:t>
            </w:r>
            <w:r>
              <w:rPr>
                <w:rFonts w:hint="eastAsia" w:asciiTheme="minorEastAsia" w:hAnsiTheme="minorEastAsia" w:eastAsiaTheme="minorEastAsia" w:cstheme="minorEastAsia"/>
                <w:color w:val="auto"/>
                <w:kern w:val="2"/>
                <w:sz w:val="24"/>
                <w:szCs w:val="24"/>
              </w:rPr>
              <w:t>的功能。</w:t>
            </w:r>
          </w:p>
          <w:p w14:paraId="47D4FB4F">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按照区县划分分别统计ICD10类目、ICD10 亚目、ICD诊断分析全市各分类住院人次、总费用、统筹总费用、次均费用、次均统筹费用、次均住院日等信息，并同步显示同步增幅</w:t>
            </w:r>
            <w:r>
              <w:rPr>
                <w:rFonts w:hint="eastAsia" w:asciiTheme="minorEastAsia" w:hAnsiTheme="minorEastAsia" w:eastAsiaTheme="minorEastAsia" w:cstheme="minorEastAsia"/>
                <w:color w:val="auto"/>
                <w:kern w:val="2"/>
                <w:sz w:val="24"/>
                <w:szCs w:val="24"/>
              </w:rPr>
              <w:t>的功能。</w:t>
            </w:r>
          </w:p>
          <w:p w14:paraId="2144246C">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按照各个ICD10类目、ICD10亚目显示住院人次数趋势分析，次均费用趋势分析、次均住院日分析</w:t>
            </w:r>
            <w:r>
              <w:rPr>
                <w:rFonts w:hint="eastAsia" w:asciiTheme="minorEastAsia" w:hAnsiTheme="minorEastAsia" w:eastAsiaTheme="minorEastAsia" w:cstheme="minorEastAsia"/>
                <w:color w:val="auto"/>
                <w:kern w:val="2"/>
                <w:sz w:val="24"/>
                <w:szCs w:val="24"/>
              </w:rPr>
              <w:t>的功能。</w:t>
            </w:r>
          </w:p>
          <w:p w14:paraId="13C21273">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按照各个ICD10类目、ICD10亚目显示外转患者人次数，总费用、统筹总费用、次均费用、次均统筹费用、次均住院日等信息，并同步显示同步增幅</w:t>
            </w:r>
            <w:r>
              <w:rPr>
                <w:rFonts w:hint="eastAsia" w:asciiTheme="minorEastAsia" w:hAnsiTheme="minorEastAsia" w:eastAsiaTheme="minorEastAsia" w:cstheme="minorEastAsia"/>
                <w:color w:val="auto"/>
                <w:kern w:val="2"/>
                <w:sz w:val="24"/>
                <w:szCs w:val="24"/>
              </w:rPr>
              <w:t>的功能。</w:t>
            </w:r>
          </w:p>
          <w:p w14:paraId="63973AAE">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7、上述数据</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下钻分析明细</w:t>
            </w:r>
            <w:r>
              <w:rPr>
                <w:rFonts w:hint="eastAsia" w:asciiTheme="minorEastAsia" w:hAnsiTheme="minorEastAsia" w:eastAsiaTheme="minorEastAsia" w:cstheme="minorEastAsia"/>
                <w:color w:val="auto"/>
                <w:kern w:val="2"/>
                <w:sz w:val="24"/>
                <w:szCs w:val="24"/>
              </w:rPr>
              <w:t>的功能</w:t>
            </w:r>
            <w:r>
              <w:rPr>
                <w:rFonts w:hint="eastAsia" w:asciiTheme="minorEastAsia" w:hAnsiTheme="minorEastAsia" w:eastAsiaTheme="minorEastAsia" w:cstheme="minorEastAsia"/>
                <w:color w:val="auto"/>
                <w:sz w:val="24"/>
                <w:szCs w:val="24"/>
              </w:rPr>
              <w:t>，可以下钻到具体就诊患者记录。</w:t>
            </w:r>
          </w:p>
        </w:tc>
      </w:tr>
      <w:tr w14:paraId="2D6F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14:paraId="25BC23AE">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w:t>
            </w:r>
          </w:p>
        </w:tc>
        <w:tc>
          <w:tcPr>
            <w:tcW w:w="1080" w:type="dxa"/>
            <w:vMerge w:val="restart"/>
            <w:vAlign w:val="center"/>
          </w:tcPr>
          <w:p w14:paraId="556C3F4E">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集团监管平台</w:t>
            </w:r>
          </w:p>
        </w:tc>
        <w:tc>
          <w:tcPr>
            <w:tcW w:w="1656" w:type="dxa"/>
            <w:vAlign w:val="center"/>
          </w:tcPr>
          <w:p w14:paraId="6392F4E6">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数据总览</w:t>
            </w:r>
          </w:p>
        </w:tc>
        <w:tc>
          <w:tcPr>
            <w:tcW w:w="6425" w:type="dxa"/>
            <w:vAlign w:val="center"/>
          </w:tcPr>
          <w:p w14:paraId="50C47DF5">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1、具备综合展示安阳市人民医院医疗集团和安阳市中医院医疗集团所辖区域保险参保总人数及医疗保险资金征缴总额，并附上同比增长率的功能。</w:t>
            </w:r>
          </w:p>
          <w:p w14:paraId="5E187F6A">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2、具备综合展示安阳市人民医院医疗集团和安阳市中医院医疗集团所辖区域当前时间城乡居民保险资金使用进度的功能。</w:t>
            </w:r>
          </w:p>
          <w:p w14:paraId="46EC12ED">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3、具备综合展示安阳市人民医院医疗集团和安阳市中医院医疗集团所辖区域住院率及其同比增长率和人次增长率的功能。</w:t>
            </w:r>
          </w:p>
          <w:p w14:paraId="24BD20EC">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4、具备综合展示医疗集团所辖区域外转率、外转人次数、同比增长率和同比增幅比例的功能。</w:t>
            </w:r>
          </w:p>
          <w:p w14:paraId="315E6474">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5、具备综合展示安阳市人民医院医疗集团和安阳市中医院医疗集团所辖区域市域外转率和省域外转率人次，外转率以及同比增长率的功能。</w:t>
            </w:r>
          </w:p>
          <w:p w14:paraId="24145C62">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6、具备综合展示医疗集团所辖区域城乡居民参保总人数，医疗保险总资征缴数，城镇职工住院率和外转率，并同步展示以上指标同比增长数据的功能。</w:t>
            </w:r>
          </w:p>
          <w:p w14:paraId="515A52B0">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7、以上指标具备数据下钻查看明细的功能。</w:t>
            </w:r>
          </w:p>
        </w:tc>
      </w:tr>
      <w:tr w14:paraId="7D20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1B0954D7">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08FC5B31">
            <w:pPr>
              <w:spacing w:line="276" w:lineRule="auto"/>
              <w:jc w:val="center"/>
              <w:rPr>
                <w:rFonts w:cs="宋体" w:asciiTheme="minorEastAsia" w:hAnsiTheme="minorEastAsia" w:eastAsiaTheme="minorEastAsia"/>
                <w:color w:val="auto"/>
                <w:sz w:val="24"/>
                <w:szCs w:val="24"/>
              </w:rPr>
            </w:pPr>
          </w:p>
        </w:tc>
        <w:tc>
          <w:tcPr>
            <w:tcW w:w="1656" w:type="dxa"/>
            <w:vAlign w:val="center"/>
          </w:tcPr>
          <w:p w14:paraId="23EE33AC">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参保数据分析</w:t>
            </w:r>
          </w:p>
        </w:tc>
        <w:tc>
          <w:tcPr>
            <w:tcW w:w="6425" w:type="dxa"/>
            <w:vAlign w:val="center"/>
          </w:tcPr>
          <w:p w14:paraId="27B7711C">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1、具备分析安阳市人民医院医疗集团和安阳市中医院医疗集团所辖区域居民的参保人数和征缴的医保资金，同时展示历年参保人数的趋势的功能。</w:t>
            </w:r>
          </w:p>
          <w:p w14:paraId="6B5A6426">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2、数据具备下钻至各区县对应的乡镇和村组，以显示参保人数和医保资金，并展示历年参保人数的趋势变化的功能。</w:t>
            </w:r>
          </w:p>
          <w:p w14:paraId="7E0A8043">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3、具备医保资金使用支出预警功能，针对安阳市人民医院医疗集团和安阳市中医院医疗集团所辖区域使用医保资金额度进行分析，预测可能超出预算的县区并进行预警。</w:t>
            </w:r>
          </w:p>
        </w:tc>
      </w:tr>
      <w:tr w14:paraId="08D0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6973EE41">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57CFDF6F">
            <w:pPr>
              <w:spacing w:line="276" w:lineRule="auto"/>
              <w:jc w:val="center"/>
              <w:rPr>
                <w:rFonts w:cs="宋体" w:asciiTheme="minorEastAsia" w:hAnsiTheme="minorEastAsia" w:eastAsiaTheme="minorEastAsia"/>
                <w:color w:val="auto"/>
                <w:sz w:val="24"/>
                <w:szCs w:val="24"/>
              </w:rPr>
            </w:pPr>
          </w:p>
        </w:tc>
        <w:tc>
          <w:tcPr>
            <w:tcW w:w="1656" w:type="dxa"/>
            <w:vAlign w:val="center"/>
          </w:tcPr>
          <w:p w14:paraId="04C4029F">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住院数据分析</w:t>
            </w:r>
          </w:p>
        </w:tc>
        <w:tc>
          <w:tcPr>
            <w:tcW w:w="6425" w:type="dxa"/>
            <w:vAlign w:val="center"/>
          </w:tcPr>
          <w:p w14:paraId="65027134">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1、具备分析展示安阳市人民医院医疗集团和安阳市中医院医疗集团所辖区域当前住院人次的状况，并提供住院人次的同比与环比对比分析的功能。</w:t>
            </w:r>
          </w:p>
          <w:p w14:paraId="3DB7130A">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2、具备展示安阳市人民医院医疗集团和安阳市中医院医疗集团所辖区域住院人次、次均费用、平均统筹报销以及同比环比数据的功能。</w:t>
            </w:r>
          </w:p>
          <w:p w14:paraId="38DD109B">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3、具备显示安阳市人民医院医疗集团和安阳市中医院医疗集团所辖区域外转患者的比例，包括：县域外转占比、市域外转占比、省域外转占比，并展示外转患者总费用、统筹使用、统筹使用占比、次均费用、次均统筹使用等数据的功能。</w:t>
            </w:r>
          </w:p>
          <w:p w14:paraId="024564F1">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4、具备分析展示安阳市人民医院医疗集团和安阳市中医院医疗集团各医疗机构，住院人次、次均费用、次均报销费用、次均住院日，以及各数据的同比环比数据，趋势数据，并支持按医疗机构级别或者行政区划进行划分筛选的功能。</w:t>
            </w:r>
          </w:p>
          <w:p w14:paraId="37DBC6CC">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5、上述数据具备下钻分析的功能，下钻后可展示各县区或县区内各乡镇街道的数据情况。</w:t>
            </w:r>
          </w:p>
        </w:tc>
      </w:tr>
      <w:tr w14:paraId="7C37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17264E6A">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66DD0A3D">
            <w:pPr>
              <w:spacing w:line="276" w:lineRule="auto"/>
              <w:jc w:val="center"/>
              <w:rPr>
                <w:rFonts w:cs="宋体" w:asciiTheme="minorEastAsia" w:hAnsiTheme="minorEastAsia" w:eastAsiaTheme="minorEastAsia"/>
                <w:color w:val="auto"/>
                <w:sz w:val="24"/>
                <w:szCs w:val="24"/>
              </w:rPr>
            </w:pPr>
          </w:p>
        </w:tc>
        <w:tc>
          <w:tcPr>
            <w:tcW w:w="1656" w:type="dxa"/>
            <w:vAlign w:val="center"/>
          </w:tcPr>
          <w:p w14:paraId="26649C03">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门诊数据分析</w:t>
            </w:r>
          </w:p>
        </w:tc>
        <w:tc>
          <w:tcPr>
            <w:tcW w:w="6425" w:type="dxa"/>
            <w:vAlign w:val="center"/>
          </w:tcPr>
          <w:p w14:paraId="050A0F92">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分析展示</w:t>
            </w:r>
            <w:r>
              <w:rPr>
                <w:rFonts w:hint="eastAsia" w:asciiTheme="minorEastAsia" w:hAnsiTheme="minorEastAsia" w:eastAsiaTheme="minorEastAsia" w:cstheme="minorEastAsia"/>
                <w:color w:val="auto"/>
                <w:kern w:val="2"/>
                <w:sz w:val="24"/>
                <w:szCs w:val="24"/>
              </w:rPr>
              <w:t>安阳市人民医院医疗集团和安阳市中医院医疗集团所辖区域</w:t>
            </w:r>
            <w:r>
              <w:rPr>
                <w:rFonts w:hint="eastAsia" w:asciiTheme="minorEastAsia" w:hAnsiTheme="minorEastAsia" w:eastAsiaTheme="minorEastAsia" w:cstheme="minorEastAsia"/>
                <w:color w:val="auto"/>
                <w:sz w:val="24"/>
                <w:szCs w:val="24"/>
              </w:rPr>
              <w:t>门诊患者就诊情况，显示就诊人次和就诊人次月度趋势图</w:t>
            </w:r>
            <w:r>
              <w:rPr>
                <w:rFonts w:hint="eastAsia" w:asciiTheme="minorEastAsia" w:hAnsiTheme="minorEastAsia" w:eastAsiaTheme="minorEastAsia" w:cstheme="minorEastAsia"/>
                <w:color w:val="auto"/>
                <w:kern w:val="2"/>
                <w:sz w:val="24"/>
                <w:szCs w:val="24"/>
              </w:rPr>
              <w:t>的功能。</w:t>
            </w:r>
          </w:p>
          <w:p w14:paraId="304827EE">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分析展示</w:t>
            </w:r>
            <w:r>
              <w:rPr>
                <w:rFonts w:hint="eastAsia" w:asciiTheme="minorEastAsia" w:hAnsiTheme="minorEastAsia" w:eastAsiaTheme="minorEastAsia" w:cstheme="minorEastAsia"/>
                <w:color w:val="auto"/>
                <w:kern w:val="2"/>
                <w:sz w:val="24"/>
                <w:szCs w:val="24"/>
              </w:rPr>
              <w:t>安阳市人民医院医疗集团和安阳市中医院医疗集团所辖区域</w:t>
            </w:r>
            <w:r>
              <w:rPr>
                <w:rFonts w:hint="eastAsia" w:asciiTheme="minorEastAsia" w:hAnsiTheme="minorEastAsia" w:eastAsiaTheme="minorEastAsia" w:cstheme="minorEastAsia"/>
                <w:color w:val="auto"/>
                <w:sz w:val="24"/>
                <w:szCs w:val="24"/>
              </w:rPr>
              <w:t>门诊人次数、次均费用、总费用、次均统筹报销数据，并展示同比环比数据</w:t>
            </w:r>
            <w:r>
              <w:rPr>
                <w:rFonts w:hint="eastAsia" w:asciiTheme="minorEastAsia" w:hAnsiTheme="minorEastAsia" w:eastAsiaTheme="minorEastAsia" w:cstheme="minorEastAsia"/>
                <w:color w:val="auto"/>
                <w:kern w:val="2"/>
                <w:sz w:val="24"/>
                <w:szCs w:val="24"/>
              </w:rPr>
              <w:t>的功能。</w:t>
            </w:r>
          </w:p>
          <w:p w14:paraId="1F58437A">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统计</w:t>
            </w:r>
            <w:r>
              <w:rPr>
                <w:rFonts w:hint="eastAsia" w:asciiTheme="minorEastAsia" w:hAnsiTheme="minorEastAsia" w:eastAsiaTheme="minorEastAsia" w:cstheme="minorEastAsia"/>
                <w:color w:val="auto"/>
                <w:kern w:val="2"/>
                <w:sz w:val="24"/>
                <w:szCs w:val="24"/>
              </w:rPr>
              <w:t>安阳市人民医院医疗集团和安阳市中医院医疗集团所辖</w:t>
            </w:r>
            <w:r>
              <w:rPr>
                <w:rFonts w:hint="eastAsia" w:asciiTheme="minorEastAsia" w:hAnsiTheme="minorEastAsia" w:eastAsiaTheme="minorEastAsia" w:cstheme="minorEastAsia"/>
                <w:color w:val="auto"/>
                <w:sz w:val="24"/>
                <w:szCs w:val="24"/>
              </w:rPr>
              <w:t>各县区门诊人次、总费用、统筹总花费、次均费用、平均统筹报销等数据，并展示各数据的同比增幅</w:t>
            </w:r>
            <w:r>
              <w:rPr>
                <w:rFonts w:hint="eastAsia" w:asciiTheme="minorEastAsia" w:hAnsiTheme="minorEastAsia" w:eastAsiaTheme="minorEastAsia" w:cstheme="minorEastAsia"/>
                <w:color w:val="auto"/>
                <w:kern w:val="2"/>
                <w:sz w:val="24"/>
                <w:szCs w:val="24"/>
              </w:rPr>
              <w:t>的功能。</w:t>
            </w:r>
          </w:p>
          <w:p w14:paraId="7F14AE08">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分析展示</w:t>
            </w:r>
            <w:r>
              <w:rPr>
                <w:rFonts w:hint="eastAsia" w:asciiTheme="minorEastAsia" w:hAnsiTheme="minorEastAsia" w:eastAsiaTheme="minorEastAsia" w:cstheme="minorEastAsia"/>
                <w:color w:val="auto"/>
                <w:kern w:val="2"/>
                <w:sz w:val="24"/>
                <w:szCs w:val="24"/>
              </w:rPr>
              <w:t>安阳市人民医院医疗集团和安阳市中医院医疗集团所辖</w:t>
            </w:r>
            <w:r>
              <w:rPr>
                <w:rFonts w:hint="eastAsia" w:asciiTheme="minorEastAsia" w:hAnsiTheme="minorEastAsia" w:eastAsiaTheme="minorEastAsia" w:cstheme="minorEastAsia"/>
                <w:color w:val="auto"/>
                <w:sz w:val="24"/>
                <w:szCs w:val="24"/>
              </w:rPr>
              <w:t>各医疗机构，门诊人次、次均费用、次均报销费用，以及各数据的同比环比数据，趋势数据，并支持按医疗机构级别或者行政区划进行划分筛选</w:t>
            </w:r>
            <w:r>
              <w:rPr>
                <w:rFonts w:hint="eastAsia" w:asciiTheme="minorEastAsia" w:hAnsiTheme="minorEastAsia" w:eastAsiaTheme="minorEastAsia" w:cstheme="minorEastAsia"/>
                <w:color w:val="auto"/>
                <w:kern w:val="2"/>
                <w:sz w:val="24"/>
                <w:szCs w:val="24"/>
              </w:rPr>
              <w:t>的功能。</w:t>
            </w:r>
          </w:p>
          <w:p w14:paraId="6EEF4F3E">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5、上述数据具备下钻分析的功能，下钻后可展示各县区或县区内各乡镇街道以及各医疗机构的数据详情。</w:t>
            </w:r>
          </w:p>
        </w:tc>
      </w:tr>
      <w:tr w14:paraId="6A9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2439EC34">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58880E68">
            <w:pPr>
              <w:spacing w:line="276" w:lineRule="auto"/>
              <w:jc w:val="center"/>
              <w:rPr>
                <w:rFonts w:cs="宋体" w:asciiTheme="minorEastAsia" w:hAnsiTheme="minorEastAsia" w:eastAsiaTheme="minorEastAsia"/>
                <w:color w:val="auto"/>
                <w:sz w:val="24"/>
                <w:szCs w:val="24"/>
              </w:rPr>
            </w:pPr>
          </w:p>
        </w:tc>
        <w:tc>
          <w:tcPr>
            <w:tcW w:w="1656" w:type="dxa"/>
            <w:vAlign w:val="center"/>
          </w:tcPr>
          <w:p w14:paraId="60ED613B">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外转数据分析</w:t>
            </w:r>
          </w:p>
        </w:tc>
        <w:tc>
          <w:tcPr>
            <w:tcW w:w="6425" w:type="dxa"/>
            <w:vAlign w:val="center"/>
          </w:tcPr>
          <w:p w14:paraId="133E9913">
            <w:pPr>
              <w:widowControl w:val="0"/>
              <w:spacing w:line="360" w:lineRule="auto"/>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w:t>
            </w:r>
            <w:r>
              <w:rPr>
                <w:rFonts w:hint="eastAsia" w:asciiTheme="minorEastAsia" w:hAnsiTheme="minorEastAsia" w:eastAsiaTheme="minorEastAsia" w:cstheme="minorEastAsia"/>
                <w:color w:val="auto"/>
                <w:kern w:val="2"/>
                <w:sz w:val="24"/>
                <w:szCs w:val="24"/>
              </w:rPr>
              <w:t>安阳市人民医院医疗集团和安阳市中医院医疗集团所辖区域</w:t>
            </w:r>
            <w:r>
              <w:rPr>
                <w:rFonts w:hint="eastAsia" w:asciiTheme="minorEastAsia" w:hAnsiTheme="minorEastAsia" w:eastAsiaTheme="minorEastAsia" w:cstheme="minorEastAsia"/>
                <w:color w:val="auto"/>
                <w:sz w:val="24"/>
                <w:szCs w:val="24"/>
              </w:rPr>
              <w:t>外转人次数，外转患者医疗总费用、统筹资金花费、次均费用、次均住院日、次均统筹花费等，并显示各数值的同比增幅</w:t>
            </w:r>
            <w:r>
              <w:rPr>
                <w:rFonts w:hint="eastAsia" w:asciiTheme="minorEastAsia" w:hAnsiTheme="minorEastAsia" w:eastAsiaTheme="minorEastAsia" w:cstheme="minorEastAsia"/>
                <w:color w:val="auto"/>
                <w:kern w:val="2"/>
                <w:sz w:val="24"/>
                <w:szCs w:val="24"/>
              </w:rPr>
              <w:t>的功能。</w:t>
            </w:r>
          </w:p>
          <w:p w14:paraId="38D0DB66">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显示</w:t>
            </w:r>
            <w:r>
              <w:rPr>
                <w:rFonts w:hint="eastAsia" w:asciiTheme="minorEastAsia" w:hAnsiTheme="minorEastAsia" w:eastAsiaTheme="minorEastAsia" w:cstheme="minorEastAsia"/>
                <w:color w:val="auto"/>
                <w:kern w:val="2"/>
                <w:sz w:val="24"/>
                <w:szCs w:val="24"/>
              </w:rPr>
              <w:t>安阳市人民医院医疗集团和安阳市中医院医疗集团所辖区域</w:t>
            </w:r>
            <w:r>
              <w:rPr>
                <w:rFonts w:hint="eastAsia" w:asciiTheme="minorEastAsia" w:hAnsiTheme="minorEastAsia" w:eastAsiaTheme="minorEastAsia" w:cstheme="minorEastAsia"/>
                <w:color w:val="auto"/>
                <w:sz w:val="24"/>
                <w:szCs w:val="24"/>
              </w:rPr>
              <w:t>外转人次数、占比、外传患者总费用、次均费用、次均住院日。并显示外传患者人次数月度趋势</w:t>
            </w:r>
            <w:r>
              <w:rPr>
                <w:rFonts w:hint="eastAsia" w:asciiTheme="minorEastAsia" w:hAnsiTheme="minorEastAsia" w:eastAsiaTheme="minorEastAsia" w:cstheme="minorEastAsia"/>
                <w:color w:val="auto"/>
                <w:kern w:val="2"/>
                <w:sz w:val="24"/>
                <w:szCs w:val="24"/>
              </w:rPr>
              <w:t>的功能。</w:t>
            </w:r>
          </w:p>
          <w:p w14:paraId="29A9F160">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显示</w:t>
            </w:r>
            <w:r>
              <w:rPr>
                <w:rFonts w:hint="eastAsia" w:asciiTheme="minorEastAsia" w:hAnsiTheme="minorEastAsia" w:eastAsiaTheme="minorEastAsia" w:cstheme="minorEastAsia"/>
                <w:color w:val="auto"/>
                <w:kern w:val="2"/>
                <w:sz w:val="24"/>
                <w:szCs w:val="24"/>
              </w:rPr>
              <w:t>安阳市人民医院医疗集团和安阳市中医院医疗集团所辖区域</w:t>
            </w:r>
            <w:r>
              <w:rPr>
                <w:rFonts w:hint="eastAsia" w:asciiTheme="minorEastAsia" w:hAnsiTheme="minorEastAsia" w:eastAsiaTheme="minorEastAsia" w:cstheme="minorEastAsia"/>
                <w:color w:val="auto"/>
                <w:sz w:val="24"/>
                <w:szCs w:val="24"/>
              </w:rPr>
              <w:t>外转医疗机构汇总信息，显示各医疗机构人次数、总费用、总统筹费用、次均费用、次均住院日、次均统筹费用，支持按照市域外和省域外进行汇总分析，各外转医疗机构支持下钻分析外转病种和外传患者统筹区划</w:t>
            </w:r>
            <w:r>
              <w:rPr>
                <w:rFonts w:hint="eastAsia" w:asciiTheme="minorEastAsia" w:hAnsiTheme="minorEastAsia" w:eastAsiaTheme="minorEastAsia" w:cstheme="minorEastAsia"/>
                <w:color w:val="auto"/>
                <w:kern w:val="2"/>
                <w:sz w:val="24"/>
                <w:szCs w:val="24"/>
              </w:rPr>
              <w:t>的功能。</w:t>
            </w:r>
          </w:p>
          <w:p w14:paraId="521F6B72">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w:t>
            </w:r>
            <w:r>
              <w:rPr>
                <w:rFonts w:hint="eastAsia" w:asciiTheme="minorEastAsia" w:hAnsiTheme="minorEastAsia" w:eastAsiaTheme="minorEastAsia" w:cstheme="minorEastAsia"/>
                <w:color w:val="auto"/>
                <w:kern w:val="2"/>
                <w:sz w:val="24"/>
                <w:szCs w:val="24"/>
              </w:rPr>
              <w:t>安阳市人民医院医疗集团和安阳市中医院医疗集团所辖</w:t>
            </w:r>
            <w:r>
              <w:rPr>
                <w:rFonts w:hint="eastAsia" w:asciiTheme="minorEastAsia" w:hAnsiTheme="minorEastAsia" w:eastAsiaTheme="minorEastAsia" w:cstheme="minorEastAsia"/>
                <w:color w:val="auto"/>
                <w:sz w:val="24"/>
                <w:szCs w:val="24"/>
              </w:rPr>
              <w:t>各县区汇总显示外转患者人次数、总费用、总统筹支出、次均费用、次均统筹支出、次均住院日、同比增幅等</w:t>
            </w:r>
            <w:r>
              <w:rPr>
                <w:rFonts w:hint="eastAsia" w:asciiTheme="minorEastAsia" w:hAnsiTheme="minorEastAsia" w:eastAsiaTheme="minorEastAsia" w:cstheme="minorEastAsia"/>
                <w:color w:val="auto"/>
                <w:kern w:val="2"/>
                <w:sz w:val="24"/>
                <w:szCs w:val="24"/>
              </w:rPr>
              <w:t>的功能。</w:t>
            </w:r>
          </w:p>
          <w:p w14:paraId="6A5AAF82">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按ICD10病种类目和亚目统计外传分类排行，显示各分类人次数、总费用、总统筹支出、次均费用、次均统筹支出、次均住院日，同比增幅等</w:t>
            </w:r>
            <w:r>
              <w:rPr>
                <w:rFonts w:hint="eastAsia" w:asciiTheme="minorEastAsia" w:hAnsiTheme="minorEastAsia" w:eastAsiaTheme="minorEastAsia" w:cstheme="minorEastAsia"/>
                <w:color w:val="auto"/>
                <w:kern w:val="2"/>
                <w:sz w:val="24"/>
                <w:szCs w:val="24"/>
              </w:rPr>
              <w:t>的功能。</w:t>
            </w:r>
          </w:p>
          <w:p w14:paraId="795C6EAE">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6、上述数据</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下钻分析明细</w:t>
            </w:r>
            <w:r>
              <w:rPr>
                <w:rFonts w:hint="eastAsia" w:asciiTheme="minorEastAsia" w:hAnsiTheme="minorEastAsia" w:eastAsiaTheme="minorEastAsia" w:cstheme="minorEastAsia"/>
                <w:color w:val="auto"/>
                <w:kern w:val="2"/>
                <w:sz w:val="24"/>
                <w:szCs w:val="24"/>
              </w:rPr>
              <w:t>的功能</w:t>
            </w:r>
            <w:r>
              <w:rPr>
                <w:rFonts w:hint="eastAsia" w:asciiTheme="minorEastAsia" w:hAnsiTheme="minorEastAsia" w:eastAsiaTheme="minorEastAsia" w:cstheme="minorEastAsia"/>
                <w:color w:val="auto"/>
                <w:sz w:val="24"/>
                <w:szCs w:val="24"/>
              </w:rPr>
              <w:t>，可以下钻到具体就诊患者记录。</w:t>
            </w:r>
          </w:p>
        </w:tc>
      </w:tr>
      <w:tr w14:paraId="42C4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1A0823F8">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4561637A">
            <w:pPr>
              <w:spacing w:line="276" w:lineRule="auto"/>
              <w:jc w:val="center"/>
              <w:rPr>
                <w:rFonts w:cs="宋体" w:asciiTheme="minorEastAsia" w:hAnsiTheme="minorEastAsia" w:eastAsiaTheme="minorEastAsia"/>
                <w:color w:val="auto"/>
                <w:sz w:val="24"/>
                <w:szCs w:val="24"/>
              </w:rPr>
            </w:pPr>
          </w:p>
        </w:tc>
        <w:tc>
          <w:tcPr>
            <w:tcW w:w="1656" w:type="dxa"/>
            <w:vAlign w:val="center"/>
          </w:tcPr>
          <w:p w14:paraId="702ADA79">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转入数据分析</w:t>
            </w:r>
          </w:p>
        </w:tc>
        <w:tc>
          <w:tcPr>
            <w:tcW w:w="6425" w:type="dxa"/>
            <w:vAlign w:val="center"/>
          </w:tcPr>
          <w:p w14:paraId="62C8675E">
            <w:pPr>
              <w:widowControl w:val="0"/>
              <w:spacing w:line="360" w:lineRule="auto"/>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分析</w:t>
            </w:r>
            <w:r>
              <w:rPr>
                <w:rFonts w:hint="eastAsia" w:asciiTheme="minorEastAsia" w:hAnsiTheme="minorEastAsia" w:eastAsiaTheme="minorEastAsia" w:cstheme="minorEastAsia"/>
                <w:color w:val="auto"/>
                <w:kern w:val="2"/>
                <w:sz w:val="24"/>
                <w:szCs w:val="24"/>
              </w:rPr>
              <w:t>安阳市人民医院医疗集团和安阳市中医院医疗集团所辖医疗机构</w:t>
            </w:r>
            <w:r>
              <w:rPr>
                <w:rFonts w:hint="eastAsia" w:asciiTheme="minorEastAsia" w:hAnsiTheme="minorEastAsia" w:eastAsiaTheme="minorEastAsia" w:cstheme="minorEastAsia"/>
                <w:color w:val="auto"/>
                <w:sz w:val="24"/>
                <w:szCs w:val="24"/>
              </w:rPr>
              <w:t>转入人次数，转入患者总费用、次均费用、次均住院日、并显示各数值同比增幅</w:t>
            </w:r>
            <w:r>
              <w:rPr>
                <w:rFonts w:hint="eastAsia" w:asciiTheme="minorEastAsia" w:hAnsiTheme="minorEastAsia" w:eastAsiaTheme="minorEastAsia" w:cstheme="minorEastAsia"/>
                <w:color w:val="auto"/>
                <w:kern w:val="2"/>
                <w:sz w:val="24"/>
                <w:szCs w:val="24"/>
              </w:rPr>
              <w:t>的功能。</w:t>
            </w:r>
          </w:p>
          <w:p w14:paraId="69A7780F">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显示</w:t>
            </w:r>
            <w:r>
              <w:rPr>
                <w:rFonts w:hint="eastAsia" w:asciiTheme="minorEastAsia" w:hAnsiTheme="minorEastAsia" w:eastAsiaTheme="minorEastAsia" w:cstheme="minorEastAsia"/>
                <w:color w:val="auto"/>
                <w:kern w:val="2"/>
                <w:sz w:val="24"/>
                <w:szCs w:val="24"/>
              </w:rPr>
              <w:t>安阳市人民医院医疗集团和安阳市中医院医疗集团所辖医疗机构</w:t>
            </w:r>
            <w:r>
              <w:rPr>
                <w:rFonts w:hint="eastAsia" w:asciiTheme="minorEastAsia" w:hAnsiTheme="minorEastAsia" w:eastAsiaTheme="minorEastAsia" w:cstheme="minorEastAsia"/>
                <w:color w:val="auto"/>
                <w:sz w:val="24"/>
                <w:szCs w:val="24"/>
              </w:rPr>
              <w:t>转入患者人次数、占比、总费用、人次数月度趋势</w:t>
            </w:r>
            <w:r>
              <w:rPr>
                <w:rFonts w:hint="eastAsia" w:asciiTheme="minorEastAsia" w:hAnsiTheme="minorEastAsia" w:eastAsiaTheme="minorEastAsia" w:cstheme="minorEastAsia"/>
                <w:color w:val="auto"/>
                <w:kern w:val="2"/>
                <w:sz w:val="24"/>
                <w:szCs w:val="24"/>
              </w:rPr>
              <w:t>的功能。</w:t>
            </w:r>
          </w:p>
          <w:p w14:paraId="4079F3A4">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w:t>
            </w:r>
            <w:r>
              <w:rPr>
                <w:rFonts w:hint="eastAsia" w:asciiTheme="minorEastAsia" w:hAnsiTheme="minorEastAsia" w:eastAsiaTheme="minorEastAsia" w:cstheme="minorEastAsia"/>
                <w:color w:val="auto"/>
                <w:kern w:val="2"/>
                <w:sz w:val="24"/>
                <w:szCs w:val="24"/>
              </w:rPr>
              <w:t>安阳市人民医院医疗集团和安阳市中医院医疗集团所辖</w:t>
            </w:r>
            <w:r>
              <w:rPr>
                <w:rFonts w:hint="eastAsia" w:asciiTheme="minorEastAsia" w:hAnsiTheme="minorEastAsia" w:eastAsiaTheme="minorEastAsia" w:cstheme="minorEastAsia"/>
                <w:color w:val="auto"/>
                <w:sz w:val="24"/>
                <w:szCs w:val="24"/>
              </w:rPr>
              <w:t>医疗机构分析转入人次数、转入患者总费用、次均费用、次均住院日，并显示各数值同比增幅</w:t>
            </w:r>
            <w:r>
              <w:rPr>
                <w:rFonts w:hint="eastAsia" w:asciiTheme="minorEastAsia" w:hAnsiTheme="minorEastAsia" w:eastAsiaTheme="minorEastAsia" w:cstheme="minorEastAsia"/>
                <w:color w:val="auto"/>
                <w:kern w:val="2"/>
                <w:sz w:val="24"/>
                <w:szCs w:val="24"/>
              </w:rPr>
              <w:t>的功能。</w:t>
            </w:r>
          </w:p>
          <w:p w14:paraId="4448728D">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w:t>
            </w:r>
            <w:r>
              <w:rPr>
                <w:rFonts w:hint="eastAsia" w:asciiTheme="minorEastAsia" w:hAnsiTheme="minorEastAsia" w:eastAsiaTheme="minorEastAsia" w:cstheme="minorEastAsia"/>
                <w:color w:val="auto"/>
                <w:kern w:val="2"/>
                <w:sz w:val="24"/>
                <w:szCs w:val="24"/>
              </w:rPr>
              <w:t>安阳市人民医院医疗集团和安阳市中医院医疗集团所辖</w:t>
            </w:r>
            <w:r>
              <w:rPr>
                <w:rFonts w:hint="eastAsia" w:asciiTheme="minorEastAsia" w:hAnsiTheme="minorEastAsia" w:eastAsiaTheme="minorEastAsia" w:cstheme="minorEastAsia"/>
                <w:color w:val="auto"/>
                <w:sz w:val="24"/>
                <w:szCs w:val="24"/>
              </w:rPr>
              <w:t>医疗机构分析转入患者ICD10病种分析，按照ICD10类目和ICD10亚目进行分析，显示各转入医疗机构分类排行，以及各分类总人次、次均费用、次均住院日等信息，并显示各数值同比增幅</w:t>
            </w:r>
            <w:r>
              <w:rPr>
                <w:rFonts w:hint="eastAsia" w:asciiTheme="minorEastAsia" w:hAnsiTheme="minorEastAsia" w:eastAsiaTheme="minorEastAsia" w:cstheme="minorEastAsia"/>
                <w:color w:val="auto"/>
                <w:kern w:val="2"/>
                <w:sz w:val="24"/>
                <w:szCs w:val="24"/>
              </w:rPr>
              <w:t>的功能。</w:t>
            </w:r>
          </w:p>
          <w:p w14:paraId="631026B6">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kern w:val="2"/>
                <w:sz w:val="24"/>
                <w:szCs w:val="24"/>
              </w:rPr>
              <w:t>具备安阳市人民医院医疗集团和安阳市中医院医疗集团所辖区域</w:t>
            </w:r>
            <w:r>
              <w:rPr>
                <w:rFonts w:hint="eastAsia" w:asciiTheme="minorEastAsia" w:hAnsiTheme="minorEastAsia" w:eastAsiaTheme="minorEastAsia" w:cstheme="minorEastAsia"/>
                <w:color w:val="auto"/>
                <w:sz w:val="24"/>
                <w:szCs w:val="24"/>
              </w:rPr>
              <w:t>按ICD10病种类目和亚目统计转入患者分类排行，显示各分类人次数、总费用、总统筹支出、次均费用、次均统筹支出、次均住院日，同比增幅等</w:t>
            </w:r>
            <w:r>
              <w:rPr>
                <w:rFonts w:hint="eastAsia" w:asciiTheme="minorEastAsia" w:hAnsiTheme="minorEastAsia" w:eastAsiaTheme="minorEastAsia" w:cstheme="minorEastAsia"/>
                <w:color w:val="auto"/>
                <w:kern w:val="2"/>
                <w:sz w:val="24"/>
                <w:szCs w:val="24"/>
              </w:rPr>
              <w:t>的功能。</w:t>
            </w:r>
          </w:p>
          <w:p w14:paraId="7CBC417D">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6、上述数据</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下钻分析明细</w:t>
            </w:r>
            <w:r>
              <w:rPr>
                <w:rFonts w:hint="eastAsia" w:asciiTheme="minorEastAsia" w:hAnsiTheme="minorEastAsia" w:eastAsiaTheme="minorEastAsia" w:cstheme="minorEastAsia"/>
                <w:color w:val="auto"/>
                <w:kern w:val="2"/>
                <w:sz w:val="24"/>
                <w:szCs w:val="24"/>
              </w:rPr>
              <w:t>的功能</w:t>
            </w:r>
            <w:r>
              <w:rPr>
                <w:rFonts w:hint="eastAsia" w:asciiTheme="minorEastAsia" w:hAnsiTheme="minorEastAsia" w:eastAsiaTheme="minorEastAsia" w:cstheme="minorEastAsia"/>
                <w:color w:val="auto"/>
                <w:sz w:val="24"/>
                <w:szCs w:val="24"/>
              </w:rPr>
              <w:t>，可以下钻到具体就诊患者记录。</w:t>
            </w:r>
          </w:p>
        </w:tc>
      </w:tr>
      <w:tr w14:paraId="3A4E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066B8F86">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4960D1FC">
            <w:pPr>
              <w:spacing w:line="276" w:lineRule="auto"/>
              <w:jc w:val="center"/>
              <w:rPr>
                <w:rFonts w:cs="宋体" w:asciiTheme="minorEastAsia" w:hAnsiTheme="minorEastAsia" w:eastAsiaTheme="minorEastAsia"/>
                <w:color w:val="auto"/>
                <w:sz w:val="24"/>
                <w:szCs w:val="24"/>
              </w:rPr>
            </w:pPr>
          </w:p>
        </w:tc>
        <w:tc>
          <w:tcPr>
            <w:tcW w:w="1656" w:type="dxa"/>
            <w:vAlign w:val="center"/>
          </w:tcPr>
          <w:p w14:paraId="4AEB83B5">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病种分析</w:t>
            </w:r>
          </w:p>
        </w:tc>
        <w:tc>
          <w:tcPr>
            <w:tcW w:w="6425" w:type="dxa"/>
            <w:vAlign w:val="center"/>
          </w:tcPr>
          <w:p w14:paraId="606A867D">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具备安阳市人民医院医疗集团和安阳市中医院医疗集团所辖医疗机构</w:t>
            </w:r>
            <w:r>
              <w:rPr>
                <w:rFonts w:hint="eastAsia" w:asciiTheme="minorEastAsia" w:hAnsiTheme="minorEastAsia" w:eastAsiaTheme="minorEastAsia" w:cstheme="minorEastAsia"/>
                <w:color w:val="auto"/>
                <w:sz w:val="24"/>
                <w:szCs w:val="24"/>
              </w:rPr>
              <w:t>按照ICD10类目、ICD10亚目、ICD诊断分析全市各分类住院人次、总费用、统筹总费用、次均费用、次均统筹费用、次均住院日等信息，并同步显示同步增幅</w:t>
            </w:r>
            <w:r>
              <w:rPr>
                <w:rFonts w:hint="eastAsia" w:asciiTheme="minorEastAsia" w:hAnsiTheme="minorEastAsia" w:eastAsiaTheme="minorEastAsia" w:cstheme="minorEastAsia"/>
                <w:color w:val="auto"/>
                <w:kern w:val="2"/>
                <w:sz w:val="24"/>
                <w:szCs w:val="24"/>
              </w:rPr>
              <w:t>的功能。</w:t>
            </w:r>
          </w:p>
          <w:p w14:paraId="159974FC">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w:t>
            </w:r>
            <w:r>
              <w:rPr>
                <w:rFonts w:hint="eastAsia" w:asciiTheme="minorEastAsia" w:hAnsiTheme="minorEastAsia" w:eastAsiaTheme="minorEastAsia" w:cstheme="minorEastAsia"/>
                <w:color w:val="auto"/>
                <w:kern w:val="2"/>
                <w:sz w:val="24"/>
                <w:szCs w:val="24"/>
              </w:rPr>
              <w:t>安阳市人民医院医疗集团和安阳市中医院医疗集团所辖</w:t>
            </w:r>
            <w:r>
              <w:rPr>
                <w:rFonts w:hint="eastAsia" w:asciiTheme="minorEastAsia" w:hAnsiTheme="minorEastAsia" w:eastAsiaTheme="minorEastAsia" w:cstheme="minorEastAsia"/>
                <w:color w:val="auto"/>
                <w:sz w:val="24"/>
                <w:szCs w:val="24"/>
              </w:rPr>
              <w:t>医疗机构分别统计ICD10类目、ICD10亚目、ICD诊断分析全市各分类住院人次、总费用、统筹总费用、次均费用、次均统筹费用、次均住院日等信息，并同步显示同步增幅</w:t>
            </w:r>
            <w:r>
              <w:rPr>
                <w:rFonts w:hint="eastAsia" w:asciiTheme="minorEastAsia" w:hAnsiTheme="minorEastAsia" w:eastAsiaTheme="minorEastAsia" w:cstheme="minorEastAsia"/>
                <w:color w:val="auto"/>
                <w:kern w:val="2"/>
                <w:sz w:val="24"/>
                <w:szCs w:val="24"/>
              </w:rPr>
              <w:t>的功能。</w:t>
            </w:r>
          </w:p>
          <w:p w14:paraId="13CFF42D">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w:t>
            </w:r>
            <w:r>
              <w:rPr>
                <w:rFonts w:hint="eastAsia" w:asciiTheme="minorEastAsia" w:hAnsiTheme="minorEastAsia" w:eastAsiaTheme="minorEastAsia" w:cstheme="minorEastAsia"/>
                <w:color w:val="auto"/>
                <w:kern w:val="2"/>
                <w:sz w:val="24"/>
                <w:szCs w:val="24"/>
              </w:rPr>
              <w:t>安阳市人民医院医疗集团和安阳市中医院医疗集团所辖</w:t>
            </w:r>
            <w:r>
              <w:rPr>
                <w:rFonts w:hint="eastAsia" w:asciiTheme="minorEastAsia" w:hAnsiTheme="minorEastAsia" w:eastAsiaTheme="minorEastAsia" w:cstheme="minorEastAsia"/>
                <w:color w:val="auto"/>
                <w:sz w:val="24"/>
                <w:szCs w:val="24"/>
              </w:rPr>
              <w:t>区县划分分别统计ICD10类目、ICD10亚目、ICD诊断分析全市各分类住院人次、总费用、统筹总费用、次均费用、次均统筹费用、次均住院日等信息，并同步显示同步增幅</w:t>
            </w:r>
            <w:r>
              <w:rPr>
                <w:rFonts w:hint="eastAsia" w:asciiTheme="minorEastAsia" w:hAnsiTheme="minorEastAsia" w:eastAsiaTheme="minorEastAsia" w:cstheme="minorEastAsia"/>
                <w:color w:val="auto"/>
                <w:kern w:val="2"/>
                <w:sz w:val="24"/>
                <w:szCs w:val="24"/>
              </w:rPr>
              <w:t>的功能。</w:t>
            </w:r>
          </w:p>
          <w:p w14:paraId="048AE33E">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w:t>
            </w:r>
            <w:r>
              <w:rPr>
                <w:rFonts w:hint="eastAsia" w:asciiTheme="minorEastAsia" w:hAnsiTheme="minorEastAsia" w:eastAsiaTheme="minorEastAsia" w:cstheme="minorEastAsia"/>
                <w:color w:val="auto"/>
                <w:kern w:val="2"/>
                <w:sz w:val="24"/>
                <w:szCs w:val="24"/>
              </w:rPr>
              <w:t>安阳市人民医院医疗集团和安阳市中医院医疗集团所辖医疗机构</w:t>
            </w:r>
            <w:r>
              <w:rPr>
                <w:rFonts w:hint="eastAsia" w:asciiTheme="minorEastAsia" w:hAnsiTheme="minorEastAsia" w:eastAsiaTheme="minorEastAsia" w:cstheme="minorEastAsia"/>
                <w:color w:val="auto"/>
                <w:sz w:val="24"/>
                <w:szCs w:val="24"/>
              </w:rPr>
              <w:t>各个ICD10类目、ICD10亚目显示住院人次数趋势分析，次均费用趋势分析、次均住院日分析</w:t>
            </w:r>
            <w:r>
              <w:rPr>
                <w:rFonts w:hint="eastAsia" w:asciiTheme="minorEastAsia" w:hAnsiTheme="minorEastAsia" w:eastAsiaTheme="minorEastAsia" w:cstheme="minorEastAsia"/>
                <w:color w:val="auto"/>
                <w:kern w:val="2"/>
                <w:sz w:val="24"/>
                <w:szCs w:val="24"/>
              </w:rPr>
              <w:t>的功能。</w:t>
            </w:r>
          </w:p>
          <w:p w14:paraId="7F6419C9">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按照</w:t>
            </w:r>
            <w:r>
              <w:rPr>
                <w:rFonts w:hint="eastAsia" w:asciiTheme="minorEastAsia" w:hAnsiTheme="minorEastAsia" w:eastAsiaTheme="minorEastAsia" w:cstheme="minorEastAsia"/>
                <w:color w:val="auto"/>
                <w:kern w:val="2"/>
                <w:sz w:val="24"/>
                <w:szCs w:val="24"/>
              </w:rPr>
              <w:t>安阳市人民医院医疗集团和安阳市中医院医疗集团所辖区域</w:t>
            </w:r>
            <w:r>
              <w:rPr>
                <w:rFonts w:hint="eastAsia" w:asciiTheme="minorEastAsia" w:hAnsiTheme="minorEastAsia" w:eastAsiaTheme="minorEastAsia" w:cstheme="minorEastAsia"/>
                <w:color w:val="auto"/>
                <w:sz w:val="24"/>
                <w:szCs w:val="24"/>
              </w:rPr>
              <w:t>各个ICD10类目、ICD10亚目显示外转患者人次数，总费用、统筹总费用、次均费用、次均统筹费用、次均住院日等信息，并同步显示同步增幅</w:t>
            </w:r>
            <w:r>
              <w:rPr>
                <w:rFonts w:hint="eastAsia" w:asciiTheme="minorEastAsia" w:hAnsiTheme="minorEastAsia" w:eastAsiaTheme="minorEastAsia" w:cstheme="minorEastAsia"/>
                <w:color w:val="auto"/>
                <w:kern w:val="2"/>
                <w:sz w:val="24"/>
                <w:szCs w:val="24"/>
              </w:rPr>
              <w:t>的功能。</w:t>
            </w:r>
          </w:p>
          <w:p w14:paraId="4B7A1A6F">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6、上述数据</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下钻分析明细</w:t>
            </w:r>
            <w:r>
              <w:rPr>
                <w:rFonts w:hint="eastAsia" w:asciiTheme="minorEastAsia" w:hAnsiTheme="minorEastAsia" w:eastAsiaTheme="minorEastAsia" w:cstheme="minorEastAsia"/>
                <w:color w:val="auto"/>
                <w:kern w:val="2"/>
                <w:sz w:val="24"/>
                <w:szCs w:val="24"/>
              </w:rPr>
              <w:t>的功能</w:t>
            </w:r>
            <w:r>
              <w:rPr>
                <w:rFonts w:hint="eastAsia" w:asciiTheme="minorEastAsia" w:hAnsiTheme="minorEastAsia" w:eastAsiaTheme="minorEastAsia" w:cstheme="minorEastAsia"/>
                <w:color w:val="auto"/>
                <w:sz w:val="24"/>
                <w:szCs w:val="24"/>
              </w:rPr>
              <w:t>，可以下钻到具体就诊患者记录。</w:t>
            </w:r>
          </w:p>
        </w:tc>
      </w:tr>
      <w:tr w14:paraId="6E7D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14:paraId="5C69B4F4">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w:t>
            </w:r>
          </w:p>
        </w:tc>
        <w:tc>
          <w:tcPr>
            <w:tcW w:w="1080" w:type="dxa"/>
            <w:vMerge w:val="restart"/>
            <w:vAlign w:val="center"/>
          </w:tcPr>
          <w:p w14:paraId="349551B3">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系统管理</w:t>
            </w:r>
          </w:p>
        </w:tc>
        <w:tc>
          <w:tcPr>
            <w:tcW w:w="1656" w:type="dxa"/>
            <w:vAlign w:val="center"/>
          </w:tcPr>
          <w:p w14:paraId="5A626E52">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权限管理</w:t>
            </w:r>
          </w:p>
        </w:tc>
        <w:tc>
          <w:tcPr>
            <w:tcW w:w="6425" w:type="dxa"/>
            <w:vAlign w:val="center"/>
          </w:tcPr>
          <w:p w14:paraId="18CC9755">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角色管理</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预设系统管理员、安阳市卫生健康委员会管理员、医疗集团管理员、县区卫生健康委员会管理员、普通操作员等多种角色，可根据实际业务需求自定义新增角色。不同角色对应不同的菜单访问权限、数据操作权限和报表查看权限。</w:t>
            </w:r>
          </w:p>
          <w:p w14:paraId="575708E7">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权限分配</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，可以基于角色批量分配权限，也可对单个用户进行个性化权限设置。</w:t>
            </w:r>
          </w:p>
          <w:p w14:paraId="4B69D523">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数据权限控制</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，实现数据级权限管理，根据用户所属区域、部门等属性，限制其可访问的数据范围。</w:t>
            </w:r>
          </w:p>
          <w:p w14:paraId="33D053DA">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操作日志审计</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，记录用户的所有操作行为，包括：登录时间、访问模块、操作内容等便于进行操作追溯和安全审计，保障系统操作的合规性与安全性。</w:t>
            </w:r>
          </w:p>
        </w:tc>
      </w:tr>
      <w:tr w14:paraId="6A6D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2B0C5E67">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5498029A">
            <w:pPr>
              <w:spacing w:line="276" w:lineRule="auto"/>
              <w:jc w:val="center"/>
              <w:rPr>
                <w:rFonts w:cs="宋体" w:asciiTheme="minorEastAsia" w:hAnsiTheme="minorEastAsia" w:eastAsiaTheme="minorEastAsia"/>
                <w:color w:val="auto"/>
                <w:sz w:val="24"/>
                <w:szCs w:val="24"/>
              </w:rPr>
            </w:pPr>
          </w:p>
        </w:tc>
        <w:tc>
          <w:tcPr>
            <w:tcW w:w="1656" w:type="dxa"/>
            <w:vAlign w:val="center"/>
          </w:tcPr>
          <w:p w14:paraId="6E884322">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用户管理</w:t>
            </w:r>
          </w:p>
        </w:tc>
        <w:tc>
          <w:tcPr>
            <w:tcW w:w="6425" w:type="dxa"/>
            <w:vAlign w:val="center"/>
          </w:tcPr>
          <w:p w14:paraId="08B44C2F">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用户信息管理</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，可对用户的基本信息（姓名、性别、联系方式等）、所属部门、角色权限等进行添加、修改、删除和查询操作。可以批量导入导出用户信息，方便进行大规模用户数据管理。</w:t>
            </w:r>
          </w:p>
          <w:p w14:paraId="7C5B05AB">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用户状态管理</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，设置用户启用、禁用、锁定等状态。对于异常操作或违规用户，可及时锁定账号；对于离职或不再使用系统的用户，可将其状态设置为禁用，防止账号滥用。</w:t>
            </w:r>
          </w:p>
          <w:p w14:paraId="3E387484">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密码管理</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，提供密码修改、找回功能，可以进行密码强度检测，要求密码包含字母、数字和特殊字符，且达到一定长度，保障用户账号安全。</w:t>
            </w:r>
          </w:p>
        </w:tc>
      </w:tr>
      <w:tr w14:paraId="57D0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1B840C33">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024A8685">
            <w:pPr>
              <w:spacing w:line="276" w:lineRule="auto"/>
              <w:jc w:val="center"/>
              <w:rPr>
                <w:rFonts w:cs="宋体" w:asciiTheme="minorEastAsia" w:hAnsiTheme="minorEastAsia" w:eastAsiaTheme="minorEastAsia"/>
                <w:color w:val="auto"/>
                <w:sz w:val="24"/>
                <w:szCs w:val="24"/>
              </w:rPr>
            </w:pPr>
          </w:p>
        </w:tc>
        <w:tc>
          <w:tcPr>
            <w:tcW w:w="1656" w:type="dxa"/>
            <w:vAlign w:val="center"/>
          </w:tcPr>
          <w:p w14:paraId="6EA52A11">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行政区管理</w:t>
            </w:r>
          </w:p>
        </w:tc>
        <w:tc>
          <w:tcPr>
            <w:tcW w:w="6425" w:type="dxa"/>
            <w:vAlign w:val="center"/>
          </w:tcPr>
          <w:p w14:paraId="1893EE13">
            <w:pPr>
              <w:spacing w:line="360" w:lineRule="auto"/>
              <w:ind w:firstLine="240" w:firstLineChars="1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行政区划数据维护</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，支持对安阳市行政区划信息进行管理，包括市辖区（文峰区、北关区等）、县（安阳县、滑县等）、乡镇（街道）等层级数据的添加、修改、删除和查询。可录入行政区划名称、编码、地理位置等详细信息。​</w:t>
            </w:r>
          </w:p>
          <w:p w14:paraId="5E5CA23E">
            <w:pPr>
              <w:spacing w:line="360" w:lineRule="auto"/>
              <w:ind w:firstLine="240" w:firstLineChars="1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层级关系管理</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，清晰定义行政区划的层级关系，确保数据的逻辑一致性。例如，乡镇（街道）隶属于县区，县区隶属于安阳市，方便进行基于行政区划维度的数据分析与统计，如按县区统计参保人数、住院率等。</w:t>
            </w:r>
          </w:p>
        </w:tc>
      </w:tr>
      <w:tr w14:paraId="13A8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2D899EDC">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7E105ECF">
            <w:pPr>
              <w:spacing w:line="276" w:lineRule="auto"/>
              <w:jc w:val="center"/>
              <w:rPr>
                <w:rFonts w:cs="宋体" w:asciiTheme="minorEastAsia" w:hAnsiTheme="minorEastAsia" w:eastAsiaTheme="minorEastAsia"/>
                <w:color w:val="auto"/>
                <w:sz w:val="24"/>
                <w:szCs w:val="24"/>
              </w:rPr>
            </w:pPr>
          </w:p>
        </w:tc>
        <w:tc>
          <w:tcPr>
            <w:tcW w:w="1656" w:type="dxa"/>
            <w:vAlign w:val="center"/>
          </w:tcPr>
          <w:p w14:paraId="52E5E1CE">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医疗集团管理</w:t>
            </w:r>
          </w:p>
        </w:tc>
        <w:tc>
          <w:tcPr>
            <w:tcW w:w="6425" w:type="dxa"/>
            <w:vAlign w:val="center"/>
          </w:tcPr>
          <w:p w14:paraId="384998A0">
            <w:pPr>
              <w:spacing w:line="360" w:lineRule="auto"/>
              <w:ind w:firstLine="240" w:firstLineChars="1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医疗集团信息管理</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，对安阳市人民医院医疗集团、安阳市中医院医疗集团等进行信息维护，包括：医疗集团名称、标识、负责人、联系方式、成员机构列表等信息的添加、修改、删除和查询。​</w:t>
            </w:r>
          </w:p>
          <w:p w14:paraId="334343B6">
            <w:pPr>
              <w:spacing w:line="360" w:lineRule="auto"/>
              <w:ind w:firstLine="240" w:firstLineChars="1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成员机构管理</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管理医疗集团下属的各级医疗机构，可添加、删除成员机构，设置成员机构在医疗集团中的角色和权限。例如，明确核心医院、成员医院、基层卫生服务机构的职责分工，便于医疗集团内部数据统计与业务协同。​</w:t>
            </w:r>
          </w:p>
          <w:p w14:paraId="012A101B">
            <w:pPr>
              <w:spacing w:line="360" w:lineRule="auto"/>
              <w:ind w:firstLine="240" w:firstLineChars="1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管辖区划管理</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，对医疗管理辖区区划管理。</w:t>
            </w:r>
          </w:p>
        </w:tc>
      </w:tr>
      <w:tr w14:paraId="0F10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14:paraId="4A3C8D76">
            <w:pPr>
              <w:spacing w:line="276" w:lineRule="auto"/>
              <w:jc w:val="center"/>
              <w:rPr>
                <w:rFonts w:cs="宋体" w:asciiTheme="minorEastAsia" w:hAnsiTheme="minorEastAsia" w:eastAsiaTheme="minorEastAsia"/>
                <w:color w:val="auto"/>
                <w:sz w:val="24"/>
                <w:szCs w:val="24"/>
              </w:rPr>
            </w:pPr>
          </w:p>
        </w:tc>
        <w:tc>
          <w:tcPr>
            <w:tcW w:w="1080" w:type="dxa"/>
            <w:vMerge w:val="continue"/>
            <w:vAlign w:val="center"/>
          </w:tcPr>
          <w:p w14:paraId="0060C09D">
            <w:pPr>
              <w:spacing w:line="276" w:lineRule="auto"/>
              <w:jc w:val="center"/>
              <w:rPr>
                <w:rFonts w:cs="宋体" w:asciiTheme="minorEastAsia" w:hAnsiTheme="minorEastAsia" w:eastAsiaTheme="minorEastAsia"/>
                <w:color w:val="auto"/>
                <w:sz w:val="24"/>
                <w:szCs w:val="24"/>
              </w:rPr>
            </w:pPr>
          </w:p>
        </w:tc>
        <w:tc>
          <w:tcPr>
            <w:tcW w:w="1656" w:type="dxa"/>
            <w:vAlign w:val="center"/>
          </w:tcPr>
          <w:p w14:paraId="45B3E041">
            <w:pPr>
              <w:spacing w:line="276" w:lineRule="auto"/>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医疗机构管理</w:t>
            </w:r>
          </w:p>
        </w:tc>
        <w:tc>
          <w:tcPr>
            <w:tcW w:w="6425" w:type="dxa"/>
            <w:vAlign w:val="center"/>
          </w:tcPr>
          <w:p w14:paraId="3C484143">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医疗机构信息管理</w:t>
            </w:r>
            <w:r>
              <w:rPr>
                <w:rFonts w:hint="eastAsia" w:asciiTheme="minorEastAsia" w:hAnsiTheme="minorEastAsia" w:eastAsiaTheme="minorEastAsia" w:cstheme="minorEastAsia"/>
                <w:color w:val="auto"/>
                <w:kern w:val="2"/>
                <w:sz w:val="24"/>
                <w:szCs w:val="24"/>
              </w:rPr>
              <w:t>功能</w:t>
            </w:r>
            <w:r>
              <w:rPr>
                <w:rFonts w:hint="eastAsia" w:asciiTheme="minorEastAsia" w:hAnsiTheme="minorEastAsia" w:eastAsiaTheme="minorEastAsia" w:cstheme="minorEastAsia"/>
                <w:color w:val="auto"/>
                <w:sz w:val="24"/>
                <w:szCs w:val="24"/>
              </w:rPr>
              <w:t>，对河南省医保平台所有定点医疗机构（医院、社区卫生服务中心等）进行信息登记与维护，包括：机构名称、地址、等级、类别（综合医院、专科医院等）、医保定点编号、负责人信息等。</w:t>
            </w:r>
          </w:p>
          <w:p w14:paraId="000DA349">
            <w:pPr>
              <w:widowControl w:val="0"/>
              <w:spacing w:line="360" w:lineRule="auto"/>
              <w:ind w:firstLine="240" w:firstLineChars="1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2"/>
                <w:sz w:val="24"/>
                <w:szCs w:val="24"/>
              </w:rPr>
              <w:t>具备</w:t>
            </w:r>
            <w:r>
              <w:rPr>
                <w:rFonts w:hint="eastAsia" w:asciiTheme="minorEastAsia" w:hAnsiTheme="minorEastAsia" w:eastAsiaTheme="minorEastAsia" w:cstheme="minorEastAsia"/>
                <w:color w:val="auto"/>
                <w:sz w:val="24"/>
                <w:szCs w:val="24"/>
              </w:rPr>
              <w:t>维护各医疗机构针对各县区所属的外转医院级别的功能。</w:t>
            </w:r>
          </w:p>
        </w:tc>
      </w:tr>
    </w:tbl>
    <w:p w14:paraId="6A27EB1C">
      <w:pPr>
        <w:widowControl w:val="0"/>
        <w:snapToGrid w:val="0"/>
        <w:spacing w:before="240" w:beforeLines="100" w:line="360" w:lineRule="auto"/>
        <w:ind w:firstLine="482"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三、安阳市人民医院安阳市医保数据分析系统技术服务项目的中小企业划分标准所属行业为：软件和信息技术服务业</w:t>
      </w:r>
    </w:p>
    <w:p w14:paraId="3F7C528A">
      <w:pPr>
        <w:widowControl w:val="0"/>
        <w:snapToGrid w:val="0"/>
        <w:spacing w:line="360" w:lineRule="auto"/>
        <w:ind w:firstLine="480" w:firstLineChars="200"/>
        <w:jc w:val="left"/>
        <w:rPr>
          <w:rFonts w:ascii="黑体" w:hAnsi="黑体" w:eastAsia="黑体"/>
          <w:b/>
          <w:color w:val="auto"/>
          <w:sz w:val="24"/>
          <w:szCs w:val="24"/>
        </w:rPr>
      </w:pPr>
      <w:r>
        <w:rPr>
          <w:rFonts w:hint="eastAsia" w:asciiTheme="minorEastAsia" w:hAnsiTheme="minorEastAsia" w:eastAsiaTheme="minorEastAsia" w:cstheme="minorEastAsia"/>
          <w:color w:val="auto"/>
          <w:sz w:val="24"/>
          <w:szCs w:val="24"/>
        </w:rPr>
        <w:t>提醒：供应商按照《磋商文件》中标明的项目的所属行业、按该行业所对应的中小企业划分标准，作为服务的承接商（供应商）是否属于小微企业的判断标准。供应商不应按照自身的行业属性作为小微企业的判断标准（应按《磋商文件》标明的所属行业进行判断）。</w:t>
      </w:r>
    </w:p>
    <w:p w14:paraId="7B3BE44F">
      <w:pPr>
        <w:widowControl w:val="0"/>
        <w:snapToGrid w:val="0"/>
        <w:spacing w:before="240" w:beforeLines="100" w:line="36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2.5 安全</w:t>
      </w:r>
    </w:p>
    <w:p w14:paraId="2663198B">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服务（及所涉货物材料设施）应符合国家、行业的各项安全标准，供应商对响应服务（及所涉货物材料设施）的安全性承担全部责任。交验期内不符合保障人身、财产安全的国家标准、行业标准的服务（及所涉货物材料设施），将依法承担民事及相应刑事责任。合同履行中的安全责任由成交供应商承担全部责任。</w:t>
      </w:r>
    </w:p>
    <w:p w14:paraId="1AA362AF">
      <w:pPr>
        <w:widowControl w:val="0"/>
        <w:snapToGrid w:val="0"/>
        <w:spacing w:line="36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2.6 《响应文件》对“具体技术服务要求及标段（包）内容（范围）”的响应</w:t>
      </w:r>
    </w:p>
    <w:p w14:paraId="1D52FE40">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 具体技术服务要求及标段（包）内容（范围）”为采购需求的基础性要求，服务内容应当明确，服务所涉产品及技术参数应当明确并最终指向具体明确的产品。《响应文件》技术参数抄袭《磋商文件》“具体技术服务要求及标段（包）内容（范围）”，投标产品不明确的、或与投标产品不一致的，磋商小组有权按照实质性判断原则评定其为无效投标。</w:t>
      </w:r>
    </w:p>
    <w:p w14:paraId="3C22A019">
      <w:pPr>
        <w:widowControl w:val="0"/>
        <w:snapToGrid w:val="0"/>
        <w:spacing w:line="36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2.7 技术偏离</w:t>
      </w:r>
    </w:p>
    <w:p w14:paraId="5B434049">
      <w:pPr>
        <w:widowControl w:val="0"/>
        <w:snapToGrid w:val="0"/>
        <w:spacing w:line="360" w:lineRule="auto"/>
        <w:ind w:firstLine="482" w:firstLineChars="2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2.7.1 “2.4 具体技术服务要求及标段（包）内容（范围）</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具体要求-技术指标”中</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带★项为核心技术指标，核心技术指标不接受负偏离</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不带符号项为一般技术指标，一般技术指标如有负偏离，</w:t>
      </w:r>
      <w:r>
        <w:rPr>
          <w:rFonts w:hint="eastAsia" w:asciiTheme="minorEastAsia" w:hAnsiTheme="minorEastAsia" w:eastAsiaTheme="minorEastAsia" w:cstheme="minorEastAsia"/>
          <w:b/>
          <w:bCs/>
          <w:color w:val="auto"/>
          <w:sz w:val="24"/>
          <w:szCs w:val="24"/>
          <w:highlight w:val="none"/>
        </w:rPr>
        <w:t>磋商小组将按照《磋商文件》第四章“评分标准”要求</w:t>
      </w:r>
      <w:r>
        <w:rPr>
          <w:rFonts w:hint="eastAsia" w:asciiTheme="minorEastAsia" w:hAnsiTheme="minorEastAsia" w:eastAsiaTheme="minorEastAsia" w:cstheme="minorEastAsia"/>
          <w:b/>
          <w:bCs/>
          <w:color w:val="auto"/>
          <w:sz w:val="24"/>
          <w:szCs w:val="24"/>
          <w:highlight w:val="none"/>
          <w:lang w:val="en-US" w:eastAsia="zh-CN"/>
        </w:rPr>
        <w:t>进行打分，一般技术指标超过4项负偏离的视为无效响应</w:t>
      </w:r>
      <w:r>
        <w:rPr>
          <w:rFonts w:hint="eastAsia" w:asciiTheme="minorEastAsia" w:hAnsiTheme="minorEastAsia" w:eastAsiaTheme="minorEastAsia" w:cstheme="minorEastAsia"/>
          <w:b/>
          <w:bCs/>
          <w:color w:val="auto"/>
          <w:sz w:val="24"/>
          <w:szCs w:val="24"/>
          <w:highlight w:val="none"/>
        </w:rPr>
        <w:t>。</w:t>
      </w:r>
    </w:p>
    <w:p w14:paraId="46CBF657">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2.7.2 《响应文件》对技术偏离的描述要求：见第三章“供应商须知”3.7.3项。</w:t>
      </w:r>
    </w:p>
    <w:p w14:paraId="30286BCB">
      <w:pPr>
        <w:widowControl w:val="0"/>
        <w:snapToGrid w:val="0"/>
        <w:spacing w:line="360" w:lineRule="auto"/>
        <w:ind w:firstLine="482" w:firstLineChars="200"/>
        <w:jc w:val="left"/>
        <w:rPr>
          <w:rFonts w:ascii="黑体" w:hAnsi="黑体" w:eastAsia="黑体"/>
          <w:b/>
          <w:color w:val="auto"/>
          <w:sz w:val="24"/>
          <w:szCs w:val="24"/>
        </w:rPr>
      </w:pPr>
      <w:bookmarkStart w:id="16" w:name="_Toc29560076"/>
      <w:bookmarkStart w:id="17" w:name="_Toc459820488"/>
      <w:r>
        <w:rPr>
          <w:rFonts w:hint="eastAsia" w:ascii="黑体" w:hAnsi="黑体" w:eastAsia="黑体"/>
          <w:b/>
          <w:color w:val="auto"/>
          <w:sz w:val="24"/>
          <w:szCs w:val="24"/>
        </w:rPr>
        <w:t>2.8</w:t>
      </w:r>
      <w:r>
        <w:rPr>
          <w:rFonts w:ascii="黑体" w:hAnsi="黑体" w:eastAsia="黑体"/>
          <w:b/>
          <w:color w:val="auto"/>
          <w:sz w:val="24"/>
          <w:szCs w:val="24"/>
        </w:rPr>
        <w:t xml:space="preserve"> </w:t>
      </w:r>
      <w:r>
        <w:rPr>
          <w:rFonts w:hint="eastAsia" w:ascii="黑体" w:hAnsi="黑体" w:eastAsia="黑体"/>
          <w:b/>
          <w:color w:val="auto"/>
          <w:sz w:val="24"/>
          <w:szCs w:val="24"/>
        </w:rPr>
        <w:t>售后服务的基本条款</w:t>
      </w:r>
      <w:bookmarkEnd w:id="16"/>
      <w:bookmarkEnd w:id="17"/>
    </w:p>
    <w:p w14:paraId="3496DD5B">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2.8.1 售后服务除按国家有关规定、各产品生产厂家规定及项目特殊要求处理外，还应满足下述条款：</w:t>
      </w:r>
    </w:p>
    <w:p w14:paraId="56C4FF91">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（1）提供</w:t>
      </w:r>
      <w:r>
        <w:rPr>
          <w:rFonts w:hint="eastAsia" w:asciiTheme="minorEastAsia" w:hAnsiTheme="minorEastAsia" w:eastAsiaTheme="minorEastAsia" w:cstheme="minorEastAsia"/>
          <w:b/>
          <w:bCs/>
          <w:color w:val="auto"/>
          <w:sz w:val="24"/>
          <w:szCs w:val="24"/>
        </w:rPr>
        <w:t>至少三年</w:t>
      </w:r>
      <w:r>
        <w:rPr>
          <w:rFonts w:hint="eastAsia" w:asciiTheme="minorEastAsia" w:hAnsiTheme="minorEastAsia" w:eastAsiaTheme="minorEastAsia" w:cstheme="minorEastAsia"/>
          <w:color w:val="auto"/>
          <w:sz w:val="24"/>
          <w:szCs w:val="24"/>
        </w:rPr>
        <w:t>的免费运维（运维期自系统终验合格并正式运行之日起算）；国家规定或产品生产厂家规定大于三年的，按国家规定与厂家规定最有利于采购人原则执行；</w:t>
      </w:r>
    </w:p>
    <w:p w14:paraId="4B5D47A0">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（2）运维期满后，如后续运维仍由成交供应商承接的，运维服务费用另行协商且优于市场价；</w:t>
      </w:r>
    </w:p>
    <w:p w14:paraId="7ABD64BF">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（3）运维期内接到故障通知后需尽快做出响应，并在24小时内及时赶到现场，负责故障原因的诊断，尽快排除故障。</w:t>
      </w:r>
    </w:p>
    <w:p w14:paraId="086D8E06">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2.8.2 供应商需提供详尽的售后服务承诺；如由产品生产厂家提供相关售后服务的，供应商负有连带售后服务责任。</w:t>
      </w:r>
    </w:p>
    <w:p w14:paraId="463EEE85">
      <w:pPr>
        <w:widowControl w:val="0"/>
        <w:snapToGrid w:val="0"/>
        <w:spacing w:line="36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2.9 保险（如需）</w:t>
      </w:r>
    </w:p>
    <w:p w14:paraId="1443DA97">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应遵循国家相关保险的规定，依照法规规定，根据项目属性需要，办理货物设施等的财产保险、危险作业人员的工伤和意外伤害保险、设计和工程保险、第三方责任险，相关保险费用及相应责任由成交供应商承担。</w:t>
      </w:r>
    </w:p>
    <w:p w14:paraId="38CBCED9">
      <w:pPr>
        <w:widowControl w:val="0"/>
        <w:snapToGrid w:val="0"/>
        <w:spacing w:line="36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2.10 采购标的的验收标准</w:t>
      </w:r>
    </w:p>
    <w:p w14:paraId="61439466">
      <w:pPr>
        <w:widowControl w:val="0"/>
        <w:snapToGrid w:val="0"/>
        <w:spacing w:line="276" w:lineRule="auto"/>
        <w:ind w:firstLine="480" w:firstLineChars="200"/>
        <w:jc w:val="lef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val="zh-CN"/>
        </w:rPr>
        <w:t>见第三章“供应商须知”第8条“验收”条款。</w:t>
      </w:r>
      <w:r>
        <w:rPr>
          <w:rFonts w:ascii="黑体" w:hAnsi="黑体" w:eastAsia="黑体"/>
          <w:b/>
          <w:color w:val="auto"/>
          <w:sz w:val="24"/>
          <w:szCs w:val="24"/>
        </w:rPr>
        <w:br w:type="page"/>
      </w:r>
    </w:p>
    <w:p w14:paraId="256FC050">
      <w:pPr>
        <w:widowControl w:val="0"/>
        <w:snapToGrid w:val="0"/>
        <w:spacing w:line="560" w:lineRule="exact"/>
        <w:jc w:val="center"/>
        <w:outlineLvl w:val="0"/>
        <w:rPr>
          <w:rFonts w:eastAsia="黑体"/>
          <w:b/>
          <w:color w:val="auto"/>
          <w:sz w:val="36"/>
          <w:szCs w:val="36"/>
        </w:rPr>
      </w:pPr>
      <w:bookmarkStart w:id="18" w:name="_Toc7027"/>
      <w:r>
        <w:rPr>
          <w:rFonts w:hint="eastAsia" w:eastAsia="黑体"/>
          <w:b/>
          <w:color w:val="auto"/>
          <w:sz w:val="36"/>
          <w:szCs w:val="36"/>
        </w:rPr>
        <w:t>第三章  供应商须知</w:t>
      </w:r>
      <w:bookmarkEnd w:id="18"/>
    </w:p>
    <w:p w14:paraId="522BC09C">
      <w:pPr>
        <w:widowControl w:val="0"/>
        <w:snapToGrid w:val="0"/>
        <w:spacing w:line="276" w:lineRule="auto"/>
        <w:ind w:firstLine="626" w:firstLineChars="200"/>
        <w:jc w:val="left"/>
        <w:rPr>
          <w:rFonts w:asciiTheme="minorEastAsia" w:hAnsiTheme="minorEastAsia" w:eastAsiaTheme="minorEastAsia" w:cstheme="minorEastAsia"/>
          <w:b/>
          <w:color w:val="auto"/>
          <w:spacing w:val="36"/>
          <w:sz w:val="24"/>
          <w:szCs w:val="24"/>
        </w:rPr>
      </w:pPr>
    </w:p>
    <w:p w14:paraId="67DFA5F8">
      <w:pPr>
        <w:spacing w:line="276" w:lineRule="auto"/>
        <w:ind w:right="238"/>
        <w:jc w:val="left"/>
        <w:outlineLvl w:val="1"/>
        <w:rPr>
          <w:rFonts w:eastAsia="黑体"/>
          <w:b/>
          <w:color w:val="auto"/>
          <w:sz w:val="28"/>
          <w:szCs w:val="28"/>
        </w:rPr>
      </w:pPr>
      <w:bookmarkStart w:id="19" w:name="_Toc5109"/>
      <w:r>
        <w:rPr>
          <w:rFonts w:hint="eastAsia" w:eastAsia="黑体"/>
          <w:b/>
          <w:color w:val="auto"/>
          <w:sz w:val="28"/>
          <w:szCs w:val="28"/>
        </w:rPr>
        <w:t>供应商须知前附表</w:t>
      </w:r>
      <w:bookmarkEnd w:id="19"/>
    </w:p>
    <w:tbl>
      <w:tblPr>
        <w:tblStyle w:val="17"/>
        <w:tblW w:w="1001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08"/>
        <w:gridCol w:w="1059"/>
        <w:gridCol w:w="2513"/>
        <w:gridCol w:w="5932"/>
      </w:tblGrid>
      <w:tr w14:paraId="105A81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508" w:type="dxa"/>
            <w:tcBorders>
              <w:tl2br w:val="nil"/>
              <w:tr2bl w:val="nil"/>
            </w:tcBorders>
            <w:vAlign w:val="center"/>
          </w:tcPr>
          <w:p w14:paraId="2F0FD33F">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章节</w:t>
            </w:r>
          </w:p>
        </w:tc>
        <w:tc>
          <w:tcPr>
            <w:tcW w:w="1059" w:type="dxa"/>
            <w:tcBorders>
              <w:tl2br w:val="nil"/>
              <w:tr2bl w:val="nil"/>
            </w:tcBorders>
            <w:vAlign w:val="center"/>
          </w:tcPr>
          <w:p w14:paraId="124FF3A4">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条款号</w:t>
            </w:r>
          </w:p>
        </w:tc>
        <w:tc>
          <w:tcPr>
            <w:tcW w:w="2513" w:type="dxa"/>
            <w:tcBorders>
              <w:tl2br w:val="nil"/>
              <w:tr2bl w:val="nil"/>
            </w:tcBorders>
            <w:vAlign w:val="center"/>
          </w:tcPr>
          <w:p w14:paraId="0CDBB3BA">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5932" w:type="dxa"/>
            <w:tcBorders>
              <w:tl2br w:val="nil"/>
              <w:tr2bl w:val="nil"/>
            </w:tcBorders>
            <w:vAlign w:val="center"/>
          </w:tcPr>
          <w:p w14:paraId="57477242">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14:paraId="230CFE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08" w:type="dxa"/>
            <w:vMerge w:val="restart"/>
            <w:tcBorders>
              <w:tl2br w:val="nil"/>
              <w:tr2bl w:val="nil"/>
            </w:tcBorders>
            <w:vAlign w:val="center"/>
          </w:tcPr>
          <w:p w14:paraId="35F41656">
            <w:pPr>
              <w:autoSpaceDE w:val="0"/>
              <w:autoSpaceDN w:val="0"/>
              <w:adjustRightIn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第一章</w:t>
            </w:r>
          </w:p>
        </w:tc>
        <w:tc>
          <w:tcPr>
            <w:tcW w:w="1059" w:type="dxa"/>
            <w:tcBorders>
              <w:tl2br w:val="nil"/>
              <w:tr2bl w:val="nil"/>
            </w:tcBorders>
            <w:vAlign w:val="center"/>
          </w:tcPr>
          <w:p w14:paraId="27E62622">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2513" w:type="dxa"/>
            <w:tcBorders>
              <w:tl2br w:val="nil"/>
              <w:tr2bl w:val="nil"/>
            </w:tcBorders>
            <w:vAlign w:val="center"/>
          </w:tcPr>
          <w:p w14:paraId="09B4829E">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5932" w:type="dxa"/>
            <w:tcBorders>
              <w:tl2br w:val="nil"/>
              <w:tr2bl w:val="nil"/>
            </w:tcBorders>
            <w:vAlign w:val="center"/>
          </w:tcPr>
          <w:p w14:paraId="13338FF2">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见“第一章 竞争性磋商公告”相应条款</w:t>
            </w:r>
          </w:p>
        </w:tc>
      </w:tr>
      <w:tr w14:paraId="337018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08" w:type="dxa"/>
            <w:vMerge w:val="continue"/>
            <w:tcBorders>
              <w:tl2br w:val="nil"/>
              <w:tr2bl w:val="nil"/>
            </w:tcBorders>
            <w:vAlign w:val="center"/>
          </w:tcPr>
          <w:p w14:paraId="7530E2B2">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7A0C2C37">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2513" w:type="dxa"/>
            <w:tcBorders>
              <w:tl2br w:val="nil"/>
              <w:tr2bl w:val="nil"/>
            </w:tcBorders>
            <w:vAlign w:val="center"/>
          </w:tcPr>
          <w:p w14:paraId="7524949A">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5932" w:type="dxa"/>
            <w:tcBorders>
              <w:tl2br w:val="nil"/>
              <w:tr2bl w:val="nil"/>
            </w:tcBorders>
            <w:vAlign w:val="center"/>
          </w:tcPr>
          <w:p w14:paraId="08D31166">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 竞争性磋商公告”相应条款</w:t>
            </w:r>
          </w:p>
        </w:tc>
      </w:tr>
      <w:tr w14:paraId="45AE62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08" w:type="dxa"/>
            <w:vMerge w:val="continue"/>
            <w:tcBorders>
              <w:tl2br w:val="nil"/>
              <w:tr2bl w:val="nil"/>
            </w:tcBorders>
            <w:vAlign w:val="center"/>
          </w:tcPr>
          <w:p w14:paraId="61A5DE18">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30572C33">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rPr>
              <w:t>1.3</w:t>
            </w:r>
          </w:p>
        </w:tc>
        <w:tc>
          <w:tcPr>
            <w:tcW w:w="2513" w:type="dxa"/>
            <w:tcBorders>
              <w:tl2br w:val="nil"/>
              <w:tr2bl w:val="nil"/>
            </w:tcBorders>
            <w:vAlign w:val="center"/>
          </w:tcPr>
          <w:p w14:paraId="6E4BA275">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5932" w:type="dxa"/>
            <w:tcBorders>
              <w:tl2br w:val="nil"/>
              <w:tr2bl w:val="nil"/>
            </w:tcBorders>
            <w:vAlign w:val="center"/>
          </w:tcPr>
          <w:p w14:paraId="110E239D">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竞争性磋商</w:t>
            </w:r>
          </w:p>
        </w:tc>
      </w:tr>
      <w:tr w14:paraId="0E5F95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508" w:type="dxa"/>
            <w:vMerge w:val="continue"/>
            <w:tcBorders>
              <w:tl2br w:val="nil"/>
              <w:tr2bl w:val="nil"/>
            </w:tcBorders>
            <w:vAlign w:val="center"/>
          </w:tcPr>
          <w:p w14:paraId="3BD5E1BC">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73EA3DF4">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2513" w:type="dxa"/>
            <w:tcBorders>
              <w:tl2br w:val="nil"/>
              <w:tr2bl w:val="nil"/>
            </w:tcBorders>
            <w:vAlign w:val="center"/>
          </w:tcPr>
          <w:p w14:paraId="59A3DD70">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5932" w:type="dxa"/>
            <w:tcBorders>
              <w:tl2br w:val="nil"/>
              <w:tr2bl w:val="nil"/>
            </w:tcBorders>
            <w:vAlign w:val="center"/>
          </w:tcPr>
          <w:p w14:paraId="02EFFA33">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见“第一章 竞争性磋商公告”相应条款。</w:t>
            </w:r>
            <w:r>
              <w:rPr>
                <w:rFonts w:hint="eastAsia" w:ascii="宋体" w:hAnsi="宋体" w:cs="楷体_GB2312"/>
                <w:b/>
                <w:color w:val="auto"/>
                <w:sz w:val="24"/>
                <w:lang w:val="zh-CN"/>
              </w:rPr>
              <w:t>注：供应商的磋商报价未超过</w:t>
            </w:r>
            <w:r>
              <w:rPr>
                <w:rFonts w:hint="eastAsia" w:ascii="宋体" w:hAnsi="宋体" w:cs="楷体_GB2312"/>
                <w:b/>
                <w:bCs/>
                <w:color w:val="auto"/>
                <w:sz w:val="24"/>
                <w:lang w:val="zh-CN"/>
              </w:rPr>
              <w:t>预算金额</w:t>
            </w:r>
            <w:r>
              <w:rPr>
                <w:rFonts w:hint="eastAsia" w:ascii="宋体" w:hAnsi="宋体" w:cs="楷体_GB2312"/>
                <w:b/>
                <w:color w:val="auto"/>
                <w:sz w:val="24"/>
                <w:lang w:val="zh-CN"/>
              </w:rPr>
              <w:t>的不足三家时，该项目（标段&lt;包&gt;）终止。</w:t>
            </w:r>
          </w:p>
        </w:tc>
      </w:tr>
      <w:tr w14:paraId="3772CF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02EA0C31">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7B0D5F11">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2</w:t>
            </w:r>
          </w:p>
        </w:tc>
        <w:tc>
          <w:tcPr>
            <w:tcW w:w="2513" w:type="dxa"/>
            <w:tcBorders>
              <w:tl2br w:val="nil"/>
              <w:tr2bl w:val="nil"/>
            </w:tcBorders>
            <w:vAlign w:val="center"/>
          </w:tcPr>
          <w:p w14:paraId="6A8BD668">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申请人的资格要求及相关证明材料要求</w:t>
            </w:r>
          </w:p>
        </w:tc>
        <w:tc>
          <w:tcPr>
            <w:tcW w:w="5932" w:type="dxa"/>
            <w:tcBorders>
              <w:tl2br w:val="nil"/>
              <w:tr2bl w:val="nil"/>
            </w:tcBorders>
            <w:vAlign w:val="center"/>
          </w:tcPr>
          <w:p w14:paraId="5D721937">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 竞争性磋商公告”相应条款</w:t>
            </w:r>
          </w:p>
        </w:tc>
      </w:tr>
      <w:tr w14:paraId="37E298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057A8465">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143D1BEC">
            <w:pPr>
              <w:autoSpaceDE w:val="0"/>
              <w:autoSpaceDN w:val="0"/>
              <w:adjustRightInd w:val="0"/>
              <w:snapToGrid w:val="0"/>
              <w:spacing w:line="240" w:lineRule="auto"/>
              <w:jc w:val="center"/>
              <w:rPr>
                <w:rFonts w:ascii="宋体" w:hAnsi="宋体" w:cs="楷体_GB2312"/>
                <w:b/>
                <w:bCs/>
                <w:color w:val="auto"/>
                <w:szCs w:val="21"/>
                <w:lang w:val="zh-CN"/>
              </w:rPr>
            </w:pPr>
            <w:r>
              <w:rPr>
                <w:rFonts w:hint="eastAsia" w:ascii="宋体" w:hAnsi="宋体" w:cs="楷体_GB2312"/>
                <w:b/>
                <w:bCs/>
                <w:color w:val="auto"/>
                <w:szCs w:val="21"/>
                <w:lang w:val="zh-CN"/>
              </w:rPr>
              <w:t>8.1</w:t>
            </w:r>
          </w:p>
        </w:tc>
        <w:tc>
          <w:tcPr>
            <w:tcW w:w="2513" w:type="dxa"/>
            <w:tcBorders>
              <w:tl2br w:val="nil"/>
              <w:tr2bl w:val="nil"/>
            </w:tcBorders>
            <w:vAlign w:val="center"/>
          </w:tcPr>
          <w:p w14:paraId="47D8B8B6">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采购人</w:t>
            </w:r>
          </w:p>
        </w:tc>
        <w:tc>
          <w:tcPr>
            <w:tcW w:w="5932" w:type="dxa"/>
            <w:tcBorders>
              <w:tl2br w:val="nil"/>
              <w:tr2bl w:val="nil"/>
            </w:tcBorders>
            <w:vAlign w:val="center"/>
          </w:tcPr>
          <w:p w14:paraId="0E7694E1">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 竞争性磋商公告”相应条款</w:t>
            </w:r>
          </w:p>
        </w:tc>
      </w:tr>
      <w:tr w14:paraId="17F58F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355923EF">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1E34811D">
            <w:pPr>
              <w:autoSpaceDE w:val="0"/>
              <w:autoSpaceDN w:val="0"/>
              <w:adjustRightInd w:val="0"/>
              <w:snapToGrid w:val="0"/>
              <w:spacing w:line="240" w:lineRule="auto"/>
              <w:jc w:val="center"/>
              <w:rPr>
                <w:rFonts w:ascii="宋体" w:hAnsi="宋体" w:cs="楷体_GB2312"/>
                <w:b/>
                <w:bCs/>
                <w:color w:val="auto"/>
                <w:szCs w:val="21"/>
                <w:lang w:val="zh-CN"/>
              </w:rPr>
            </w:pPr>
            <w:r>
              <w:rPr>
                <w:rFonts w:hint="eastAsia" w:ascii="宋体" w:hAnsi="宋体" w:cs="楷体_GB2312"/>
                <w:b/>
                <w:bCs/>
                <w:color w:val="auto"/>
                <w:szCs w:val="21"/>
                <w:lang w:val="zh-CN"/>
              </w:rPr>
              <w:t>8.2</w:t>
            </w:r>
          </w:p>
        </w:tc>
        <w:tc>
          <w:tcPr>
            <w:tcW w:w="2513" w:type="dxa"/>
            <w:tcBorders>
              <w:tl2br w:val="nil"/>
              <w:tr2bl w:val="nil"/>
            </w:tcBorders>
            <w:vAlign w:val="center"/>
          </w:tcPr>
          <w:p w14:paraId="14BF8D65">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采购代理机构</w:t>
            </w:r>
          </w:p>
        </w:tc>
        <w:tc>
          <w:tcPr>
            <w:tcW w:w="5932" w:type="dxa"/>
            <w:tcBorders>
              <w:tl2br w:val="nil"/>
              <w:tr2bl w:val="nil"/>
            </w:tcBorders>
            <w:vAlign w:val="center"/>
          </w:tcPr>
          <w:p w14:paraId="697DE2F7">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 竞争性磋商公告”相应条款</w:t>
            </w:r>
          </w:p>
        </w:tc>
      </w:tr>
      <w:tr w14:paraId="66B0AD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restart"/>
            <w:tcBorders>
              <w:tl2br w:val="nil"/>
              <w:tr2bl w:val="nil"/>
            </w:tcBorders>
            <w:vAlign w:val="center"/>
          </w:tcPr>
          <w:p w14:paraId="7C953032">
            <w:pPr>
              <w:autoSpaceDE w:val="0"/>
              <w:autoSpaceDN w:val="0"/>
              <w:adjustRightIn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第二章</w:t>
            </w:r>
          </w:p>
        </w:tc>
        <w:tc>
          <w:tcPr>
            <w:tcW w:w="1059" w:type="dxa"/>
            <w:tcBorders>
              <w:tl2br w:val="nil"/>
              <w:tr2bl w:val="nil"/>
            </w:tcBorders>
            <w:vAlign w:val="center"/>
          </w:tcPr>
          <w:p w14:paraId="217701A0">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1.2</w:t>
            </w:r>
          </w:p>
        </w:tc>
        <w:tc>
          <w:tcPr>
            <w:tcW w:w="2513" w:type="dxa"/>
            <w:tcBorders>
              <w:tl2br w:val="nil"/>
              <w:tr2bl w:val="nil"/>
            </w:tcBorders>
            <w:vAlign w:val="center"/>
          </w:tcPr>
          <w:p w14:paraId="1075DBA1">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rPr>
              <w:t>标段（包）划分</w:t>
            </w:r>
          </w:p>
        </w:tc>
        <w:tc>
          <w:tcPr>
            <w:tcW w:w="5932" w:type="dxa"/>
            <w:tcBorders>
              <w:tl2br w:val="nil"/>
              <w:tr2bl w:val="nil"/>
            </w:tcBorders>
            <w:vAlign w:val="center"/>
          </w:tcPr>
          <w:p w14:paraId="4DAB8E7C">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见“第二章 采购项目及技术服务要求”相应条款</w:t>
            </w:r>
          </w:p>
        </w:tc>
      </w:tr>
      <w:tr w14:paraId="065433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51103FD0">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53D17430">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1.2</w:t>
            </w:r>
          </w:p>
        </w:tc>
        <w:tc>
          <w:tcPr>
            <w:tcW w:w="2513" w:type="dxa"/>
            <w:tcBorders>
              <w:tl2br w:val="nil"/>
              <w:tr2bl w:val="nil"/>
            </w:tcBorders>
            <w:vAlign w:val="center"/>
          </w:tcPr>
          <w:p w14:paraId="52A54667">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rPr>
              <w:t>交验期</w:t>
            </w:r>
          </w:p>
        </w:tc>
        <w:tc>
          <w:tcPr>
            <w:tcW w:w="5932" w:type="dxa"/>
            <w:tcBorders>
              <w:tl2br w:val="nil"/>
              <w:tr2bl w:val="nil"/>
            </w:tcBorders>
            <w:vAlign w:val="center"/>
          </w:tcPr>
          <w:p w14:paraId="1974BD99">
            <w:pPr>
              <w:autoSpaceDE w:val="0"/>
              <w:autoSpaceDN w:val="0"/>
              <w:adjustRightInd w:val="0"/>
              <w:snapToGrid w:val="0"/>
              <w:spacing w:before="120" w:beforeLines="50" w:line="240" w:lineRule="auto"/>
              <w:rPr>
                <w:rFonts w:ascii="宋体" w:cs="楷体_GB2312"/>
                <w:bCs/>
                <w:color w:val="auto"/>
                <w:sz w:val="24"/>
                <w:lang w:val="zh-CN"/>
              </w:rPr>
            </w:pPr>
            <w:r>
              <w:rPr>
                <w:rFonts w:hint="eastAsia" w:ascii="宋体" w:hAnsi="宋体"/>
                <w:color w:val="auto"/>
                <w:sz w:val="24"/>
              </w:rPr>
              <w:t>见“第二章 采购项目及技术服务要求”</w:t>
            </w:r>
            <w:r>
              <w:rPr>
                <w:rFonts w:hint="eastAsia"/>
                <w:color w:val="auto"/>
                <w:sz w:val="24"/>
                <w:szCs w:val="24"/>
              </w:rPr>
              <w:t>相应条款</w:t>
            </w:r>
          </w:p>
        </w:tc>
      </w:tr>
      <w:tr w14:paraId="359389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60350CE7">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3ED2A5B5">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1.2</w:t>
            </w:r>
          </w:p>
        </w:tc>
        <w:tc>
          <w:tcPr>
            <w:tcW w:w="2513" w:type="dxa"/>
            <w:tcBorders>
              <w:tl2br w:val="nil"/>
              <w:tr2bl w:val="nil"/>
            </w:tcBorders>
            <w:vAlign w:val="center"/>
          </w:tcPr>
          <w:p w14:paraId="5239CCD1">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服务地</w:t>
            </w:r>
          </w:p>
        </w:tc>
        <w:tc>
          <w:tcPr>
            <w:tcW w:w="5932" w:type="dxa"/>
            <w:tcBorders>
              <w:tl2br w:val="nil"/>
              <w:tr2bl w:val="nil"/>
            </w:tcBorders>
            <w:vAlign w:val="center"/>
          </w:tcPr>
          <w:p w14:paraId="3A03604F">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 xml:space="preserve">章 </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0FF375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408FD47B">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17386DA0">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1.3</w:t>
            </w:r>
          </w:p>
        </w:tc>
        <w:tc>
          <w:tcPr>
            <w:tcW w:w="2513" w:type="dxa"/>
            <w:tcBorders>
              <w:tl2br w:val="nil"/>
              <w:tr2bl w:val="nil"/>
            </w:tcBorders>
            <w:vAlign w:val="center"/>
          </w:tcPr>
          <w:p w14:paraId="0ADC74A2">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磋商报价</w:t>
            </w:r>
          </w:p>
        </w:tc>
        <w:tc>
          <w:tcPr>
            <w:tcW w:w="5932" w:type="dxa"/>
            <w:tcBorders>
              <w:tl2br w:val="nil"/>
              <w:tr2bl w:val="nil"/>
            </w:tcBorders>
            <w:vAlign w:val="center"/>
          </w:tcPr>
          <w:p w14:paraId="35DF2101">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见“第二章 采购项目及技术服务要求”相应条款</w:t>
            </w:r>
          </w:p>
        </w:tc>
      </w:tr>
      <w:tr w14:paraId="53C54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1" w:hRule="atLeast"/>
          <w:jc w:val="center"/>
        </w:trPr>
        <w:tc>
          <w:tcPr>
            <w:tcW w:w="508" w:type="dxa"/>
            <w:vMerge w:val="continue"/>
            <w:tcBorders>
              <w:tl2br w:val="nil"/>
              <w:tr2bl w:val="nil"/>
            </w:tcBorders>
            <w:vAlign w:val="center"/>
          </w:tcPr>
          <w:p w14:paraId="6263B697">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1A6905F1">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2</w:t>
            </w:r>
          </w:p>
        </w:tc>
        <w:tc>
          <w:tcPr>
            <w:tcW w:w="2513" w:type="dxa"/>
            <w:tcBorders>
              <w:tl2br w:val="nil"/>
              <w:tr2bl w:val="nil"/>
            </w:tcBorders>
            <w:vAlign w:val="center"/>
          </w:tcPr>
          <w:p w14:paraId="18ADA439">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标段（包）内容（范围）及技术服务要求</w:t>
            </w:r>
          </w:p>
        </w:tc>
        <w:tc>
          <w:tcPr>
            <w:tcW w:w="5932" w:type="dxa"/>
            <w:tcBorders>
              <w:tl2br w:val="nil"/>
              <w:tr2bl w:val="nil"/>
            </w:tcBorders>
            <w:vAlign w:val="center"/>
          </w:tcPr>
          <w:p w14:paraId="63CF013D">
            <w:pPr>
              <w:autoSpaceDE w:val="0"/>
              <w:autoSpaceDN w:val="0"/>
              <w:adjustRightInd w:val="0"/>
              <w:snapToGrid w:val="0"/>
              <w:spacing w:before="120" w:beforeLines="50" w:line="240" w:lineRule="auto"/>
              <w:rPr>
                <w:rFonts w:ascii="宋体" w:cs="楷体_GB2312"/>
                <w:color w:val="auto"/>
                <w:sz w:val="24"/>
                <w:highlight w:val="green"/>
                <w:lang w:val="zh-CN"/>
              </w:rPr>
            </w:pPr>
            <w:r>
              <w:rPr>
                <w:rFonts w:hint="eastAsia" w:ascii="宋体" w:hAnsi="宋体" w:cs="楷体_GB2312"/>
                <w:color w:val="auto"/>
                <w:sz w:val="24"/>
                <w:lang w:val="zh-CN"/>
              </w:rPr>
              <w:t>见“第二</w:t>
            </w:r>
            <w:r>
              <w:rPr>
                <w:rFonts w:hint="eastAsia"/>
                <w:color w:val="auto"/>
                <w:sz w:val="24"/>
                <w:szCs w:val="24"/>
              </w:rPr>
              <w:t xml:space="preserve">章 </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10DFDF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508" w:type="dxa"/>
            <w:vMerge w:val="restart"/>
            <w:tcBorders>
              <w:tl2br w:val="nil"/>
              <w:tr2bl w:val="nil"/>
            </w:tcBorders>
            <w:vAlign w:val="center"/>
          </w:tcPr>
          <w:p w14:paraId="44669DD0">
            <w:pPr>
              <w:autoSpaceDE w:val="0"/>
              <w:autoSpaceDN w:val="0"/>
              <w:adjustRightIn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tc>
        <w:tc>
          <w:tcPr>
            <w:tcW w:w="1059" w:type="dxa"/>
            <w:tcBorders>
              <w:tl2br w:val="nil"/>
              <w:tr2bl w:val="nil"/>
            </w:tcBorders>
            <w:vAlign w:val="center"/>
          </w:tcPr>
          <w:p w14:paraId="45853CF4">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1.4</w:t>
            </w:r>
          </w:p>
        </w:tc>
        <w:tc>
          <w:tcPr>
            <w:tcW w:w="2513" w:type="dxa"/>
            <w:tcBorders>
              <w:tl2br w:val="nil"/>
              <w:tr2bl w:val="nil"/>
            </w:tcBorders>
            <w:vAlign w:val="center"/>
          </w:tcPr>
          <w:p w14:paraId="756D07A4">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联合体投标</w:t>
            </w:r>
          </w:p>
        </w:tc>
        <w:tc>
          <w:tcPr>
            <w:tcW w:w="5932" w:type="dxa"/>
            <w:tcBorders>
              <w:tl2br w:val="nil"/>
              <w:tr2bl w:val="nil"/>
            </w:tcBorders>
            <w:vAlign w:val="center"/>
          </w:tcPr>
          <w:p w14:paraId="641ED1A7">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不接受</w:t>
            </w:r>
          </w:p>
        </w:tc>
      </w:tr>
      <w:tr w14:paraId="706CF1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546B49FD">
            <w:pPr>
              <w:autoSpaceDE w:val="0"/>
              <w:autoSpaceDN w:val="0"/>
              <w:adjustRightInd w:val="0"/>
              <w:snapToGrid w:val="0"/>
              <w:spacing w:line="240" w:lineRule="auto"/>
              <w:jc w:val="center"/>
              <w:rPr>
                <w:rFonts w:ascii="宋体" w:cs="楷体_GB2312"/>
                <w:b/>
                <w:bCs/>
                <w:color w:val="auto"/>
                <w:sz w:val="24"/>
              </w:rPr>
            </w:pPr>
          </w:p>
        </w:tc>
        <w:tc>
          <w:tcPr>
            <w:tcW w:w="1059" w:type="dxa"/>
            <w:tcBorders>
              <w:tl2br w:val="nil"/>
              <w:tr2bl w:val="nil"/>
            </w:tcBorders>
            <w:vAlign w:val="center"/>
          </w:tcPr>
          <w:p w14:paraId="550579DB">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2513" w:type="dxa"/>
            <w:tcBorders>
              <w:tl2br w:val="nil"/>
              <w:tr2bl w:val="nil"/>
            </w:tcBorders>
            <w:vAlign w:val="center"/>
          </w:tcPr>
          <w:p w14:paraId="1B3A6E22">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踏勘现场</w:t>
            </w:r>
          </w:p>
        </w:tc>
        <w:tc>
          <w:tcPr>
            <w:tcW w:w="5932" w:type="dxa"/>
            <w:tcBorders>
              <w:tl2br w:val="nil"/>
              <w:tr2bl w:val="nil"/>
            </w:tcBorders>
            <w:vAlign w:val="center"/>
          </w:tcPr>
          <w:p w14:paraId="065FE664">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14:paraId="0F85D7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3612B5B9">
            <w:pPr>
              <w:autoSpaceDE w:val="0"/>
              <w:autoSpaceDN w:val="0"/>
              <w:adjustRightInd w:val="0"/>
              <w:snapToGrid w:val="0"/>
              <w:spacing w:line="240" w:lineRule="auto"/>
              <w:jc w:val="center"/>
              <w:rPr>
                <w:rFonts w:ascii="宋体" w:cs="楷体_GB2312"/>
                <w:b/>
                <w:bCs/>
                <w:color w:val="auto"/>
                <w:sz w:val="24"/>
              </w:rPr>
            </w:pPr>
          </w:p>
        </w:tc>
        <w:tc>
          <w:tcPr>
            <w:tcW w:w="1059" w:type="dxa"/>
            <w:tcBorders>
              <w:tl2br w:val="nil"/>
              <w:tr2bl w:val="nil"/>
            </w:tcBorders>
            <w:vAlign w:val="center"/>
          </w:tcPr>
          <w:p w14:paraId="7196737A">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2513" w:type="dxa"/>
            <w:tcBorders>
              <w:tl2br w:val="nil"/>
              <w:tr2bl w:val="nil"/>
            </w:tcBorders>
            <w:vAlign w:val="center"/>
          </w:tcPr>
          <w:p w14:paraId="34DEC59B">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投标预备会</w:t>
            </w:r>
          </w:p>
        </w:tc>
        <w:tc>
          <w:tcPr>
            <w:tcW w:w="5932" w:type="dxa"/>
            <w:tcBorders>
              <w:tl2br w:val="nil"/>
              <w:tr2bl w:val="nil"/>
            </w:tcBorders>
            <w:vAlign w:val="center"/>
          </w:tcPr>
          <w:p w14:paraId="0D734797">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14:paraId="0DFE20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65B156EE">
            <w:pPr>
              <w:autoSpaceDE w:val="0"/>
              <w:autoSpaceDN w:val="0"/>
              <w:adjustRightInd w:val="0"/>
              <w:snapToGrid w:val="0"/>
              <w:spacing w:line="240" w:lineRule="auto"/>
              <w:jc w:val="center"/>
              <w:rPr>
                <w:rFonts w:ascii="宋体" w:cs="楷体_GB2312"/>
                <w:b/>
                <w:bCs/>
                <w:color w:val="auto"/>
                <w:sz w:val="24"/>
              </w:rPr>
            </w:pPr>
          </w:p>
        </w:tc>
        <w:tc>
          <w:tcPr>
            <w:tcW w:w="1059" w:type="dxa"/>
            <w:tcBorders>
              <w:tl2br w:val="nil"/>
              <w:tr2bl w:val="nil"/>
            </w:tcBorders>
            <w:vAlign w:val="center"/>
          </w:tcPr>
          <w:p w14:paraId="34A8F0F1">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2513" w:type="dxa"/>
            <w:tcBorders>
              <w:tl2br w:val="nil"/>
              <w:tr2bl w:val="nil"/>
            </w:tcBorders>
            <w:vAlign w:val="center"/>
          </w:tcPr>
          <w:p w14:paraId="5228288C">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分包</w:t>
            </w:r>
          </w:p>
        </w:tc>
        <w:tc>
          <w:tcPr>
            <w:tcW w:w="5932" w:type="dxa"/>
            <w:tcBorders>
              <w:tl2br w:val="nil"/>
              <w:tr2bl w:val="nil"/>
            </w:tcBorders>
            <w:vAlign w:val="center"/>
          </w:tcPr>
          <w:p w14:paraId="2454CC6B">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 xml:space="preserve">不允许 </w:t>
            </w:r>
          </w:p>
        </w:tc>
      </w:tr>
      <w:tr w14:paraId="56ECCE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41EED9A2">
            <w:pPr>
              <w:autoSpaceDE w:val="0"/>
              <w:autoSpaceDN w:val="0"/>
              <w:adjustRightInd w:val="0"/>
              <w:snapToGrid w:val="0"/>
              <w:spacing w:line="240" w:lineRule="auto"/>
              <w:jc w:val="center"/>
              <w:rPr>
                <w:rFonts w:ascii="宋体" w:cs="楷体_GB2312"/>
                <w:b/>
                <w:bCs/>
                <w:color w:val="auto"/>
                <w:sz w:val="24"/>
              </w:rPr>
            </w:pPr>
          </w:p>
        </w:tc>
        <w:tc>
          <w:tcPr>
            <w:tcW w:w="1059" w:type="dxa"/>
            <w:tcBorders>
              <w:tl2br w:val="nil"/>
              <w:tr2bl w:val="nil"/>
            </w:tcBorders>
            <w:vAlign w:val="center"/>
          </w:tcPr>
          <w:p w14:paraId="5E587DAD">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rPr>
              <w:t>2.1</w:t>
            </w:r>
          </w:p>
        </w:tc>
        <w:tc>
          <w:tcPr>
            <w:tcW w:w="2513" w:type="dxa"/>
            <w:tcBorders>
              <w:tl2br w:val="nil"/>
              <w:tr2bl w:val="nil"/>
            </w:tcBorders>
            <w:vAlign w:val="center"/>
          </w:tcPr>
          <w:p w14:paraId="00CDFC5D">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lang w:val="zh-CN"/>
              </w:rPr>
              <w:t>构成《磋商文件》的其他材料</w:t>
            </w:r>
          </w:p>
        </w:tc>
        <w:tc>
          <w:tcPr>
            <w:tcW w:w="5932" w:type="dxa"/>
            <w:tcBorders>
              <w:tl2br w:val="nil"/>
              <w:tr2bl w:val="nil"/>
            </w:tcBorders>
            <w:vAlign w:val="center"/>
          </w:tcPr>
          <w:p w14:paraId="4515EF5F">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供应商须知”相应条款</w:t>
            </w:r>
          </w:p>
        </w:tc>
      </w:tr>
      <w:tr w14:paraId="7042D5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508" w:type="dxa"/>
            <w:vMerge w:val="continue"/>
            <w:tcBorders>
              <w:tl2br w:val="nil"/>
              <w:tr2bl w:val="nil"/>
            </w:tcBorders>
            <w:vAlign w:val="center"/>
          </w:tcPr>
          <w:p w14:paraId="6A3CED87">
            <w:pPr>
              <w:autoSpaceDE w:val="0"/>
              <w:autoSpaceDN w:val="0"/>
              <w:adjustRightInd w:val="0"/>
              <w:snapToGrid w:val="0"/>
              <w:spacing w:line="240" w:lineRule="auto"/>
              <w:jc w:val="center"/>
              <w:rPr>
                <w:rFonts w:ascii="宋体" w:cs="楷体_GB2312"/>
                <w:b/>
                <w:bCs/>
                <w:color w:val="auto"/>
                <w:sz w:val="24"/>
              </w:rPr>
            </w:pPr>
          </w:p>
        </w:tc>
        <w:tc>
          <w:tcPr>
            <w:tcW w:w="1059" w:type="dxa"/>
            <w:tcBorders>
              <w:tl2br w:val="nil"/>
              <w:tr2bl w:val="nil"/>
            </w:tcBorders>
            <w:vAlign w:val="center"/>
          </w:tcPr>
          <w:p w14:paraId="1DF6217D">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rPr>
              <w:t>2.2.1</w:t>
            </w:r>
          </w:p>
        </w:tc>
        <w:tc>
          <w:tcPr>
            <w:tcW w:w="2513" w:type="dxa"/>
            <w:tcBorders>
              <w:tl2br w:val="nil"/>
              <w:tr2bl w:val="nil"/>
            </w:tcBorders>
            <w:vAlign w:val="center"/>
          </w:tcPr>
          <w:p w14:paraId="77E55920">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供应商提出问题的截止时间</w:t>
            </w:r>
          </w:p>
        </w:tc>
        <w:tc>
          <w:tcPr>
            <w:tcW w:w="5932" w:type="dxa"/>
            <w:tcBorders>
              <w:tl2br w:val="nil"/>
              <w:tr2bl w:val="nil"/>
            </w:tcBorders>
            <w:vAlign w:val="center"/>
          </w:tcPr>
          <w:p w14:paraId="465B6B07">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 xml:space="preserve">日前  </w:t>
            </w:r>
          </w:p>
        </w:tc>
      </w:tr>
      <w:tr w14:paraId="3E5E9D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508" w:type="dxa"/>
            <w:vMerge w:val="continue"/>
            <w:tcBorders>
              <w:tl2br w:val="nil"/>
              <w:tr2bl w:val="nil"/>
            </w:tcBorders>
            <w:vAlign w:val="center"/>
          </w:tcPr>
          <w:p w14:paraId="2A6EF7AC">
            <w:pPr>
              <w:autoSpaceDE w:val="0"/>
              <w:autoSpaceDN w:val="0"/>
              <w:adjustRightInd w:val="0"/>
              <w:snapToGrid w:val="0"/>
              <w:spacing w:line="240" w:lineRule="auto"/>
              <w:jc w:val="center"/>
              <w:rPr>
                <w:rFonts w:ascii="宋体" w:cs="楷体_GB2312"/>
                <w:b/>
                <w:bCs/>
                <w:color w:val="auto"/>
                <w:sz w:val="24"/>
              </w:rPr>
            </w:pPr>
          </w:p>
        </w:tc>
        <w:tc>
          <w:tcPr>
            <w:tcW w:w="1059" w:type="dxa"/>
            <w:tcBorders>
              <w:tl2br w:val="nil"/>
              <w:tr2bl w:val="nil"/>
            </w:tcBorders>
            <w:vAlign w:val="center"/>
          </w:tcPr>
          <w:p w14:paraId="47E1E653">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2.3</w:t>
            </w:r>
          </w:p>
        </w:tc>
        <w:tc>
          <w:tcPr>
            <w:tcW w:w="2513" w:type="dxa"/>
            <w:tcBorders>
              <w:tl2br w:val="nil"/>
              <w:tr2bl w:val="nil"/>
            </w:tcBorders>
            <w:vAlign w:val="center"/>
          </w:tcPr>
          <w:p w14:paraId="0D0AD6BB">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《磋商文件》澄清修改补充时间</w:t>
            </w:r>
          </w:p>
        </w:tc>
        <w:tc>
          <w:tcPr>
            <w:tcW w:w="5932" w:type="dxa"/>
            <w:tcBorders>
              <w:tl2br w:val="nil"/>
              <w:tr2bl w:val="nil"/>
            </w:tcBorders>
            <w:vAlign w:val="center"/>
          </w:tcPr>
          <w:p w14:paraId="1D8AD593">
            <w:pPr>
              <w:autoSpaceDE w:val="0"/>
              <w:autoSpaceDN w:val="0"/>
              <w:adjustRightInd w:val="0"/>
              <w:snapToGrid w:val="0"/>
              <w:spacing w:before="120" w:beforeLines="50" w:line="240" w:lineRule="auto"/>
              <w:rPr>
                <w:rFonts w:ascii="宋体" w:hAnsi="宋体" w:cs="楷体_GB2312"/>
                <w:color w:val="auto"/>
                <w:sz w:val="24"/>
                <w:highlight w:val="yellow"/>
                <w:lang w:val="zh-CN"/>
              </w:rPr>
            </w:pPr>
            <w:r>
              <w:rPr>
                <w:rFonts w:hint="eastAsia" w:ascii="宋体" w:hAnsi="宋体" w:cs="楷体_GB2312"/>
                <w:color w:val="auto"/>
                <w:sz w:val="24"/>
                <w:lang w:val="zh-CN"/>
              </w:rPr>
              <w:t>投标截止时间</w:t>
            </w:r>
            <w:r>
              <w:rPr>
                <w:rFonts w:ascii="宋体" w:hAnsi="宋体" w:cs="楷体_GB2312"/>
                <w:color w:val="auto"/>
                <w:sz w:val="24"/>
              </w:rPr>
              <w:t>5</w:t>
            </w:r>
            <w:r>
              <w:rPr>
                <w:rFonts w:hint="eastAsia" w:ascii="宋体" w:hAnsi="宋体" w:cs="楷体_GB2312"/>
                <w:color w:val="auto"/>
                <w:sz w:val="24"/>
                <w:lang w:val="zh-CN"/>
              </w:rPr>
              <w:t>日前</w:t>
            </w:r>
          </w:p>
        </w:tc>
      </w:tr>
      <w:tr w14:paraId="45CEC2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08" w:type="dxa"/>
            <w:vMerge w:val="continue"/>
            <w:tcBorders>
              <w:tl2br w:val="nil"/>
              <w:tr2bl w:val="nil"/>
            </w:tcBorders>
            <w:vAlign w:val="center"/>
          </w:tcPr>
          <w:p w14:paraId="56437E98">
            <w:pPr>
              <w:autoSpaceDE w:val="0"/>
              <w:autoSpaceDN w:val="0"/>
              <w:adjustRightInd w:val="0"/>
              <w:snapToGrid w:val="0"/>
              <w:spacing w:line="240" w:lineRule="auto"/>
              <w:jc w:val="center"/>
              <w:rPr>
                <w:rFonts w:ascii="宋体" w:cs="楷体_GB2312"/>
                <w:b/>
                <w:bCs/>
                <w:color w:val="auto"/>
                <w:sz w:val="24"/>
                <w:lang w:val="zh-CN"/>
              </w:rPr>
            </w:pPr>
          </w:p>
        </w:tc>
        <w:tc>
          <w:tcPr>
            <w:tcW w:w="1059" w:type="dxa"/>
            <w:tcBorders>
              <w:tl2br w:val="nil"/>
              <w:tr2bl w:val="nil"/>
            </w:tcBorders>
            <w:vAlign w:val="center"/>
          </w:tcPr>
          <w:p w14:paraId="39FC6290">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lang w:val="zh-CN"/>
              </w:rPr>
              <w:t>2.</w:t>
            </w:r>
            <w:r>
              <w:rPr>
                <w:rFonts w:hint="eastAsia" w:ascii="宋体" w:hAnsi="宋体" w:cs="楷体_GB2312"/>
                <w:b/>
                <w:bCs/>
                <w:color w:val="auto"/>
                <w:szCs w:val="21"/>
                <w:lang w:val="zh-CN"/>
              </w:rPr>
              <w:t>4</w:t>
            </w:r>
          </w:p>
        </w:tc>
        <w:tc>
          <w:tcPr>
            <w:tcW w:w="2513" w:type="dxa"/>
            <w:tcBorders>
              <w:tl2br w:val="nil"/>
              <w:tr2bl w:val="nil"/>
            </w:tcBorders>
            <w:vAlign w:val="center"/>
          </w:tcPr>
          <w:p w14:paraId="3C099518">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《磋商文件》的澄清修改补充告知方式</w:t>
            </w:r>
          </w:p>
        </w:tc>
        <w:tc>
          <w:tcPr>
            <w:tcW w:w="5932" w:type="dxa"/>
            <w:tcBorders>
              <w:tl2br w:val="nil"/>
              <w:tr2bl w:val="nil"/>
            </w:tcBorders>
            <w:vAlign w:val="center"/>
          </w:tcPr>
          <w:p w14:paraId="1E1C2A8F">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供应商须知”相应条款</w:t>
            </w:r>
          </w:p>
        </w:tc>
      </w:tr>
      <w:tr w14:paraId="76CCE2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508" w:type="dxa"/>
            <w:vMerge w:val="continue"/>
            <w:tcBorders>
              <w:tl2br w:val="nil"/>
              <w:tr2bl w:val="nil"/>
            </w:tcBorders>
            <w:vAlign w:val="center"/>
          </w:tcPr>
          <w:p w14:paraId="0D5797A4">
            <w:pPr>
              <w:autoSpaceDE w:val="0"/>
              <w:autoSpaceDN w:val="0"/>
              <w:adjustRightInd w:val="0"/>
              <w:snapToGrid w:val="0"/>
              <w:spacing w:line="240" w:lineRule="auto"/>
              <w:jc w:val="center"/>
              <w:rPr>
                <w:rFonts w:ascii="宋体" w:cs="楷体_GB2312"/>
                <w:b/>
                <w:bCs/>
                <w:color w:val="auto"/>
                <w:sz w:val="24"/>
                <w:lang w:val="zh-CN"/>
              </w:rPr>
            </w:pPr>
          </w:p>
        </w:tc>
        <w:tc>
          <w:tcPr>
            <w:tcW w:w="1059" w:type="dxa"/>
            <w:tcBorders>
              <w:tl2br w:val="nil"/>
              <w:tr2bl w:val="nil"/>
            </w:tcBorders>
            <w:vAlign w:val="center"/>
          </w:tcPr>
          <w:p w14:paraId="209B40F2">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3.2</w:t>
            </w:r>
          </w:p>
        </w:tc>
        <w:tc>
          <w:tcPr>
            <w:tcW w:w="2513" w:type="dxa"/>
            <w:tcBorders>
              <w:tl2br w:val="nil"/>
              <w:tr2bl w:val="nil"/>
            </w:tcBorders>
            <w:vAlign w:val="center"/>
          </w:tcPr>
          <w:p w14:paraId="5B366075">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构成《响应文件》的其他材料</w:t>
            </w:r>
          </w:p>
        </w:tc>
        <w:tc>
          <w:tcPr>
            <w:tcW w:w="5932" w:type="dxa"/>
            <w:tcBorders>
              <w:tl2br w:val="nil"/>
              <w:tr2bl w:val="nil"/>
            </w:tcBorders>
            <w:vAlign w:val="center"/>
          </w:tcPr>
          <w:p w14:paraId="3EF56AF4">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76C53A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508" w:type="dxa"/>
            <w:vMerge w:val="restart"/>
            <w:tcBorders>
              <w:tl2br w:val="nil"/>
              <w:tr2bl w:val="nil"/>
            </w:tcBorders>
            <w:vAlign w:val="center"/>
          </w:tcPr>
          <w:p w14:paraId="3AD44ABC">
            <w:pPr>
              <w:autoSpaceDE w:val="0"/>
              <w:autoSpaceDN w:val="0"/>
              <w:adjustRightIn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tc>
        <w:tc>
          <w:tcPr>
            <w:tcW w:w="1059" w:type="dxa"/>
            <w:tcBorders>
              <w:tl2br w:val="nil"/>
              <w:tr2bl w:val="nil"/>
            </w:tcBorders>
            <w:vAlign w:val="center"/>
          </w:tcPr>
          <w:p w14:paraId="13946EFF">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3.4.1</w:t>
            </w:r>
          </w:p>
        </w:tc>
        <w:tc>
          <w:tcPr>
            <w:tcW w:w="2513" w:type="dxa"/>
            <w:tcBorders>
              <w:tl2br w:val="nil"/>
              <w:tr2bl w:val="nil"/>
            </w:tcBorders>
            <w:vAlign w:val="center"/>
          </w:tcPr>
          <w:p w14:paraId="1C52565B">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响应有效期</w:t>
            </w:r>
          </w:p>
        </w:tc>
        <w:tc>
          <w:tcPr>
            <w:tcW w:w="5932" w:type="dxa"/>
            <w:tcBorders>
              <w:tl2br w:val="nil"/>
              <w:tr2bl w:val="nil"/>
            </w:tcBorders>
            <w:vAlign w:val="center"/>
          </w:tcPr>
          <w:p w14:paraId="791C95FE">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从《响应文件》开启之日起，响应有效期为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14:paraId="254148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8" w:type="dxa"/>
            <w:vMerge w:val="continue"/>
            <w:tcBorders>
              <w:tl2br w:val="nil"/>
              <w:tr2bl w:val="nil"/>
            </w:tcBorders>
            <w:vAlign w:val="center"/>
          </w:tcPr>
          <w:p w14:paraId="15D5F33C">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5B2AB555">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3.5</w:t>
            </w:r>
          </w:p>
        </w:tc>
        <w:tc>
          <w:tcPr>
            <w:tcW w:w="2513" w:type="dxa"/>
            <w:tcBorders>
              <w:tl2br w:val="nil"/>
              <w:tr2bl w:val="nil"/>
            </w:tcBorders>
            <w:vAlign w:val="center"/>
          </w:tcPr>
          <w:p w14:paraId="02F2A399">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投标承诺函</w:t>
            </w:r>
          </w:p>
          <w:p w14:paraId="1E018C5A">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（替代投标保证金）</w:t>
            </w:r>
          </w:p>
        </w:tc>
        <w:tc>
          <w:tcPr>
            <w:tcW w:w="5932" w:type="dxa"/>
            <w:tcBorders>
              <w:tl2br w:val="nil"/>
              <w:tr2bl w:val="nil"/>
            </w:tcBorders>
            <w:vAlign w:val="center"/>
          </w:tcPr>
          <w:p w14:paraId="22C97D5F">
            <w:pPr>
              <w:widowControl w:val="0"/>
              <w:snapToGrid w:val="0"/>
              <w:spacing w:before="120" w:beforeLines="50" w:line="240" w:lineRule="auto"/>
              <w:rPr>
                <w:color w:val="auto"/>
                <w:sz w:val="24"/>
                <w:szCs w:val="24"/>
              </w:rPr>
            </w:pPr>
            <w:r>
              <w:rPr>
                <w:rFonts w:hint="eastAsia"/>
                <w:color w:val="auto"/>
                <w:sz w:val="24"/>
                <w:szCs w:val="24"/>
              </w:rPr>
              <w:t>以投标承诺函形式替代投标保证金。</w:t>
            </w:r>
          </w:p>
          <w:p w14:paraId="1FDD1BB0">
            <w:pPr>
              <w:widowControl w:val="0"/>
              <w:snapToGrid w:val="0"/>
              <w:spacing w:before="120" w:beforeLines="50" w:line="240" w:lineRule="auto"/>
              <w:rPr>
                <w:color w:val="auto"/>
                <w:sz w:val="24"/>
                <w:szCs w:val="24"/>
              </w:rPr>
            </w:pPr>
            <w:r>
              <w:rPr>
                <w:rFonts w:hint="eastAsia"/>
                <w:color w:val="auto"/>
                <w:sz w:val="24"/>
                <w:szCs w:val="24"/>
              </w:rPr>
              <w:t>供应商应按附件格式进行投标承诺、违背承诺的责任追究。</w:t>
            </w:r>
          </w:p>
        </w:tc>
      </w:tr>
      <w:tr w14:paraId="1C1F49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508" w:type="dxa"/>
            <w:vMerge w:val="continue"/>
            <w:tcBorders>
              <w:tl2br w:val="nil"/>
              <w:tr2bl w:val="nil"/>
            </w:tcBorders>
            <w:vAlign w:val="center"/>
          </w:tcPr>
          <w:p w14:paraId="4E45AB4A">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62091BD6">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3.7.3</w:t>
            </w:r>
          </w:p>
        </w:tc>
        <w:tc>
          <w:tcPr>
            <w:tcW w:w="2513" w:type="dxa"/>
            <w:tcBorders>
              <w:tl2br w:val="nil"/>
              <w:tr2bl w:val="nil"/>
            </w:tcBorders>
            <w:vAlign w:val="center"/>
          </w:tcPr>
          <w:p w14:paraId="3BC22CBF">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偏离描述</w:t>
            </w:r>
          </w:p>
        </w:tc>
        <w:tc>
          <w:tcPr>
            <w:tcW w:w="5932" w:type="dxa"/>
            <w:tcBorders>
              <w:tl2br w:val="nil"/>
              <w:tr2bl w:val="nil"/>
            </w:tcBorders>
            <w:vAlign w:val="center"/>
          </w:tcPr>
          <w:p w14:paraId="70052983">
            <w:pPr>
              <w:widowControl w:val="0"/>
              <w:snapToGrid w:val="0"/>
              <w:spacing w:before="120" w:beforeLines="50" w:line="240" w:lineRule="auto"/>
              <w:rPr>
                <w:b/>
                <w:color w:val="auto"/>
                <w:sz w:val="24"/>
                <w:szCs w:val="24"/>
                <w:highlight w:val="yellow"/>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供应商须知”相应条款</w:t>
            </w:r>
          </w:p>
        </w:tc>
      </w:tr>
      <w:tr w14:paraId="325016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 w:hRule="atLeast"/>
          <w:jc w:val="center"/>
        </w:trPr>
        <w:tc>
          <w:tcPr>
            <w:tcW w:w="508" w:type="dxa"/>
            <w:vMerge w:val="continue"/>
            <w:tcBorders>
              <w:tl2br w:val="nil"/>
              <w:tr2bl w:val="nil"/>
            </w:tcBorders>
            <w:vAlign w:val="center"/>
          </w:tcPr>
          <w:p w14:paraId="4B6BDE46">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73EEA261">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rPr>
              <w:t>3.7.4</w:t>
            </w:r>
          </w:p>
        </w:tc>
        <w:tc>
          <w:tcPr>
            <w:tcW w:w="2513" w:type="dxa"/>
            <w:tcBorders>
              <w:tl2br w:val="nil"/>
              <w:tr2bl w:val="nil"/>
            </w:tcBorders>
            <w:vAlign w:val="center"/>
          </w:tcPr>
          <w:p w14:paraId="2CCC2F6F">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签字或盖章要求</w:t>
            </w:r>
          </w:p>
        </w:tc>
        <w:tc>
          <w:tcPr>
            <w:tcW w:w="5932" w:type="dxa"/>
            <w:tcBorders>
              <w:tl2br w:val="nil"/>
              <w:tr2bl w:val="nil"/>
            </w:tcBorders>
            <w:vAlign w:val="center"/>
          </w:tcPr>
          <w:p w14:paraId="68997EB2">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供应商须知”相应条款</w:t>
            </w:r>
          </w:p>
        </w:tc>
      </w:tr>
      <w:tr w14:paraId="19E3D8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508" w:type="dxa"/>
            <w:vMerge w:val="continue"/>
            <w:tcBorders>
              <w:tl2br w:val="nil"/>
              <w:tr2bl w:val="nil"/>
            </w:tcBorders>
            <w:vAlign w:val="center"/>
          </w:tcPr>
          <w:p w14:paraId="2651E652">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1E27B48C">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rPr>
              <w:t>4.2.4</w:t>
            </w:r>
          </w:p>
        </w:tc>
        <w:tc>
          <w:tcPr>
            <w:tcW w:w="2513" w:type="dxa"/>
            <w:tcBorders>
              <w:tl2br w:val="nil"/>
              <w:tr2bl w:val="nil"/>
            </w:tcBorders>
            <w:vAlign w:val="center"/>
          </w:tcPr>
          <w:p w14:paraId="50DD8694">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是否退还《响应文件》</w:t>
            </w:r>
          </w:p>
        </w:tc>
        <w:tc>
          <w:tcPr>
            <w:tcW w:w="5932" w:type="dxa"/>
            <w:tcBorders>
              <w:tl2br w:val="nil"/>
              <w:tr2bl w:val="nil"/>
            </w:tcBorders>
            <w:vAlign w:val="center"/>
          </w:tcPr>
          <w:p w14:paraId="46FDF7CB">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14:paraId="3E55A9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7" w:hRule="atLeast"/>
          <w:jc w:val="center"/>
        </w:trPr>
        <w:tc>
          <w:tcPr>
            <w:tcW w:w="508" w:type="dxa"/>
            <w:vMerge w:val="continue"/>
            <w:tcBorders>
              <w:tl2br w:val="nil"/>
              <w:tr2bl w:val="nil"/>
            </w:tcBorders>
            <w:vAlign w:val="center"/>
          </w:tcPr>
          <w:p w14:paraId="32784B06">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520BBC60">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rPr>
              <w:t>6.1</w:t>
            </w:r>
          </w:p>
        </w:tc>
        <w:tc>
          <w:tcPr>
            <w:tcW w:w="2513" w:type="dxa"/>
            <w:tcBorders>
              <w:tl2br w:val="nil"/>
              <w:tr2bl w:val="nil"/>
            </w:tcBorders>
            <w:vAlign w:val="center"/>
          </w:tcPr>
          <w:p w14:paraId="714B3E98">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磋商小组的组建</w:t>
            </w:r>
          </w:p>
        </w:tc>
        <w:tc>
          <w:tcPr>
            <w:tcW w:w="5932" w:type="dxa"/>
            <w:tcBorders>
              <w:tl2br w:val="nil"/>
              <w:tr2bl w:val="nil"/>
            </w:tcBorders>
            <w:vAlign w:val="center"/>
          </w:tcPr>
          <w:p w14:paraId="2B9BE32E">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供应商须知”相应条款</w:t>
            </w:r>
          </w:p>
        </w:tc>
      </w:tr>
      <w:tr w14:paraId="7E9DF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508" w:type="dxa"/>
            <w:vMerge w:val="restart"/>
            <w:tcBorders>
              <w:tl2br w:val="nil"/>
              <w:tr2bl w:val="nil"/>
            </w:tcBorders>
            <w:vAlign w:val="center"/>
          </w:tcPr>
          <w:p w14:paraId="6A61D296">
            <w:pPr>
              <w:autoSpaceDE w:val="0"/>
              <w:autoSpaceDN w:val="0"/>
              <w:adjustRightIn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tc>
        <w:tc>
          <w:tcPr>
            <w:tcW w:w="1059" w:type="dxa"/>
            <w:tcBorders>
              <w:tl2br w:val="nil"/>
              <w:tr2bl w:val="nil"/>
            </w:tcBorders>
            <w:vAlign w:val="center"/>
          </w:tcPr>
          <w:p w14:paraId="73302F31">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rPr>
              <w:t>7.1</w:t>
            </w:r>
          </w:p>
        </w:tc>
        <w:tc>
          <w:tcPr>
            <w:tcW w:w="2513" w:type="dxa"/>
            <w:tcBorders>
              <w:tl2br w:val="nil"/>
              <w:tr2bl w:val="nil"/>
            </w:tcBorders>
            <w:vAlign w:val="center"/>
          </w:tcPr>
          <w:p w14:paraId="20C424BF">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是否授权磋商小组确定成交供应商</w:t>
            </w:r>
          </w:p>
        </w:tc>
        <w:tc>
          <w:tcPr>
            <w:tcW w:w="5932" w:type="dxa"/>
            <w:tcBorders>
              <w:tl2br w:val="nil"/>
              <w:tr2bl w:val="nil"/>
            </w:tcBorders>
            <w:vAlign w:val="center"/>
          </w:tcPr>
          <w:p w14:paraId="397D6395">
            <w:pPr>
              <w:adjustRightInd w:val="0"/>
              <w:snapToGrid w:val="0"/>
              <w:spacing w:before="120" w:beforeLines="50" w:line="240" w:lineRule="auto"/>
              <w:rPr>
                <w:rFonts w:ascii="宋体"/>
                <w:color w:val="auto"/>
                <w:sz w:val="24"/>
              </w:rPr>
            </w:pPr>
            <w:r>
              <w:rPr>
                <w:rFonts w:hint="eastAsia" w:ascii="宋体" w:hAnsi="宋体"/>
                <w:color w:val="auto"/>
                <w:sz w:val="24"/>
              </w:rPr>
              <w:t>是。按照评审得分由高到低顺序推荐</w:t>
            </w:r>
            <w:r>
              <w:rPr>
                <w:rFonts w:ascii="宋体" w:hAnsi="宋体"/>
                <w:color w:val="auto"/>
                <w:sz w:val="24"/>
              </w:rPr>
              <w:t>3</w:t>
            </w:r>
            <w:r>
              <w:rPr>
                <w:rFonts w:hint="eastAsia" w:ascii="宋体" w:hAnsi="宋体"/>
                <w:color w:val="auto"/>
                <w:sz w:val="24"/>
              </w:rPr>
              <w:t>名以上成交候选供应商，并确定排名第一的成交候选人为成交供应商。</w:t>
            </w:r>
          </w:p>
        </w:tc>
      </w:tr>
      <w:tr w14:paraId="68BB59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01FD04F9">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7C4B9EC1">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rPr>
              <w:t>7.2</w:t>
            </w:r>
          </w:p>
        </w:tc>
        <w:tc>
          <w:tcPr>
            <w:tcW w:w="2513" w:type="dxa"/>
            <w:tcBorders>
              <w:tl2br w:val="nil"/>
              <w:tr2bl w:val="nil"/>
            </w:tcBorders>
            <w:vAlign w:val="center"/>
          </w:tcPr>
          <w:p w14:paraId="2F7F3F24">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成交结果公告</w:t>
            </w:r>
          </w:p>
        </w:tc>
        <w:tc>
          <w:tcPr>
            <w:tcW w:w="5932" w:type="dxa"/>
            <w:tcBorders>
              <w:tl2br w:val="nil"/>
              <w:tr2bl w:val="nil"/>
            </w:tcBorders>
            <w:vAlign w:val="center"/>
          </w:tcPr>
          <w:p w14:paraId="43F87772">
            <w:pPr>
              <w:adjustRightInd w:val="0"/>
              <w:snapToGrid w:val="0"/>
              <w:spacing w:before="120" w:beforeLines="50" w:line="240" w:lineRule="auto"/>
              <w:rPr>
                <w:rFonts w:ascii="宋体" w:hAnsi="宋体"/>
                <w:color w:val="auto"/>
                <w:sz w:val="24"/>
              </w:rPr>
            </w:pPr>
            <w:r>
              <w:rPr>
                <w:rFonts w:hint="eastAsia" w:ascii="宋体" w:hAnsi="宋体"/>
                <w:color w:val="auto"/>
                <w:sz w:val="24"/>
              </w:rPr>
              <w:t>本次竞争性磋商的成交结果将在成交供应商确定当天在竞争性磋商公告所述媒介公告</w:t>
            </w:r>
            <w:r>
              <w:rPr>
                <w:rFonts w:ascii="宋体" w:hAnsi="宋体"/>
                <w:color w:val="auto"/>
                <w:sz w:val="24"/>
              </w:rPr>
              <w:t>1</w:t>
            </w:r>
            <w:r>
              <w:rPr>
                <w:rFonts w:hint="eastAsia" w:ascii="宋体" w:hAnsi="宋体"/>
                <w:color w:val="auto"/>
                <w:sz w:val="24"/>
              </w:rPr>
              <w:t>个工作日。</w:t>
            </w:r>
          </w:p>
        </w:tc>
      </w:tr>
      <w:tr w14:paraId="0D3124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3C1C23BC">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483F57D3">
            <w:pPr>
              <w:autoSpaceDE w:val="0"/>
              <w:autoSpaceDN w:val="0"/>
              <w:adjustRightInd w:val="0"/>
              <w:snapToGrid w:val="0"/>
              <w:spacing w:line="240" w:lineRule="auto"/>
              <w:jc w:val="center"/>
              <w:rPr>
                <w:rFonts w:ascii="宋体" w:hAnsi="宋体" w:cs="楷体_GB2312"/>
                <w:b/>
                <w:bCs/>
                <w:color w:val="auto"/>
                <w:szCs w:val="21"/>
              </w:rPr>
            </w:pPr>
            <w:r>
              <w:rPr>
                <w:rFonts w:ascii="宋体" w:hAnsi="宋体" w:cs="楷体_GB2312"/>
                <w:b/>
                <w:bCs/>
                <w:color w:val="auto"/>
                <w:szCs w:val="21"/>
              </w:rPr>
              <w:t>7.3</w:t>
            </w:r>
          </w:p>
        </w:tc>
        <w:tc>
          <w:tcPr>
            <w:tcW w:w="2513" w:type="dxa"/>
            <w:tcBorders>
              <w:tl2br w:val="nil"/>
              <w:tr2bl w:val="nil"/>
            </w:tcBorders>
            <w:vAlign w:val="center"/>
          </w:tcPr>
          <w:p w14:paraId="1751D2D7">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质疑</w:t>
            </w:r>
          </w:p>
        </w:tc>
        <w:tc>
          <w:tcPr>
            <w:tcW w:w="5932" w:type="dxa"/>
            <w:tcBorders>
              <w:tl2br w:val="nil"/>
              <w:tr2bl w:val="nil"/>
            </w:tcBorders>
            <w:vAlign w:val="center"/>
          </w:tcPr>
          <w:p w14:paraId="06315481">
            <w:pPr>
              <w:rPr>
                <w:rFonts w:ascii="宋体" w:hAns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rPr>
              <w:t>如对采购代理机构的答复仍有异议的，可向同级财政局政府采购监督管理办公室提出书面投诉。（具体程序按照《政府采购质疑和投诉办法》执行）。</w:t>
            </w:r>
          </w:p>
        </w:tc>
      </w:tr>
      <w:tr w14:paraId="2FB099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4BCE7839">
            <w:pPr>
              <w:autoSpaceDE w:val="0"/>
              <w:autoSpaceDN w:val="0"/>
              <w:adjustRightInd w:val="0"/>
              <w:spacing w:line="240" w:lineRule="auto"/>
              <w:jc w:val="center"/>
              <w:rPr>
                <w:rFonts w:ascii="宋体" w:hAnsi="宋体" w:cs="楷体_GB2312"/>
                <w:b/>
                <w:bCs/>
                <w:color w:val="auto"/>
                <w:sz w:val="24"/>
                <w:lang w:val="zh-CN"/>
              </w:rPr>
            </w:pPr>
          </w:p>
        </w:tc>
        <w:tc>
          <w:tcPr>
            <w:tcW w:w="1059" w:type="dxa"/>
            <w:tcBorders>
              <w:tl2br w:val="nil"/>
              <w:tr2bl w:val="nil"/>
            </w:tcBorders>
            <w:vAlign w:val="center"/>
          </w:tcPr>
          <w:p w14:paraId="0A41EF72">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7.4</w:t>
            </w:r>
          </w:p>
        </w:tc>
        <w:tc>
          <w:tcPr>
            <w:tcW w:w="2513" w:type="dxa"/>
            <w:tcBorders>
              <w:tl2br w:val="nil"/>
              <w:tr2bl w:val="nil"/>
            </w:tcBorders>
            <w:vAlign w:val="center"/>
          </w:tcPr>
          <w:p w14:paraId="1ED10A65">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成交通知书</w:t>
            </w:r>
          </w:p>
        </w:tc>
        <w:tc>
          <w:tcPr>
            <w:tcW w:w="5932" w:type="dxa"/>
            <w:tcBorders>
              <w:tl2br w:val="nil"/>
              <w:tr2bl w:val="nil"/>
            </w:tcBorders>
            <w:vAlign w:val="center"/>
          </w:tcPr>
          <w:p w14:paraId="3FC4349F">
            <w:pPr>
              <w:adjustRightInd w:val="0"/>
              <w:snapToGrid w:val="0"/>
              <w:spacing w:before="120" w:beforeLines="50" w:line="240" w:lineRule="auto"/>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采购代理机构在成交供应商确定当天向成交供应商发出成交通知书。成交供应商应凭缴费凭证及时领取成交通知书。</w:t>
            </w:r>
          </w:p>
        </w:tc>
      </w:tr>
      <w:tr w14:paraId="1D775D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restart"/>
            <w:tcBorders>
              <w:tl2br w:val="nil"/>
              <w:tr2bl w:val="nil"/>
            </w:tcBorders>
            <w:vAlign w:val="center"/>
          </w:tcPr>
          <w:p w14:paraId="679B7D95">
            <w:pPr>
              <w:autoSpaceDE w:val="0"/>
              <w:autoSpaceDN w:val="0"/>
              <w:adjustRightIn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tc>
        <w:tc>
          <w:tcPr>
            <w:tcW w:w="1059" w:type="dxa"/>
            <w:tcBorders>
              <w:tl2br w:val="nil"/>
              <w:tr2bl w:val="nil"/>
            </w:tcBorders>
            <w:vAlign w:val="center"/>
          </w:tcPr>
          <w:p w14:paraId="29716AD0">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7.5</w:t>
            </w:r>
          </w:p>
        </w:tc>
        <w:tc>
          <w:tcPr>
            <w:tcW w:w="2513" w:type="dxa"/>
            <w:tcBorders>
              <w:tl2br w:val="nil"/>
              <w:tr2bl w:val="nil"/>
            </w:tcBorders>
            <w:vAlign w:val="center"/>
          </w:tcPr>
          <w:p w14:paraId="0BF583B9">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履约保证金</w:t>
            </w:r>
          </w:p>
        </w:tc>
        <w:tc>
          <w:tcPr>
            <w:tcW w:w="5932" w:type="dxa"/>
            <w:tcBorders>
              <w:tl2br w:val="nil"/>
              <w:tr2bl w:val="nil"/>
            </w:tcBorders>
            <w:vAlign w:val="center"/>
          </w:tcPr>
          <w:p w14:paraId="5B118105">
            <w:pPr>
              <w:adjustRightInd w:val="0"/>
              <w:snapToGrid w:val="0"/>
              <w:spacing w:before="120" w:beforeLines="50" w:line="240" w:lineRule="auto"/>
              <w:rPr>
                <w:color w:val="auto"/>
                <w:sz w:val="24"/>
                <w:szCs w:val="24"/>
              </w:rPr>
            </w:pPr>
            <w:r>
              <w:rPr>
                <w:rFonts w:hint="eastAsia" w:ascii="宋体" w:hAnsi="宋体" w:cs="楷体_GB2312"/>
                <w:color w:val="auto"/>
                <w:sz w:val="24"/>
              </w:rPr>
              <w:t>不需缴纳</w:t>
            </w:r>
          </w:p>
        </w:tc>
      </w:tr>
      <w:tr w14:paraId="3FC4A5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05C45C04">
            <w:pPr>
              <w:autoSpaceDE w:val="0"/>
              <w:autoSpaceDN w:val="0"/>
              <w:adjustRightInd w:val="0"/>
              <w:snapToGrid w:val="0"/>
              <w:spacing w:line="240" w:lineRule="auto"/>
              <w:jc w:val="center"/>
              <w:rPr>
                <w:rFonts w:ascii="宋体" w:cs="楷体_GB2312"/>
                <w:b/>
                <w:bCs/>
                <w:color w:val="auto"/>
                <w:sz w:val="24"/>
                <w:lang w:val="zh-CN"/>
              </w:rPr>
            </w:pPr>
          </w:p>
        </w:tc>
        <w:tc>
          <w:tcPr>
            <w:tcW w:w="1059" w:type="dxa"/>
            <w:tcBorders>
              <w:tl2br w:val="nil"/>
              <w:tr2bl w:val="nil"/>
            </w:tcBorders>
            <w:vAlign w:val="center"/>
          </w:tcPr>
          <w:p w14:paraId="796BA56B">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8</w:t>
            </w:r>
          </w:p>
        </w:tc>
        <w:tc>
          <w:tcPr>
            <w:tcW w:w="2513" w:type="dxa"/>
            <w:tcBorders>
              <w:tl2br w:val="nil"/>
              <w:tr2bl w:val="nil"/>
            </w:tcBorders>
            <w:vAlign w:val="center"/>
          </w:tcPr>
          <w:p w14:paraId="1F78FF0A">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验收</w:t>
            </w:r>
          </w:p>
        </w:tc>
        <w:tc>
          <w:tcPr>
            <w:tcW w:w="5932" w:type="dxa"/>
            <w:tcBorders>
              <w:tl2br w:val="nil"/>
              <w:tr2bl w:val="nil"/>
            </w:tcBorders>
            <w:vAlign w:val="center"/>
          </w:tcPr>
          <w:p w14:paraId="31AE5CCC">
            <w:pPr>
              <w:widowControl w:val="0"/>
              <w:snapToGrid w:val="0"/>
              <w:spacing w:before="120" w:beforeLines="50" w:line="240" w:lineRule="auto"/>
              <w:rPr>
                <w:color w:val="auto"/>
                <w:sz w:val="24"/>
                <w:szCs w:val="24"/>
              </w:rPr>
            </w:pPr>
            <w:r>
              <w:rPr>
                <w:rFonts w:hint="eastAsia"/>
                <w:color w:val="auto"/>
                <w:sz w:val="24"/>
                <w:szCs w:val="24"/>
              </w:rPr>
              <w:t>见“第三章 供应商须知”相应条款</w:t>
            </w:r>
          </w:p>
        </w:tc>
      </w:tr>
      <w:tr w14:paraId="249E76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5135E8DC">
            <w:pPr>
              <w:autoSpaceDE w:val="0"/>
              <w:autoSpaceDN w:val="0"/>
              <w:adjustRightInd w:val="0"/>
              <w:spacing w:line="360" w:lineRule="auto"/>
              <w:jc w:val="center"/>
              <w:rPr>
                <w:rFonts w:ascii="宋体" w:cs="楷体_GB2312"/>
                <w:b/>
                <w:bCs/>
                <w:color w:val="auto"/>
                <w:sz w:val="24"/>
              </w:rPr>
            </w:pPr>
          </w:p>
        </w:tc>
        <w:tc>
          <w:tcPr>
            <w:tcW w:w="1059" w:type="dxa"/>
            <w:tcBorders>
              <w:tl2br w:val="nil"/>
              <w:tr2bl w:val="nil"/>
            </w:tcBorders>
            <w:vAlign w:val="center"/>
          </w:tcPr>
          <w:p w14:paraId="02E417D9">
            <w:pPr>
              <w:autoSpaceDE w:val="0"/>
              <w:autoSpaceDN w:val="0"/>
              <w:adjustRightInd w:val="0"/>
              <w:snapToGrid w:val="0"/>
              <w:spacing w:line="240" w:lineRule="auto"/>
              <w:jc w:val="center"/>
              <w:rPr>
                <w:rFonts w:ascii="宋体" w:hAnsi="宋体" w:cs="楷体_GB2312"/>
                <w:b/>
                <w:bCs/>
                <w:color w:val="auto"/>
                <w:szCs w:val="21"/>
                <w:lang w:val="zh-CN"/>
              </w:rPr>
            </w:pPr>
            <w:r>
              <w:rPr>
                <w:rFonts w:ascii="宋体" w:hAnsi="宋体" w:cs="楷体_GB2312"/>
                <w:b/>
                <w:bCs/>
                <w:color w:val="auto"/>
                <w:szCs w:val="21"/>
                <w:lang w:val="zh-CN"/>
              </w:rPr>
              <w:t>9</w:t>
            </w:r>
          </w:p>
        </w:tc>
        <w:tc>
          <w:tcPr>
            <w:tcW w:w="2513" w:type="dxa"/>
            <w:tcBorders>
              <w:tl2br w:val="nil"/>
              <w:tr2bl w:val="nil"/>
            </w:tcBorders>
            <w:vAlign w:val="center"/>
          </w:tcPr>
          <w:p w14:paraId="749F2E0F">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付款</w:t>
            </w:r>
          </w:p>
        </w:tc>
        <w:tc>
          <w:tcPr>
            <w:tcW w:w="5932" w:type="dxa"/>
            <w:tcBorders>
              <w:tl2br w:val="nil"/>
              <w:tr2bl w:val="nil"/>
            </w:tcBorders>
            <w:vAlign w:val="center"/>
          </w:tcPr>
          <w:p w14:paraId="3ACEEA92">
            <w:pPr>
              <w:snapToGrid w:val="0"/>
              <w:spacing w:before="120" w:beforeLines="50" w:line="240" w:lineRule="auto"/>
              <w:ind w:firstLine="480" w:firstLineChars="200"/>
              <w:rPr>
                <w:rFonts w:asciiTheme="minorEastAsia" w:hAnsiTheme="minorEastAsia" w:eastAsiaTheme="minorEastAsia" w:cstheme="minorEastAsia"/>
                <w:color w:val="auto"/>
                <w:sz w:val="24"/>
                <w:szCs w:val="24"/>
              </w:rPr>
            </w:pPr>
            <w:bookmarkStart w:id="20" w:name="OLE_LINK11"/>
            <w:r>
              <w:rPr>
                <w:rFonts w:hint="eastAsia" w:asciiTheme="minorEastAsia" w:hAnsiTheme="minorEastAsia" w:eastAsiaTheme="minorEastAsia" w:cstheme="minorEastAsia"/>
                <w:color w:val="auto"/>
                <w:sz w:val="24"/>
                <w:szCs w:val="24"/>
              </w:rPr>
              <w:t>为优化政府采购营商环境，根据安财购﹝2019﹞8号文件落实政府采购预付款的规定，采购人可在政府采购合同履约前向成交供应商预付</w:t>
            </w:r>
            <w:r>
              <w:rPr>
                <w:rFonts w:hint="eastAsia" w:asciiTheme="minorEastAsia" w:hAnsiTheme="minorEastAsia" w:eastAsiaTheme="minorEastAsia" w:cstheme="minorEastAsia"/>
                <w:color w:val="auto"/>
                <w:sz w:val="24"/>
                <w:szCs w:val="24"/>
                <w:u w:val="single"/>
              </w:rPr>
              <w:t>30%</w:t>
            </w:r>
            <w:r>
              <w:rPr>
                <w:rFonts w:hint="eastAsia" w:asciiTheme="minorEastAsia" w:hAnsiTheme="minorEastAsia" w:eastAsiaTheme="minorEastAsia" w:cstheme="minorEastAsia"/>
                <w:color w:val="auto"/>
                <w:sz w:val="24"/>
                <w:szCs w:val="24"/>
              </w:rPr>
              <w:t>的合同资金，成交供应商应向采购人提交预付款保函，未提供保函的，视同其放弃项目预付款的支付。</w:t>
            </w:r>
          </w:p>
          <w:p w14:paraId="4BA3372F">
            <w:pPr>
              <w:snapToGrid w:val="0"/>
              <w:spacing w:before="120" w:beforeLines="50" w:line="24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为进一步优化营商环境，根据安财购﹝2022﹞8号文件落实政府采购中小企业预付款的规定，采购人可在政府采购合同签订后，向成交供应商原则上预付不低于合同金额</w:t>
            </w:r>
            <w:r>
              <w:rPr>
                <w:rFonts w:hint="eastAsia" w:asciiTheme="minorEastAsia" w:hAnsiTheme="minorEastAsia" w:eastAsiaTheme="minorEastAsia" w:cstheme="minorEastAsia"/>
                <w:color w:val="auto"/>
                <w:sz w:val="24"/>
                <w:szCs w:val="24"/>
                <w:u w:val="single"/>
              </w:rPr>
              <w:t>50%</w:t>
            </w:r>
            <w:r>
              <w:rPr>
                <w:rFonts w:hint="eastAsia" w:asciiTheme="minorEastAsia" w:hAnsiTheme="minorEastAsia" w:eastAsiaTheme="minorEastAsia" w:cstheme="minorEastAsia"/>
                <w:color w:val="auto"/>
                <w:sz w:val="24"/>
                <w:szCs w:val="24"/>
              </w:rPr>
              <w:t>的预付款，成交供应商应向采购人提交预付款保函，未提供保函的，视同其放弃项目预付款的支付。</w:t>
            </w:r>
          </w:p>
          <w:p w14:paraId="2AB0D536">
            <w:pPr>
              <w:snapToGrid w:val="0"/>
              <w:spacing w:before="120" w:beforeLines="50" w:line="240" w:lineRule="auto"/>
              <w:ind w:firstLine="480" w:firstLineChars="200"/>
              <w:rPr>
                <w:color w:val="auto"/>
                <w:sz w:val="24"/>
                <w:szCs w:val="24"/>
                <w:highlight w:val="yellow"/>
              </w:rPr>
            </w:pPr>
            <w:r>
              <w:rPr>
                <w:rFonts w:hint="eastAsia" w:asciiTheme="minorEastAsia" w:hAnsiTheme="minorEastAsia" w:eastAsiaTheme="minorEastAsia" w:cstheme="minorEastAsia"/>
                <w:color w:val="auto"/>
                <w:sz w:val="24"/>
                <w:szCs w:val="24"/>
              </w:rPr>
              <w:t>项目完成后，采购人需持从“安阳市政府采购网”登录系统下载本项目带水印的《安阳市市直政府采购资金申请表》和《安阳市市直政府采购申报表》，以及《政府采购验收报告》和发票等，作为付款依据，报安阳市财政国库支付中心审核确认后</w:t>
            </w:r>
            <w:bookmarkEnd w:id="20"/>
            <w:r>
              <w:rPr>
                <w:rFonts w:hint="eastAsia" w:asciiTheme="minorEastAsia" w:hAnsiTheme="minorEastAsia" w:eastAsiaTheme="minorEastAsia" w:cstheme="minorEastAsia"/>
                <w:color w:val="auto"/>
                <w:sz w:val="24"/>
                <w:szCs w:val="24"/>
              </w:rPr>
              <w:t>进行支付。本项目分期付款；第一期：软件系统建设完毕具备使用条件后进行初验（初验条件为使用测试数据满足全部功能），初验合格后支付至合同金额的20</w:t>
            </w:r>
            <w:r>
              <w:rPr>
                <w:rFonts w:hint="eastAsia" w:asciiTheme="minorEastAsia" w:hAnsiTheme="minorEastAsia" w:eastAsiaTheme="minorEastAsia" w:cstheme="minorEastAsia"/>
                <w:color w:val="auto"/>
                <w:sz w:val="24"/>
                <w:szCs w:val="24"/>
                <w:lang w:val="zh-CN"/>
              </w:rPr>
              <w:t>%；第二期：第一年运维期满支付</w:t>
            </w:r>
            <w:r>
              <w:rPr>
                <w:rFonts w:hint="eastAsia" w:asciiTheme="minorEastAsia" w:hAnsiTheme="minorEastAsia" w:eastAsiaTheme="minorEastAsia" w:cstheme="minorEastAsia"/>
                <w:color w:val="auto"/>
                <w:sz w:val="24"/>
                <w:szCs w:val="24"/>
              </w:rPr>
              <w:t>至合同金额的33</w:t>
            </w:r>
            <w:r>
              <w:rPr>
                <w:rFonts w:hint="eastAsia" w:asciiTheme="minorEastAsia" w:hAnsiTheme="minorEastAsia" w:eastAsiaTheme="minorEastAsia" w:cstheme="minorEastAsia"/>
                <w:color w:val="auto"/>
                <w:sz w:val="24"/>
                <w:szCs w:val="24"/>
                <w:lang w:val="zh-CN"/>
              </w:rPr>
              <w:t>%；第三期：第二年运维期满支付</w:t>
            </w:r>
            <w:r>
              <w:rPr>
                <w:rFonts w:hint="eastAsia" w:asciiTheme="minorEastAsia" w:hAnsiTheme="minorEastAsia" w:eastAsiaTheme="minorEastAsia" w:cstheme="minorEastAsia"/>
                <w:color w:val="auto"/>
                <w:sz w:val="24"/>
                <w:szCs w:val="24"/>
              </w:rPr>
              <w:t>至合同金额的66</w:t>
            </w:r>
            <w:r>
              <w:rPr>
                <w:rFonts w:hint="eastAsia" w:asciiTheme="minorEastAsia" w:hAnsiTheme="minorEastAsia" w:eastAsiaTheme="minorEastAsia" w:cstheme="minorEastAsia"/>
                <w:color w:val="auto"/>
                <w:sz w:val="24"/>
                <w:szCs w:val="24"/>
                <w:lang w:val="zh-CN"/>
              </w:rPr>
              <w:t>%；第四期：第三年运维期满支付</w:t>
            </w:r>
            <w:r>
              <w:rPr>
                <w:rFonts w:hint="eastAsia" w:asciiTheme="minorEastAsia" w:hAnsiTheme="minorEastAsia" w:eastAsiaTheme="minorEastAsia" w:cstheme="minorEastAsia"/>
                <w:color w:val="auto"/>
                <w:sz w:val="24"/>
                <w:szCs w:val="24"/>
              </w:rPr>
              <w:t>剩余合同金额。</w:t>
            </w:r>
          </w:p>
        </w:tc>
      </w:tr>
      <w:tr w14:paraId="6D156F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tcBorders>
              <w:tl2br w:val="nil"/>
              <w:tr2bl w:val="nil"/>
            </w:tcBorders>
            <w:vAlign w:val="center"/>
          </w:tcPr>
          <w:p w14:paraId="3DD8825F">
            <w:pPr>
              <w:autoSpaceDE w:val="0"/>
              <w:autoSpaceDN w:val="0"/>
              <w:adjustRightInd w:val="0"/>
              <w:spacing w:line="360" w:lineRule="auto"/>
              <w:jc w:val="center"/>
              <w:rPr>
                <w:rFonts w:ascii="宋体" w:cs="楷体_GB2312"/>
                <w:b/>
                <w:bCs/>
                <w:color w:val="auto"/>
                <w:sz w:val="24"/>
              </w:rPr>
            </w:pPr>
          </w:p>
        </w:tc>
        <w:tc>
          <w:tcPr>
            <w:tcW w:w="1059" w:type="dxa"/>
            <w:tcBorders>
              <w:tl2br w:val="nil"/>
              <w:tr2bl w:val="nil"/>
            </w:tcBorders>
            <w:vAlign w:val="center"/>
          </w:tcPr>
          <w:p w14:paraId="07FEE7C6">
            <w:pPr>
              <w:autoSpaceDE w:val="0"/>
              <w:autoSpaceDN w:val="0"/>
              <w:adjustRightInd w:val="0"/>
              <w:snapToGrid w:val="0"/>
              <w:spacing w:line="240" w:lineRule="auto"/>
              <w:jc w:val="center"/>
              <w:rPr>
                <w:rFonts w:ascii="宋体" w:hAnsi="宋体" w:cs="楷体_GB2312"/>
                <w:b/>
                <w:bCs/>
                <w:color w:val="auto"/>
                <w:sz w:val="24"/>
              </w:rPr>
            </w:pPr>
            <w:r>
              <w:rPr>
                <w:rFonts w:ascii="宋体" w:hAnsi="宋体" w:cs="楷体_GB2312"/>
                <w:b/>
                <w:bCs/>
                <w:color w:val="auto"/>
                <w:szCs w:val="21"/>
                <w:lang w:val="zh-CN"/>
              </w:rPr>
              <w:t>10.1</w:t>
            </w:r>
          </w:p>
        </w:tc>
        <w:tc>
          <w:tcPr>
            <w:tcW w:w="2513" w:type="dxa"/>
            <w:tcBorders>
              <w:tl2br w:val="nil"/>
              <w:tr2bl w:val="nil"/>
            </w:tcBorders>
            <w:vAlign w:val="center"/>
          </w:tcPr>
          <w:p w14:paraId="1E043CFD">
            <w:pPr>
              <w:autoSpaceDE w:val="0"/>
              <w:autoSpaceDN w:val="0"/>
              <w:adjustRightInd w:val="0"/>
              <w:snapToGrid w:val="0"/>
              <w:spacing w:line="240" w:lineRule="auto"/>
              <w:jc w:val="center"/>
              <w:rPr>
                <w:rFonts w:ascii="宋体" w:hAnsi="宋体"/>
                <w:b/>
                <w:color w:val="auto"/>
                <w:sz w:val="24"/>
              </w:rPr>
            </w:pPr>
            <w:r>
              <w:rPr>
                <w:rFonts w:hint="eastAsia" w:ascii="宋体" w:hAnsi="宋体" w:cs="楷体_GB2312"/>
                <w:b/>
                <w:bCs/>
                <w:color w:val="auto"/>
                <w:sz w:val="24"/>
                <w:lang w:val="zh-CN"/>
              </w:rPr>
              <w:t>代理服务费</w:t>
            </w:r>
          </w:p>
        </w:tc>
        <w:tc>
          <w:tcPr>
            <w:tcW w:w="5932" w:type="dxa"/>
            <w:tcBorders>
              <w:tl2br w:val="nil"/>
              <w:tr2bl w:val="nil"/>
            </w:tcBorders>
            <w:vAlign w:val="center"/>
          </w:tcPr>
          <w:p w14:paraId="40B4BA32">
            <w:pPr>
              <w:adjustRightInd w:val="0"/>
              <w:snapToGrid w:val="0"/>
              <w:spacing w:before="120" w:beforeLines="50" w:line="240" w:lineRule="auto"/>
              <w:rPr>
                <w:rFonts w:ascii="宋体" w:hAnsi="宋体"/>
                <w:b/>
                <w:color w:val="auto"/>
                <w:sz w:val="24"/>
                <w:highlight w:val="yellow"/>
              </w:rPr>
            </w:pPr>
            <w:r>
              <w:rPr>
                <w:rFonts w:hint="eastAsia" w:ascii="宋体" w:hAnsi="宋体"/>
                <w:color w:val="auto"/>
                <w:sz w:val="24"/>
              </w:rPr>
              <w:t>参考国家计委《招标代理服务收费管理暂行办法》（计价格【</w:t>
            </w:r>
            <w:r>
              <w:rPr>
                <w:rFonts w:ascii="宋体" w:hAnsi="宋体"/>
                <w:color w:val="auto"/>
                <w:sz w:val="24"/>
              </w:rPr>
              <w:t>2002</w:t>
            </w:r>
            <w:r>
              <w:rPr>
                <w:rFonts w:hint="eastAsia" w:ascii="宋体" w:hAnsi="宋体"/>
                <w:color w:val="auto"/>
                <w:sz w:val="24"/>
              </w:rPr>
              <w:t>】</w:t>
            </w:r>
            <w:r>
              <w:rPr>
                <w:rFonts w:ascii="宋体" w:hAnsi="宋体"/>
                <w:color w:val="auto"/>
                <w:sz w:val="24"/>
              </w:rPr>
              <w:t>1980</w:t>
            </w:r>
            <w:r>
              <w:rPr>
                <w:rFonts w:hint="eastAsia" w:ascii="宋体" w:hAnsi="宋体"/>
                <w:color w:val="auto"/>
                <w:sz w:val="24"/>
              </w:rPr>
              <w:t>号）、《国家发展和改革委员会办公厅关于招标代理服务费有关问题的通知》（发改办价格【</w:t>
            </w:r>
            <w:r>
              <w:rPr>
                <w:rFonts w:ascii="宋体" w:hAnsi="宋体"/>
                <w:color w:val="auto"/>
                <w:sz w:val="24"/>
              </w:rPr>
              <w:t>2003</w:t>
            </w:r>
            <w:r>
              <w:rPr>
                <w:rFonts w:hint="eastAsia" w:ascii="宋体" w:hAnsi="宋体"/>
                <w:color w:val="auto"/>
                <w:sz w:val="24"/>
              </w:rPr>
              <w:t>】</w:t>
            </w:r>
            <w:r>
              <w:rPr>
                <w:rFonts w:ascii="宋体" w:hAnsi="宋体"/>
                <w:color w:val="auto"/>
                <w:sz w:val="24"/>
              </w:rPr>
              <w:t>857</w:t>
            </w:r>
            <w:r>
              <w:rPr>
                <w:rFonts w:hint="eastAsia" w:ascii="宋体" w:hAnsi="宋体"/>
                <w:color w:val="auto"/>
                <w:sz w:val="24"/>
              </w:rPr>
              <w:t>号）及发改价格【</w:t>
            </w:r>
            <w:r>
              <w:rPr>
                <w:rFonts w:ascii="宋体" w:hAnsi="宋体"/>
                <w:color w:val="auto"/>
                <w:sz w:val="24"/>
              </w:rPr>
              <w:t>2011</w:t>
            </w:r>
            <w:r>
              <w:rPr>
                <w:rFonts w:hint="eastAsia" w:ascii="宋体" w:hAnsi="宋体"/>
                <w:color w:val="auto"/>
                <w:sz w:val="24"/>
              </w:rPr>
              <w:t>】</w:t>
            </w:r>
            <w:r>
              <w:rPr>
                <w:rFonts w:ascii="宋体" w:hAnsi="宋体"/>
                <w:color w:val="auto"/>
                <w:sz w:val="24"/>
              </w:rPr>
              <w:t>534</w:t>
            </w:r>
            <w:r>
              <w:rPr>
                <w:rFonts w:hint="eastAsia" w:ascii="宋体" w:hAnsi="宋体"/>
                <w:color w:val="auto"/>
                <w:sz w:val="24"/>
              </w:rPr>
              <w:t>号文件的规定，代理服务费由成交供应商支付。</w:t>
            </w:r>
          </w:p>
        </w:tc>
      </w:tr>
    </w:tbl>
    <w:p w14:paraId="505EC8CB">
      <w:pPr>
        <w:autoSpaceDE w:val="0"/>
        <w:autoSpaceDN w:val="0"/>
        <w:adjustRightInd w:val="0"/>
        <w:spacing w:line="360" w:lineRule="auto"/>
        <w:rPr>
          <w:color w:val="auto"/>
        </w:rPr>
      </w:pPr>
    </w:p>
    <w:p w14:paraId="1A4326B3">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3796D4F6">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6D686809">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0E894908">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2257EC3A">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624CC278">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1842C431">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54F320FE">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35F123C5">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01861BA8">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59F4FB45">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023C067D">
      <w:pPr>
        <w:autoSpaceDE w:val="0"/>
        <w:autoSpaceDN w:val="0"/>
        <w:adjustRightInd w:val="0"/>
        <w:snapToGrid w:val="0"/>
        <w:spacing w:before="120" w:beforeLines="50" w:line="300" w:lineRule="auto"/>
        <w:rPr>
          <w:rFonts w:ascii="黑体" w:hAnsi="黑体" w:eastAsia="黑体" w:cs="楷体_GB2312"/>
          <w:b/>
          <w:bCs/>
          <w:color w:val="auto"/>
          <w:sz w:val="28"/>
          <w:szCs w:val="28"/>
          <w:lang w:val="zh-CN"/>
        </w:rPr>
      </w:pPr>
    </w:p>
    <w:p w14:paraId="13841D34">
      <w:pPr>
        <w:autoSpaceDE w:val="0"/>
        <w:autoSpaceDN w:val="0"/>
        <w:adjustRightInd w:val="0"/>
        <w:snapToGrid w:val="0"/>
        <w:spacing w:before="120" w:beforeLines="50" w:line="300" w:lineRule="auto"/>
        <w:rPr>
          <w:rFonts w:ascii="黑体" w:hAnsi="黑体" w:eastAsia="黑体" w:cs="楷体_GB2312"/>
          <w:b/>
          <w:bCs/>
          <w:color w:val="auto"/>
          <w:sz w:val="28"/>
          <w:szCs w:val="28"/>
          <w:lang w:val="zh-CN"/>
        </w:rPr>
      </w:pPr>
    </w:p>
    <w:p w14:paraId="1999E636">
      <w:pPr>
        <w:autoSpaceDE w:val="0"/>
        <w:autoSpaceDN w:val="0"/>
        <w:adjustRightInd w:val="0"/>
        <w:snapToGrid w:val="0"/>
        <w:spacing w:before="120" w:beforeLines="50" w:line="300" w:lineRule="auto"/>
        <w:ind w:firstLine="539"/>
        <w:outlineLvl w:val="1"/>
        <w:rPr>
          <w:rFonts w:ascii="黑体" w:hAnsi="黑体" w:eastAsia="黑体"/>
          <w:color w:val="auto"/>
          <w:sz w:val="28"/>
          <w:szCs w:val="28"/>
          <w:lang w:val="zh-CN"/>
        </w:rPr>
      </w:pPr>
      <w:bookmarkStart w:id="21" w:name="_Toc18574"/>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1"/>
    </w:p>
    <w:p w14:paraId="5B802C9A">
      <w:pPr>
        <w:autoSpaceDE w:val="0"/>
        <w:autoSpaceDN w:val="0"/>
        <w:adjustRightInd w:val="0"/>
        <w:snapToGrid w:val="0"/>
        <w:spacing w:before="120" w:beforeLines="50" w:line="300" w:lineRule="auto"/>
        <w:ind w:firstLine="539"/>
        <w:rPr>
          <w:rFonts w:ascii="宋体"/>
          <w:color w:val="auto"/>
          <w:sz w:val="24"/>
          <w:szCs w:val="24"/>
        </w:rPr>
      </w:pPr>
      <w:r>
        <w:rPr>
          <w:rFonts w:ascii="黑体" w:hAnsi="黑体" w:eastAsia="黑体" w:cs="楷体_GB2312"/>
          <w:b/>
          <w:color w:val="auto"/>
          <w:sz w:val="24"/>
          <w:lang w:val="zh-CN"/>
        </w:rPr>
        <w:t>1.1</w:t>
      </w:r>
      <w:r>
        <w:rPr>
          <w:rFonts w:hint="eastAsia" w:ascii="黑体" w:hAnsi="黑体" w:eastAsia="黑体" w:cs="楷体_GB2312"/>
          <w:b/>
          <w:color w:val="auto"/>
          <w:sz w:val="24"/>
        </w:rPr>
        <w:t xml:space="preserve"> </w:t>
      </w:r>
      <w:r>
        <w:rPr>
          <w:rFonts w:hint="eastAsia" w:ascii="宋体" w:hAnsi="宋体"/>
          <w:color w:val="auto"/>
          <w:sz w:val="24"/>
          <w:szCs w:val="24"/>
        </w:rPr>
        <w:t>根据《中华人民共和国政府采购法》、《中华人民共和国政府采购法实施条例》、《政府采购竞争性磋商采购方式管理暂行办法》及相关政府采购法律法规等制定本文件。</w:t>
      </w:r>
    </w:p>
    <w:p w14:paraId="4D3FC0A3">
      <w:pPr>
        <w:autoSpaceDE w:val="0"/>
        <w:autoSpaceDN w:val="0"/>
        <w:adjustRightInd w:val="0"/>
        <w:snapToGrid w:val="0"/>
        <w:spacing w:before="120" w:beforeLines="50" w:line="300" w:lineRule="auto"/>
        <w:ind w:firstLine="539"/>
        <w:rPr>
          <w:rFonts w:ascii="黑体" w:hAnsi="黑体" w:eastAsia="黑体" w:cs="楷体_GB2312"/>
          <w:b/>
          <w:color w:val="auto"/>
          <w:sz w:val="24"/>
        </w:rPr>
      </w:pPr>
      <w:r>
        <w:rPr>
          <w:rFonts w:ascii="黑体" w:hAnsi="黑体" w:eastAsia="黑体" w:cs="楷体_GB2312"/>
          <w:b/>
          <w:color w:val="auto"/>
          <w:sz w:val="24"/>
        </w:rPr>
        <w:t>1.2</w:t>
      </w:r>
      <w:r>
        <w:rPr>
          <w:rFonts w:hint="eastAsia" w:ascii="黑体" w:hAnsi="黑体" w:eastAsia="黑体" w:cs="楷体_GB2312"/>
          <w:b/>
          <w:color w:val="auto"/>
          <w:sz w:val="24"/>
        </w:rPr>
        <w:t xml:space="preserve"> </w:t>
      </w:r>
      <w:r>
        <w:rPr>
          <w:rFonts w:hint="eastAsia" w:ascii="黑体" w:hAnsi="黑体" w:eastAsia="黑体" w:cs="楷体_GB2312"/>
          <w:b/>
          <w:color w:val="auto"/>
          <w:sz w:val="24"/>
          <w:lang w:val="zh-CN"/>
        </w:rPr>
        <w:t>《磋商文件》的法律适用及法律效力</w:t>
      </w:r>
    </w:p>
    <w:p w14:paraId="338FD072">
      <w:pPr>
        <w:adjustRightInd w:val="0"/>
        <w:snapToGrid w:val="0"/>
        <w:spacing w:before="120"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 xml:space="preserve"> 本</w:t>
      </w:r>
      <w:r>
        <w:rPr>
          <w:rFonts w:hint="eastAsia" w:ascii="宋体" w:hAnsi="宋体" w:cs="宋体"/>
          <w:color w:val="auto"/>
          <w:sz w:val="24"/>
          <w:szCs w:val="24"/>
        </w:rPr>
        <w:t>《磋商文件》</w:t>
      </w:r>
      <w:r>
        <w:rPr>
          <w:rFonts w:hint="eastAsia" w:ascii="宋体" w:hAnsi="宋体"/>
          <w:color w:val="auto"/>
          <w:sz w:val="24"/>
          <w:szCs w:val="24"/>
        </w:rPr>
        <w:t>所述内容，仅适用于本次项目采购。</w:t>
      </w:r>
    </w:p>
    <w:p w14:paraId="44ED66D9">
      <w:pPr>
        <w:adjustRightInd w:val="0"/>
        <w:snapToGrid w:val="0"/>
        <w:spacing w:before="120" w:beforeLines="50" w:line="300" w:lineRule="auto"/>
        <w:ind w:right="240" w:firstLine="547" w:firstLineChars="228"/>
        <w:rPr>
          <w:rFonts w:ascii="宋体" w:hAnsi="宋体"/>
          <w:color w:val="auto"/>
          <w:sz w:val="24"/>
          <w:szCs w:val="24"/>
        </w:rPr>
      </w:pPr>
      <w:r>
        <w:rPr>
          <w:rFonts w:ascii="宋体" w:hAnsi="宋体"/>
          <w:color w:val="auto"/>
          <w:sz w:val="24"/>
          <w:szCs w:val="24"/>
        </w:rPr>
        <w:t xml:space="preserve">1.2.2 </w:t>
      </w:r>
      <w:r>
        <w:rPr>
          <w:rFonts w:hint="eastAsia" w:ascii="宋体" w:hAnsi="宋体"/>
          <w:color w:val="auto"/>
          <w:sz w:val="24"/>
          <w:szCs w:val="24"/>
        </w:rPr>
        <w:t>《磋商文件》的修改性文件、补充文件、澄清文件或说明具有同等法律效力。</w:t>
      </w:r>
    </w:p>
    <w:p w14:paraId="061CEF13">
      <w:pPr>
        <w:adjustRightInd w:val="0"/>
        <w:snapToGrid w:val="0"/>
        <w:spacing w:before="120" w:beforeLines="50" w:line="300" w:lineRule="auto"/>
        <w:ind w:right="240" w:firstLine="547" w:firstLineChars="228"/>
        <w:rPr>
          <w:rFonts w:ascii="宋体" w:hAns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本《磋商文件》适用于并执行《政府采购法》和其它相关的法律、法规。</w:t>
      </w:r>
    </w:p>
    <w:p w14:paraId="65581B8F">
      <w:pPr>
        <w:adjustRightInd w:val="0"/>
        <w:snapToGrid w:val="0"/>
        <w:spacing w:before="120" w:beforeLines="50" w:line="300" w:lineRule="auto"/>
        <w:ind w:right="240" w:firstLine="547" w:firstLineChars="228"/>
        <w:rPr>
          <w:rFonts w:ascii="宋体" w:hAns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本《磋商文件》的解释权属采购人及代理机构。</w:t>
      </w:r>
    </w:p>
    <w:p w14:paraId="1B9107F0">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1.3</w:t>
      </w:r>
      <w:r>
        <w:rPr>
          <w:rFonts w:hint="eastAsia" w:ascii="黑体" w:hAnsi="黑体" w:eastAsia="黑体" w:cs="楷体_GB2312"/>
          <w:b/>
          <w:color w:val="auto"/>
          <w:sz w:val="24"/>
        </w:rPr>
        <w:t xml:space="preserve"> </w:t>
      </w:r>
      <w:r>
        <w:rPr>
          <w:rFonts w:hint="eastAsia" w:ascii="黑体" w:hAnsi="黑体" w:eastAsia="黑体" w:cs="楷体_GB2312"/>
          <w:b/>
          <w:color w:val="auto"/>
          <w:sz w:val="24"/>
          <w:lang w:val="zh-CN"/>
        </w:rPr>
        <w:t>合格的供应商</w:t>
      </w:r>
    </w:p>
    <w:p w14:paraId="340B4D9D">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凡符合《磋商文件》规定，承认本《磋商文件》所有内容的供应商为合格的供应商。</w:t>
      </w:r>
    </w:p>
    <w:p w14:paraId="02749AC9">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14:paraId="316C69EF">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14:paraId="0989BDBB">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供应商应遵守国家法律、法规和《磋商文件》的规定。</w:t>
      </w:r>
    </w:p>
    <w:p w14:paraId="19991B60">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rPr>
        <w:t xml:space="preserve"> </w:t>
      </w:r>
      <w:r>
        <w:rPr>
          <w:rFonts w:hint="eastAsia" w:ascii="黑体" w:hAnsi="黑体" w:eastAsia="黑体" w:cs="楷体_GB2312"/>
          <w:b/>
          <w:color w:val="auto"/>
          <w:sz w:val="24"/>
          <w:lang w:val="zh-CN"/>
        </w:rPr>
        <w:t>联合体</w:t>
      </w:r>
    </w:p>
    <w:p w14:paraId="343E90D4">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如供应商须知前附表规定接受联合体投标的，应遵守以下规定：</w:t>
      </w:r>
    </w:p>
    <w:p w14:paraId="1E137DFC">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591782FF">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）两个以上供应商可以组成一个投标联合体，以一个供应商的身份投标，但必须确定其中一个单位为投标的全权代表参加投标活动，并承担投标及履约中应承担的全部责任和义务。</w:t>
      </w:r>
    </w:p>
    <w:p w14:paraId="7FE5C87B">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365066DA">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14:paraId="4C4642FD">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）联合体各方之间应当签订联合投标协议，明确约定联合体各方承担的工作和相应的责任，并将联合投标协议连同《响应文件》一并提交采购代理机构。</w:t>
      </w:r>
    </w:p>
    <w:p w14:paraId="45025662">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14:paraId="741A5946">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14:paraId="336BC708">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14:paraId="416E1A69">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w:t>
      </w:r>
      <w:r>
        <w:rPr>
          <w:rFonts w:hint="eastAsia" w:ascii="黑体" w:hAnsi="黑体" w:eastAsia="黑体" w:cs="楷体_GB2312"/>
          <w:b/>
          <w:color w:val="auto"/>
          <w:sz w:val="24"/>
        </w:rPr>
        <w:t xml:space="preserve"> </w:t>
      </w:r>
      <w:r>
        <w:rPr>
          <w:rFonts w:hint="eastAsia" w:ascii="黑体" w:hAnsi="黑体" w:eastAsia="黑体" w:cs="楷体_GB2312"/>
          <w:b/>
          <w:color w:val="auto"/>
          <w:sz w:val="24"/>
          <w:lang w:val="zh-CN"/>
        </w:rPr>
        <w:t>知识产权</w:t>
      </w:r>
    </w:p>
    <w:p w14:paraId="5AA5FB0C">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如因专利权、商标权或其它知识产权而引起法律和经济纠纷，由供应商承担所有相关责任。</w:t>
      </w:r>
    </w:p>
    <w:p w14:paraId="6CD64F52">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14:paraId="7E6762A0">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1.5.2</w:t>
      </w:r>
      <w:r>
        <w:rPr>
          <w:rFonts w:hint="eastAsia" w:ascii="宋体" w:hAnsi="宋体" w:cs="楷体_GB2312"/>
          <w:color w:val="auto"/>
          <w:sz w:val="24"/>
        </w:rPr>
        <w:t xml:space="preserve"> </w:t>
      </w:r>
      <w:r>
        <w:rPr>
          <w:rFonts w:hint="eastAsia" w:ascii="宋体" w:hAnsi="宋体" w:cs="楷体_GB2312"/>
          <w:color w:val="auto"/>
          <w:sz w:val="24"/>
          <w:lang w:val="zh-CN"/>
        </w:rPr>
        <w:t>供应商将在采购项目实施过程中采用自有或者第三方知识成果的，应当在</w:t>
      </w:r>
      <w:r>
        <w:rPr>
          <w:rFonts w:hint="eastAsia" w:asciiTheme="minorEastAsia" w:hAnsiTheme="minorEastAsia" w:eastAsiaTheme="minorEastAsia" w:cstheme="minorEastAsia"/>
          <w:color w:val="auto"/>
          <w:sz w:val="24"/>
          <w:szCs w:val="24"/>
        </w:rPr>
        <w:t>《响应文件》</w:t>
      </w:r>
      <w:r>
        <w:rPr>
          <w:rFonts w:hint="eastAsia" w:ascii="宋体" w:hAnsi="宋体" w:cs="楷体_GB2312"/>
          <w:color w:val="auto"/>
          <w:sz w:val="24"/>
          <w:lang w:val="zh-CN"/>
        </w:rPr>
        <w:t>中载明，并提供相关知识产权证明文件。使用该知识成果后，供应商需提供开发接口和开发手册等技术资料，并承诺提供无限期支持，采购人享有使用权（含采购人委托第三方在该项目后续开发的使用权）。</w:t>
      </w:r>
    </w:p>
    <w:p w14:paraId="6B6B154B">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1.5.3 除非《磋商文件》特别规定，采购人享有本项目实施过程中产生的知识成果及知识产权。</w:t>
      </w:r>
    </w:p>
    <w:p w14:paraId="22E96972">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hint="eastAsia" w:ascii="黑体" w:hAnsi="黑体" w:eastAsia="黑体" w:cs="楷体_GB2312"/>
          <w:b/>
          <w:color w:val="auto"/>
          <w:sz w:val="24"/>
        </w:rPr>
        <w:t xml:space="preserve"> </w:t>
      </w:r>
      <w:r>
        <w:rPr>
          <w:rFonts w:hint="eastAsia" w:ascii="黑体" w:hAnsi="黑体" w:eastAsia="黑体" w:cs="楷体_GB2312"/>
          <w:b/>
          <w:color w:val="auto"/>
          <w:sz w:val="24"/>
          <w:lang w:val="zh-CN"/>
        </w:rPr>
        <w:t>费用</w:t>
      </w:r>
    </w:p>
    <w:p w14:paraId="08A5BE24">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5ECDADF2">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7</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14:paraId="7A380F44">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参与竞争性磋商活动的各方应对《磋商文件》和《响应文件》中的商业和技术等秘密保密，供应商应在《响应文件》中对需保密事项予以书面声明，否则视为非保密事项。</w:t>
      </w:r>
    </w:p>
    <w:p w14:paraId="29BEB735">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14:paraId="3D698A11">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8</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14:paraId="74AEDD17">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045E1A69">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14:paraId="5E0FA233">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14:paraId="67912250">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14:paraId="5BBD786C">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1.10.1</w:t>
      </w:r>
      <w:r>
        <w:rPr>
          <w:rFonts w:hint="eastAsia" w:ascii="宋体" w:hAnsi="宋体" w:cs="楷体_GB2312"/>
          <w:color w:val="auto"/>
          <w:sz w:val="24"/>
        </w:rPr>
        <w:t xml:space="preserve"> </w:t>
      </w:r>
      <w:r>
        <w:rPr>
          <w:rFonts w:hint="eastAsia" w:ascii="宋体" w:hAnsi="宋体" w:cs="楷体_GB2312"/>
          <w:color w:val="auto"/>
          <w:sz w:val="24"/>
          <w:lang w:val="zh-CN"/>
        </w:rPr>
        <w:t>供应商踏勘现场发生的费用自理，供应商自行负责在踏勘现场中所发生的人员伤亡和财产损失。</w:t>
      </w:r>
    </w:p>
    <w:p w14:paraId="599F7DB0">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1.10.2</w:t>
      </w:r>
      <w:r>
        <w:rPr>
          <w:rFonts w:hint="eastAsia" w:ascii="宋体" w:hAnsi="宋体" w:cs="楷体_GB2312"/>
          <w:color w:val="auto"/>
          <w:sz w:val="24"/>
        </w:rPr>
        <w:t xml:space="preserve"> </w:t>
      </w:r>
      <w:r>
        <w:rPr>
          <w:rFonts w:hint="eastAsia" w:ascii="宋体" w:hAnsi="宋体" w:cs="楷体_GB2312"/>
          <w:color w:val="auto"/>
          <w:sz w:val="24"/>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7C3F25B1">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1.10.3</w:t>
      </w:r>
      <w:r>
        <w:rPr>
          <w:rFonts w:hint="eastAsia" w:ascii="宋体" w:hAnsi="宋体" w:cs="楷体_GB2312"/>
          <w:color w:val="auto"/>
          <w:sz w:val="24"/>
        </w:rPr>
        <w:t xml:space="preserve"> </w:t>
      </w:r>
      <w:r>
        <w:rPr>
          <w:rFonts w:hint="eastAsia" w:ascii="宋体" w:hAnsi="宋体" w:cs="楷体_GB2312"/>
          <w:color w:val="auto"/>
          <w:sz w:val="24"/>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3AF37FF6">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投标预备会</w:t>
      </w:r>
    </w:p>
    <w:p w14:paraId="2DB8B751">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供应商须知前附表规定召开投标预备会的，采购人及代理机构按供应商须知前附表规定的时间和地点召开投标预备会，澄清供应商提出的问题。</w:t>
      </w:r>
    </w:p>
    <w:p w14:paraId="08873E68">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供应商应在供应商须知前附表规定的时间前，以书面形式将提出的问题送达采购人及代理机构，以便采购人及代理机构在会议期间澄清。</w:t>
      </w:r>
    </w:p>
    <w:p w14:paraId="710013CE">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投标预备会后，采购人及代理机构在供应商须知前附表规定的时间内，将对供应商所提问题的澄清，以本章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项方式通告潜在供应商。该澄清内容为《磋商文件》的组成部分。</w:t>
      </w:r>
    </w:p>
    <w:p w14:paraId="5006A883">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分包</w:t>
      </w:r>
    </w:p>
    <w:p w14:paraId="6FD2512E">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rPr>
        <w:t>2</w:t>
      </w:r>
      <w:r>
        <w:rPr>
          <w:rFonts w:ascii="宋体" w:hAnsi="宋体" w:cs="楷体_GB2312"/>
          <w:color w:val="auto"/>
          <w:sz w:val="24"/>
          <w:lang w:val="zh-CN"/>
        </w:rPr>
        <w:t xml:space="preserve">.1 </w:t>
      </w:r>
      <w:r>
        <w:rPr>
          <w:rFonts w:hint="eastAsia" w:ascii="宋体" w:hAnsi="宋体" w:cs="楷体_GB2312"/>
          <w:color w:val="auto"/>
          <w:sz w:val="24"/>
          <w:lang w:val="zh-CN"/>
        </w:rPr>
        <w:t>供应商拟在成交后将成交项目(标段&lt;包&gt;)的部分非主体、非关键性工作进行分包的，应符合供应商须知前附表规定的分包内容、分包金额和接受分包的第三人资质要求等限制性条件。</w:t>
      </w:r>
    </w:p>
    <w:p w14:paraId="2E2D08A6">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rPr>
        <w:t>2</w:t>
      </w:r>
      <w:r>
        <w:rPr>
          <w:rFonts w:ascii="宋体" w:hAnsi="宋体" w:cs="楷体_GB2312"/>
          <w:color w:val="auto"/>
          <w:sz w:val="24"/>
          <w:lang w:val="zh-CN"/>
        </w:rPr>
        <w:t>.</w:t>
      </w:r>
      <w:r>
        <w:rPr>
          <w:rFonts w:hint="eastAsia" w:ascii="宋体" w:hAnsi="宋体" w:cs="楷体_GB2312"/>
          <w:color w:val="auto"/>
          <w:sz w:val="24"/>
        </w:rPr>
        <w:t>2</w:t>
      </w:r>
      <w:r>
        <w:rPr>
          <w:rFonts w:ascii="宋体" w:hAnsi="宋体" w:cs="楷体_GB2312"/>
          <w:color w:val="auto"/>
          <w:sz w:val="24"/>
          <w:lang w:val="zh-CN"/>
        </w:rPr>
        <w:t xml:space="preserve"> </w:t>
      </w:r>
      <w:r>
        <w:rPr>
          <w:rFonts w:hint="eastAsia" w:ascii="宋体" w:hAnsi="宋体" w:cs="楷体_GB2312"/>
          <w:color w:val="auto"/>
          <w:sz w:val="24"/>
          <w:lang w:val="zh-CN"/>
        </w:rPr>
        <w:t>预留中小企业份额项目中，接受分包合同的中小企业与分包企业之间不得存在直接控股、管理关系</w:t>
      </w:r>
    </w:p>
    <w:p w14:paraId="6A31E7D6">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rPr>
        <w:t>2</w:t>
      </w:r>
      <w:r>
        <w:rPr>
          <w:rFonts w:ascii="宋体" w:hAnsi="宋体" w:cs="楷体_GB2312"/>
          <w:color w:val="auto"/>
          <w:sz w:val="24"/>
          <w:lang w:val="zh-CN"/>
        </w:rPr>
        <w:t>.</w:t>
      </w:r>
      <w:r>
        <w:rPr>
          <w:rFonts w:hint="eastAsia" w:ascii="宋体" w:hAnsi="宋体" w:cs="楷体_GB2312"/>
          <w:color w:val="auto"/>
          <w:sz w:val="24"/>
        </w:rPr>
        <w:t>3</w:t>
      </w:r>
      <w:r>
        <w:rPr>
          <w:rFonts w:ascii="宋体" w:hAnsi="宋体" w:cs="楷体_GB2312"/>
          <w:color w:val="auto"/>
          <w:sz w:val="24"/>
          <w:lang w:val="zh-CN"/>
        </w:rPr>
        <w:t xml:space="preserve"> </w:t>
      </w:r>
      <w:r>
        <w:rPr>
          <w:rFonts w:hint="eastAsia" w:ascii="宋体" w:hAnsi="宋体" w:cs="楷体_GB2312"/>
          <w:color w:val="auto"/>
          <w:sz w:val="24"/>
          <w:lang w:val="zh-CN"/>
        </w:rPr>
        <w:t>依法享受扶持政策获得政府采购合同的，小微企业不得将合同分包给大中型企业，中型企业不得将合同分包给大型企业。</w:t>
      </w:r>
    </w:p>
    <w:p w14:paraId="6FA7D4C7">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3</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偏离</w:t>
      </w:r>
    </w:p>
    <w:p w14:paraId="674F8BF7">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《磋商文件》允许《响应文件》偏离《磋商文件》某些要求的，偏离应当符合《磋商文件》规定的偏离范围和幅度。</w:t>
      </w:r>
    </w:p>
    <w:p w14:paraId="6C2D4CEE">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6E83A972">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22" w:name="_Toc6491"/>
      <w:r>
        <w:rPr>
          <w:rFonts w:ascii="黑体" w:hAnsi="黑体" w:eastAsia="黑体" w:cs="楷体_GB2312"/>
          <w:b/>
          <w:bCs/>
          <w:color w:val="auto"/>
          <w:sz w:val="28"/>
          <w:szCs w:val="28"/>
          <w:lang w:val="zh-CN"/>
        </w:rPr>
        <w:t>2.</w:t>
      </w:r>
      <w:r>
        <w:rPr>
          <w:rFonts w:hint="eastAsia" w:ascii="黑体" w:hAnsi="黑体" w:eastAsia="黑体" w:cs="楷体_GB2312"/>
          <w:b/>
          <w:bCs/>
          <w:color w:val="auto"/>
          <w:sz w:val="28"/>
          <w:szCs w:val="28"/>
          <w:lang w:val="zh-CN"/>
        </w:rPr>
        <w:t>《磋商文件》</w:t>
      </w:r>
      <w:bookmarkEnd w:id="22"/>
    </w:p>
    <w:p w14:paraId="3DE81E6F">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《磋商文件》的组成</w:t>
      </w:r>
    </w:p>
    <w:p w14:paraId="0F5D53C3">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《磋商文件》用以阐明采购项目的内容、程序和合同主要条款。《磋商文件》由下述部分组成：</w:t>
      </w:r>
    </w:p>
    <w:p w14:paraId="44A005E6">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）竞争性磋商公告</w:t>
      </w:r>
    </w:p>
    <w:p w14:paraId="71AE7989">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14:paraId="65FB89E1">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）供应商须知</w:t>
      </w:r>
    </w:p>
    <w:p w14:paraId="30F1EF74">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14:paraId="6AB9DA28">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14:paraId="24D9C2EE">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）《响应文件》格式</w:t>
      </w:r>
    </w:p>
    <w:p w14:paraId="7EF2F410">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款、对《磋商文件》的澄清、修改、补充书构成《磋商文件》的组成部分，并取代《磋商文件》中被澄清、修改处，对所有供应商均有约束力。</w:t>
      </w:r>
    </w:p>
    <w:p w14:paraId="03DA3082">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当《磋商文件》、《磋商文件》的澄清、修改、补充等在同一内容的表述上不一致时，以最后发出（发布）的文件为准。</w:t>
      </w:r>
    </w:p>
    <w:p w14:paraId="7A2CD59B">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供应商与任何人的口头协议不影响《磋商文件》的任何条款和内容。</w:t>
      </w:r>
    </w:p>
    <w:p w14:paraId="1ECEBD65">
      <w:pPr>
        <w:autoSpaceDE w:val="0"/>
        <w:autoSpaceDN w:val="0"/>
        <w:adjustRightInd w:val="0"/>
        <w:snapToGrid w:val="0"/>
        <w:spacing w:before="120"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 xml:space="preserve"> 供应商应仔细阅读和检查《磋商文件》的全部内容是否齐全，如发现缺页或附件不全等遗漏，应及时向采购代理机构提出并索取补齐，否则责任及风险自负。</w:t>
      </w:r>
    </w:p>
    <w:p w14:paraId="36F7574B">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《磋商文件》的澄清</w:t>
      </w:r>
    </w:p>
    <w:p w14:paraId="4B8B833D">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668D53C5">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采购代理机构对潜在供应商在规定的时间内提出的疑问，将视情况以书面形式予以答复，并在其认为必要时，将不标明查询来源的书面答复，在“竞争性磋商公告”所述媒体通告所有潜在供应商。</w:t>
      </w:r>
    </w:p>
    <w:p w14:paraId="4F61ADF6">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62F6C71F">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rPr>
        <w:t xml:space="preserve"> </w:t>
      </w:r>
      <w:r>
        <w:rPr>
          <w:rFonts w:hint="eastAsia" w:ascii="宋体" w:hAnsi="宋体" w:cs="楷体_GB2312"/>
          <w:color w:val="auto"/>
          <w:sz w:val="24"/>
          <w:lang w:val="zh-CN"/>
        </w:rPr>
        <w:t>采购代理机构可视情况在投标截止前答疑。</w:t>
      </w:r>
    </w:p>
    <w:p w14:paraId="24E47815">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《磋商文件》的澄清、修改、补充</w:t>
      </w:r>
    </w:p>
    <w:p w14:paraId="787569A6">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采购人、代理机构在投标截止时间前有权澄清修改、补充已发售的《磋商文件》。</w:t>
      </w:r>
    </w:p>
    <w:p w14:paraId="3ECD77AF">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2.3.2 </w:t>
      </w:r>
      <w:r>
        <w:rPr>
          <w:rFonts w:hint="eastAsia" w:ascii="宋体" w:hAnsi="宋体" w:cs="楷体_GB2312"/>
          <w:color w:val="auto"/>
          <w:sz w:val="24"/>
          <w:lang w:val="zh-CN"/>
        </w:rPr>
        <w:t>磋商过程中对《磋商文件》的变动见第四章“评审办法”</w:t>
      </w:r>
      <w:r>
        <w:rPr>
          <w:rFonts w:ascii="宋体" w:hAnsi="宋体" w:cs="楷体_GB2312"/>
          <w:color w:val="auto"/>
          <w:sz w:val="24"/>
          <w:lang w:val="zh-CN"/>
        </w:rPr>
        <w:t>3.</w:t>
      </w:r>
      <w:r>
        <w:rPr>
          <w:rFonts w:hint="eastAsia" w:ascii="宋体" w:hAnsi="宋体" w:cs="楷体_GB2312"/>
          <w:color w:val="auto"/>
          <w:sz w:val="24"/>
          <w:lang w:val="zh-CN"/>
        </w:rPr>
        <w:t>4款磋商规则。</w:t>
      </w:r>
    </w:p>
    <w:p w14:paraId="756EB306">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《磋商文件》的澄清、修改、补充的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14:paraId="43E6B56A">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olor w:val="auto"/>
          <w:sz w:val="24"/>
        </w:rPr>
        <w:t>《磋商文件》</w:t>
      </w:r>
      <w:r>
        <w:rPr>
          <w:rFonts w:hint="eastAsia" w:ascii="宋体" w:hAnsi="宋体" w:cs="楷体_GB2312"/>
          <w:color w:val="auto"/>
          <w:sz w:val="24"/>
          <w:lang w:val="zh-CN"/>
        </w:rPr>
        <w:t>在递交截止时间前的所有澄清、修改（包括时间变更等）、补充事项，均在“竞争性磋商公告”所述媒体予以公告。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14:paraId="1AB4BA1B">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无权限获知或通知潜在供应商，潜在供应商应随时关注“竞争性磋商公告”所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相关项目信息（为免各部门网站出现维护等情况，潜在供应商应对“竞争性磋商公告”所述媒体逐一查阅），如有遗漏，后果自负。</w:t>
      </w:r>
    </w:p>
    <w:p w14:paraId="3B5A1681">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hAnsi="宋体"/>
          <w:color w:val="auto"/>
          <w:sz w:val="24"/>
        </w:rPr>
        <w:t>《磋商文件》</w:t>
      </w:r>
      <w:r>
        <w:rPr>
          <w:rFonts w:hint="eastAsia" w:ascii="宋体" w:cs="楷体_GB2312"/>
          <w:color w:val="auto"/>
          <w:sz w:val="24"/>
          <w:lang w:val="zh-CN"/>
        </w:rPr>
        <w:t>的澄清、修改、补充书构成</w:t>
      </w:r>
      <w:r>
        <w:rPr>
          <w:rFonts w:hint="eastAsia" w:ascii="宋体" w:hAnsi="宋体"/>
          <w:color w:val="auto"/>
          <w:sz w:val="24"/>
        </w:rPr>
        <w:t>《磋商文件》</w:t>
      </w:r>
      <w:r>
        <w:rPr>
          <w:rFonts w:hint="eastAsia" w:ascii="宋体" w:cs="楷体_GB2312"/>
          <w:color w:val="auto"/>
          <w:sz w:val="24"/>
          <w:lang w:val="zh-CN"/>
        </w:rPr>
        <w:t>的组成部分，并取代</w:t>
      </w:r>
      <w:r>
        <w:rPr>
          <w:rFonts w:hint="eastAsia" w:ascii="宋体" w:hAnsi="宋体"/>
          <w:color w:val="auto"/>
          <w:sz w:val="24"/>
        </w:rPr>
        <w:t>《磋商文件》</w:t>
      </w:r>
      <w:r>
        <w:rPr>
          <w:rFonts w:hint="eastAsia" w:ascii="宋体" w:cs="楷体_GB2312"/>
          <w:color w:val="auto"/>
          <w:sz w:val="24"/>
          <w:lang w:val="zh-CN"/>
        </w:rPr>
        <w:t>中被澄清、修改处，对所有供应商均有约束力。</w:t>
      </w:r>
    </w:p>
    <w:p w14:paraId="11CE9259">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233183AC">
      <w:pPr>
        <w:autoSpaceDE w:val="0"/>
        <w:autoSpaceDN w:val="0"/>
        <w:adjustRightInd w:val="0"/>
        <w:snapToGrid w:val="0"/>
        <w:spacing w:before="120" w:beforeLines="50" w:line="300" w:lineRule="auto"/>
        <w:rPr>
          <w:rFonts w:ascii="宋体" w:cs="楷体_GB2312"/>
          <w:color w:val="auto"/>
          <w:sz w:val="24"/>
        </w:rPr>
      </w:pPr>
    </w:p>
    <w:p w14:paraId="35AD5009">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23" w:name="_Toc16477"/>
      <w:r>
        <w:rPr>
          <w:rFonts w:ascii="黑体" w:hAnsi="黑体" w:eastAsia="黑体" w:cs="楷体_GB2312"/>
          <w:b/>
          <w:bCs/>
          <w:color w:val="auto"/>
          <w:sz w:val="28"/>
          <w:szCs w:val="28"/>
          <w:lang w:val="zh-CN"/>
        </w:rPr>
        <w:t>3.</w:t>
      </w:r>
      <w:r>
        <w:rPr>
          <w:rFonts w:hint="eastAsia" w:ascii="黑体" w:hAnsi="黑体" w:eastAsia="黑体" w:cs="楷体_GB2312"/>
          <w:b/>
          <w:bCs/>
          <w:color w:val="auto"/>
          <w:sz w:val="28"/>
          <w:szCs w:val="28"/>
          <w:lang w:val="zh-CN"/>
        </w:rPr>
        <w:t>《响应文件》</w:t>
      </w:r>
      <w:bookmarkEnd w:id="23"/>
    </w:p>
    <w:p w14:paraId="612D7B27">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黑体" w:hAnsi="黑体" w:eastAsia="黑体" w:cs="楷体_GB2312"/>
          <w:b/>
          <w:color w:val="auto"/>
          <w:sz w:val="24"/>
        </w:rPr>
        <w:t xml:space="preserve"> </w:t>
      </w:r>
      <w:r>
        <w:rPr>
          <w:rFonts w:hint="eastAsia" w:ascii="宋体" w:hAnsi="宋体" w:cs="楷体_GB2312"/>
          <w:color w:val="auto"/>
          <w:sz w:val="24"/>
          <w:lang w:val="zh-CN"/>
        </w:rPr>
        <w:t>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lang w:val="zh-CN"/>
        </w:rPr>
        <w:t>无效文件</w:t>
      </w:r>
      <w:r>
        <w:rPr>
          <w:rFonts w:hint="eastAsia" w:ascii="宋体" w:hAnsi="宋体" w:cs="楷体_GB2312"/>
          <w:color w:val="auto"/>
          <w:sz w:val="24"/>
          <w:lang w:val="zh-CN"/>
        </w:rPr>
        <w:t>。</w:t>
      </w:r>
    </w:p>
    <w:p w14:paraId="143DEA40">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《响应文件》的组成</w:t>
      </w:r>
    </w:p>
    <w:p w14:paraId="509EE17C">
      <w:pPr>
        <w:adjustRightInd w:val="0"/>
        <w:snapToGrid w:val="0"/>
        <w:spacing w:before="120"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61706A5B">
      <w:pPr>
        <w:adjustRightInd w:val="0"/>
        <w:snapToGrid w:val="0"/>
        <w:spacing w:before="120" w:beforeLines="50" w:line="300" w:lineRule="auto"/>
        <w:ind w:firstLine="539"/>
        <w:textAlignment w:val="top"/>
        <w:rPr>
          <w:rFonts w:ascii="宋体" w:hAnsi="宋体" w:cs="楷体_GB2312"/>
          <w:color w:val="auto"/>
          <w:sz w:val="24"/>
          <w:lang w:val="zh-CN"/>
        </w:rPr>
      </w:pPr>
      <w:r>
        <w:rPr>
          <w:rFonts w:ascii="宋体" w:hAnsi="宋体" w:cs="楷体_GB2312"/>
          <w:color w:val="auto"/>
          <w:sz w:val="24"/>
          <w:lang w:val="zh-CN"/>
        </w:rPr>
        <w:t>3.2.2</w:t>
      </w:r>
      <w:r>
        <w:rPr>
          <w:rFonts w:hint="eastAsia" w:ascii="宋体" w:hAnsi="宋体" w:cs="楷体_GB2312"/>
          <w:color w:val="auto"/>
          <w:sz w:val="24"/>
        </w:rPr>
        <w:t xml:space="preserve"> </w:t>
      </w:r>
      <w:r>
        <w:rPr>
          <w:rFonts w:hint="eastAsia" w:ascii="宋体" w:hAnsi="宋体" w:cs="楷体_GB2312"/>
          <w:color w:val="auto"/>
          <w:sz w:val="24"/>
          <w:lang w:val="zh-CN"/>
        </w:rPr>
        <w:t>《响应文件》应包括下列内容：</w:t>
      </w:r>
    </w:p>
    <w:p w14:paraId="53D01156">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（1）投标书</w:t>
      </w:r>
    </w:p>
    <w:p w14:paraId="6DA1F151">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（2）开标一览表（即交易系统中报价一览表）</w:t>
      </w:r>
    </w:p>
    <w:p w14:paraId="2C0E1609">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（3）第一次报价明细表</w:t>
      </w:r>
    </w:p>
    <w:p w14:paraId="2C3C052E">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（4）服务方案及服务质量承诺</w:t>
      </w:r>
    </w:p>
    <w:p w14:paraId="03CD02C0">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5</w:t>
      </w:r>
      <w:r>
        <w:rPr>
          <w:rFonts w:hint="eastAsia" w:ascii="宋体" w:hAnsi="宋体" w:cs="楷体_GB2312"/>
          <w:color w:val="auto"/>
          <w:sz w:val="24"/>
          <w:lang w:val="zh-CN"/>
        </w:rPr>
        <w:t>）服务拟投入人员情况表</w:t>
      </w:r>
    </w:p>
    <w:p w14:paraId="3FCAF114">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6</w:t>
      </w:r>
      <w:r>
        <w:rPr>
          <w:rFonts w:hint="eastAsia" w:ascii="宋体" w:hAnsi="宋体" w:cs="楷体_GB2312"/>
          <w:color w:val="auto"/>
          <w:sz w:val="24"/>
          <w:lang w:val="zh-CN"/>
        </w:rPr>
        <w:t>）</w:t>
      </w:r>
      <w:r>
        <w:rPr>
          <w:rFonts w:hint="eastAsia" w:ascii="宋体" w:hAnsi="宋体" w:cs="楷体_GB2312"/>
          <w:color w:val="auto"/>
          <w:sz w:val="24"/>
        </w:rPr>
        <w:t>技术</w:t>
      </w:r>
      <w:r>
        <w:rPr>
          <w:rFonts w:hint="eastAsia" w:ascii="宋体" w:hAnsi="宋体" w:cs="楷体_GB2312"/>
          <w:color w:val="auto"/>
          <w:sz w:val="24"/>
          <w:lang w:val="zh-CN"/>
        </w:rPr>
        <w:t>偏离表</w:t>
      </w:r>
    </w:p>
    <w:p w14:paraId="283BF4A3">
      <w:pPr>
        <w:adjustRightInd w:val="0"/>
        <w:snapToGrid w:val="0"/>
        <w:spacing w:line="300" w:lineRule="auto"/>
        <w:ind w:firstLine="539"/>
        <w:textAlignment w:val="top"/>
        <w:rPr>
          <w:rFonts w:ascii="宋体" w:hAnsi="宋体" w:cs="楷体_GB2312"/>
          <w:color w:val="auto"/>
          <w:sz w:val="24"/>
        </w:rPr>
      </w:pPr>
      <w:r>
        <w:rPr>
          <w:rFonts w:hint="eastAsia" w:ascii="宋体" w:hAnsi="宋体" w:cs="楷体_GB2312"/>
          <w:color w:val="auto"/>
          <w:sz w:val="24"/>
          <w:lang w:val="zh-CN"/>
        </w:rPr>
        <w:t>（</w:t>
      </w:r>
      <w:r>
        <w:rPr>
          <w:rFonts w:hint="eastAsia" w:ascii="宋体" w:hAnsi="宋体" w:cs="楷体_GB2312"/>
          <w:color w:val="auto"/>
          <w:sz w:val="24"/>
        </w:rPr>
        <w:t>7</w:t>
      </w:r>
      <w:r>
        <w:rPr>
          <w:rFonts w:hint="eastAsia" w:ascii="宋体" w:hAnsi="宋体" w:cs="楷体_GB2312"/>
          <w:color w:val="auto"/>
          <w:sz w:val="24"/>
          <w:lang w:val="zh-CN"/>
        </w:rPr>
        <w:t>）</w:t>
      </w:r>
      <w:r>
        <w:rPr>
          <w:rFonts w:hint="eastAsia" w:ascii="宋体" w:hAnsi="宋体" w:cs="楷体_GB2312"/>
          <w:color w:val="auto"/>
          <w:sz w:val="24"/>
        </w:rPr>
        <w:t>其他偏离表</w:t>
      </w:r>
    </w:p>
    <w:p w14:paraId="72B56451">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8</w:t>
      </w:r>
      <w:r>
        <w:rPr>
          <w:rFonts w:hint="eastAsia" w:ascii="宋体" w:hAnsi="宋体" w:cs="楷体_GB2312"/>
          <w:color w:val="auto"/>
          <w:sz w:val="24"/>
          <w:lang w:val="zh-CN"/>
        </w:rPr>
        <w:t>）关于资格的声明函</w:t>
      </w:r>
    </w:p>
    <w:p w14:paraId="6F633B57">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9</w:t>
      </w:r>
      <w:r>
        <w:rPr>
          <w:rFonts w:hint="eastAsia" w:ascii="宋体" w:hAnsi="宋体" w:cs="楷体_GB2312"/>
          <w:color w:val="auto"/>
          <w:sz w:val="24"/>
          <w:lang w:val="zh-CN"/>
        </w:rPr>
        <w:t>）反商业贿赂承诺书</w:t>
      </w:r>
    </w:p>
    <w:p w14:paraId="00D384A4">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10</w:t>
      </w:r>
      <w:r>
        <w:rPr>
          <w:rFonts w:hint="eastAsia" w:ascii="宋体" w:hAnsi="宋体" w:cs="楷体_GB2312"/>
          <w:color w:val="auto"/>
          <w:sz w:val="24"/>
          <w:lang w:val="zh-CN"/>
        </w:rPr>
        <w:t>）履约承诺书</w:t>
      </w:r>
    </w:p>
    <w:p w14:paraId="654724BA">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w:t>
      </w:r>
      <w:r>
        <w:rPr>
          <w:rFonts w:hint="eastAsia" w:ascii="宋体" w:hAnsi="宋体" w:cs="楷体_GB2312"/>
          <w:color w:val="auto"/>
          <w:sz w:val="24"/>
        </w:rPr>
        <w:t>1</w:t>
      </w:r>
      <w:r>
        <w:rPr>
          <w:rFonts w:hint="eastAsia" w:ascii="宋体" w:hAnsi="宋体" w:cs="楷体_GB2312"/>
          <w:color w:val="auto"/>
          <w:sz w:val="24"/>
          <w:lang w:val="zh-CN"/>
        </w:rPr>
        <w:t>）资格要求相关证明材料（文件）</w:t>
      </w:r>
    </w:p>
    <w:p w14:paraId="0BF2D56E">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w:t>
      </w:r>
      <w:r>
        <w:rPr>
          <w:rFonts w:hint="eastAsia" w:ascii="宋体" w:hAnsi="宋体" w:cs="楷体_GB2312"/>
          <w:color w:val="auto"/>
          <w:sz w:val="24"/>
        </w:rPr>
        <w:t>2</w:t>
      </w:r>
      <w:r>
        <w:rPr>
          <w:rFonts w:hint="eastAsia" w:ascii="宋体" w:hAnsi="宋体" w:cs="楷体_GB2312"/>
          <w:color w:val="auto"/>
          <w:sz w:val="24"/>
          <w:lang w:val="zh-CN"/>
        </w:rPr>
        <w:t>）采购项目及技术服务要求所需的其他材料（按条款需要）</w:t>
      </w:r>
    </w:p>
    <w:p w14:paraId="09E0D3E9">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w:t>
      </w:r>
      <w:r>
        <w:rPr>
          <w:rFonts w:hint="eastAsia" w:ascii="宋体" w:hAnsi="宋体" w:cs="楷体_GB2312"/>
          <w:color w:val="auto"/>
          <w:sz w:val="24"/>
        </w:rPr>
        <w:t>3</w:t>
      </w:r>
      <w:r>
        <w:rPr>
          <w:rFonts w:hint="eastAsia" w:ascii="宋体" w:hAnsi="宋体" w:cs="楷体_GB2312"/>
          <w:color w:val="auto"/>
          <w:sz w:val="24"/>
          <w:lang w:val="zh-CN"/>
        </w:rPr>
        <w:t>）供应商须知所需的其他材料（按条款需要）</w:t>
      </w:r>
    </w:p>
    <w:p w14:paraId="25EE016D">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w:t>
      </w:r>
      <w:r>
        <w:rPr>
          <w:rFonts w:hint="eastAsia" w:ascii="宋体" w:hAnsi="宋体" w:cs="楷体_GB2312"/>
          <w:color w:val="auto"/>
          <w:sz w:val="24"/>
        </w:rPr>
        <w:t>4</w:t>
      </w:r>
      <w:r>
        <w:rPr>
          <w:rFonts w:hint="eastAsia" w:ascii="宋体" w:hAnsi="宋体" w:cs="楷体_GB2312"/>
          <w:color w:val="auto"/>
          <w:sz w:val="24"/>
          <w:lang w:val="zh-CN"/>
        </w:rPr>
        <w:t>）评审办法所需的其他材料（按条款需要）</w:t>
      </w:r>
    </w:p>
    <w:p w14:paraId="2AC28148">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（1</w:t>
      </w:r>
      <w:r>
        <w:rPr>
          <w:rFonts w:hint="eastAsia" w:ascii="宋体" w:hAnsi="宋体" w:cs="楷体_GB2312"/>
          <w:color w:val="auto"/>
          <w:sz w:val="24"/>
        </w:rPr>
        <w:t>5</w:t>
      </w:r>
      <w:r>
        <w:rPr>
          <w:rFonts w:hint="eastAsia" w:ascii="宋体" w:hAnsi="宋体" w:cs="楷体_GB2312"/>
          <w:color w:val="auto"/>
          <w:sz w:val="24"/>
          <w:lang w:val="zh-CN"/>
        </w:rPr>
        <w:t>）供应商认为有必要提交的其它材料</w:t>
      </w:r>
    </w:p>
    <w:p w14:paraId="4C9F3F0A">
      <w:pPr>
        <w:adjustRightInd w:val="0"/>
        <w:snapToGrid w:val="0"/>
        <w:spacing w:before="120" w:beforeLines="50" w:line="300" w:lineRule="auto"/>
        <w:ind w:firstLine="539"/>
        <w:textAlignment w:val="top"/>
        <w:rPr>
          <w:rFonts w:ascii="宋体" w:hAns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rPr>
        <w:t xml:space="preserve"> </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w:t>
      </w:r>
      <w:r>
        <w:rPr>
          <w:rFonts w:hint="eastAsia" w:ascii="宋体" w:hAnsi="宋体" w:cs="楷体_GB2312"/>
          <w:color w:val="auto"/>
          <w:sz w:val="24"/>
          <w:lang w:val="zh-CN"/>
        </w:rPr>
        <w:t>3款规定，对《响应文件》的补充、修改、澄清、说明或者更正构成《响应文件》的组成部分。</w:t>
      </w:r>
    </w:p>
    <w:p w14:paraId="492AE2C0">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磋商报价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14:paraId="683D0852">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响应有效期</w:t>
      </w:r>
    </w:p>
    <w:p w14:paraId="6FC8EF4D">
      <w:pPr>
        <w:adjustRightInd w:val="0"/>
        <w:snapToGrid w:val="0"/>
        <w:spacing w:before="120" w:beforeLines="50" w:line="300" w:lineRule="auto"/>
        <w:ind w:firstLine="539"/>
        <w:textAlignment w:val="top"/>
        <w:rPr>
          <w:rFonts w:ascii="宋体" w:hAns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rPr>
        <w:t xml:space="preserve"> </w:t>
      </w:r>
      <w:r>
        <w:rPr>
          <w:rFonts w:hint="eastAsia" w:ascii="宋体" w:hAnsi="宋体" w:cs="楷体_GB2312"/>
          <w:color w:val="auto"/>
          <w:sz w:val="24"/>
          <w:lang w:val="zh-CN"/>
        </w:rPr>
        <w:t>响应有效期见供应商须知前附表。《响应文件》在响应有效期内保持不变（包括价格等《响应文件》各项条款）。</w:t>
      </w:r>
    </w:p>
    <w:p w14:paraId="59384F21">
      <w:pPr>
        <w:adjustRightInd w:val="0"/>
        <w:snapToGrid w:val="0"/>
        <w:spacing w:before="120" w:beforeLines="50" w:line="300" w:lineRule="auto"/>
        <w:ind w:firstLine="539"/>
        <w:textAlignment w:val="top"/>
        <w:rPr>
          <w:rFonts w:ascii="宋体" w:hAns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rPr>
        <w:t xml:space="preserve"> </w:t>
      </w:r>
      <w:r>
        <w:rPr>
          <w:rFonts w:hint="eastAsia" w:ascii="宋体" w:hAnsi="宋体" w:cs="楷体_GB2312"/>
          <w:color w:val="auto"/>
          <w:sz w:val="24"/>
          <w:lang w:val="zh-CN"/>
        </w:rPr>
        <w:t>在响应有效期内，供应商撤销或修改其《响应文件》的，应承担《磋商文件》和法律规定的责任。</w:t>
      </w:r>
    </w:p>
    <w:p w14:paraId="32FAACAA">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14:paraId="399BE86C">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3.5.1 按照豫财购〔2019〕4号文件规定，本项目以投标承诺函的形式替代投标保证金，供应商应按附件格式进行投标承诺，违背承诺的将承担相应的法律责任及违约责任。</w:t>
      </w:r>
    </w:p>
    <w:p w14:paraId="3BAB18C2">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3.5.2 未提供投标承诺函的为</w:t>
      </w:r>
      <w:r>
        <w:rPr>
          <w:rFonts w:hint="eastAsia" w:ascii="宋体" w:hAnsi="宋体" w:cs="楷体_GB2312"/>
          <w:b/>
          <w:bCs/>
          <w:color w:val="auto"/>
          <w:sz w:val="24"/>
          <w:lang w:val="zh-CN"/>
        </w:rPr>
        <w:t>无效投标</w:t>
      </w:r>
      <w:r>
        <w:rPr>
          <w:rFonts w:hint="eastAsia" w:ascii="宋体" w:hAnsi="宋体" w:cs="楷体_GB2312"/>
          <w:color w:val="auto"/>
          <w:sz w:val="24"/>
          <w:lang w:val="zh-CN"/>
        </w:rPr>
        <w:t>。</w:t>
      </w:r>
    </w:p>
    <w:p w14:paraId="4573E3A2">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3.5.3 供应商的投标承诺函包含供应商承诺的事项及违背承诺的责任追究措施。</w:t>
      </w:r>
    </w:p>
    <w:p w14:paraId="6FD77349">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3.5.4 承诺事项：</w:t>
      </w:r>
    </w:p>
    <w:p w14:paraId="3A694228">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3.5.4.1</w:t>
      </w:r>
      <w:r>
        <w:rPr>
          <w:rFonts w:hint="eastAsia" w:ascii="宋体" w:hAnsi="宋体" w:cs="楷体_GB2312"/>
          <w:color w:val="auto"/>
          <w:sz w:val="24"/>
        </w:rPr>
        <w:t xml:space="preserve"> </w:t>
      </w:r>
      <w:r>
        <w:rPr>
          <w:rFonts w:hint="eastAsia" w:ascii="宋体" w:hAnsi="宋体" w:cs="楷体_GB2312"/>
          <w:color w:val="auto"/>
          <w:sz w:val="24"/>
          <w:lang w:val="zh-CN"/>
        </w:rPr>
        <w:t>供应商应遵循公开、公平、公正和</w:t>
      </w:r>
      <w:r>
        <w:rPr>
          <w:color w:val="auto"/>
        </w:rPr>
        <w:fldChar w:fldCharType="begin"/>
      </w:r>
      <w:r>
        <w:rPr>
          <w:color w:val="auto"/>
        </w:rPr>
        <w:instrText xml:space="preserve"> HYPERLINK "http://www.so.com/s?q=%E8%AF%9A%E5%AE%9E%E4%BF%A1%E7%94%A8&amp;ie=utf-8&amp;src=internal_wenda_recommend_textn" \t "https://wenda.so.com/q/_blank" </w:instrText>
      </w:r>
      <w:r>
        <w:rPr>
          <w:color w:val="auto"/>
        </w:rPr>
        <w:fldChar w:fldCharType="separate"/>
      </w:r>
      <w:r>
        <w:rPr>
          <w:rFonts w:hint="eastAsia" w:ascii="宋体" w:hAnsi="宋体" w:cs="楷体_GB2312"/>
          <w:color w:val="auto"/>
          <w:sz w:val="24"/>
          <w:lang w:val="zh-CN"/>
        </w:rPr>
        <w:t>诚实信用</w:t>
      </w:r>
      <w:r>
        <w:rPr>
          <w:rFonts w:hint="eastAsia" w:ascii="宋体" w:hAnsi="宋体" w:cs="楷体_GB2312"/>
          <w:color w:val="auto"/>
          <w:sz w:val="24"/>
          <w:lang w:val="zh-CN"/>
        </w:rPr>
        <w:fldChar w:fldCharType="end"/>
      </w:r>
      <w:r>
        <w:rPr>
          <w:rFonts w:hint="eastAsia" w:ascii="宋体" w:hAnsi="宋体" w:cs="楷体_GB2312"/>
          <w:color w:val="auto"/>
          <w:sz w:val="24"/>
          <w:lang w:val="zh-CN"/>
        </w:rPr>
        <w:t>的原则自愿参加项目的投标；</w:t>
      </w:r>
    </w:p>
    <w:p w14:paraId="4B4FD588">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3.5.4.2</w:t>
      </w:r>
      <w:r>
        <w:rPr>
          <w:rFonts w:hint="eastAsia" w:ascii="宋体" w:hAnsi="宋体" w:cs="楷体_GB2312"/>
          <w:color w:val="auto"/>
          <w:sz w:val="24"/>
        </w:rPr>
        <w:t xml:space="preserve"> </w:t>
      </w:r>
      <w:r>
        <w:rPr>
          <w:rFonts w:hint="eastAsia" w:ascii="宋体" w:hAnsi="宋体" w:cs="楷体_GB2312"/>
          <w:color w:val="auto"/>
          <w:sz w:val="24"/>
          <w:lang w:val="zh-CN"/>
        </w:rPr>
        <w:t>供应商在政府采购活动中应提供真实、准确、有效、合法的材料，不提供虚假材料；</w:t>
      </w:r>
    </w:p>
    <w:p w14:paraId="4F9FEE90">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3.5.4.3</w:t>
      </w:r>
      <w:r>
        <w:rPr>
          <w:rFonts w:hint="eastAsia" w:ascii="宋体" w:hAnsi="宋体" w:cs="楷体_GB2312"/>
          <w:color w:val="auto"/>
          <w:sz w:val="24"/>
        </w:rPr>
        <w:t xml:space="preserve"> </w:t>
      </w:r>
      <w:r>
        <w:rPr>
          <w:rFonts w:hint="eastAsia" w:ascii="宋体" w:hAnsi="宋体" w:cs="楷体_GB2312"/>
          <w:color w:val="auto"/>
          <w:sz w:val="24"/>
          <w:lang w:val="zh-CN"/>
        </w:rPr>
        <w:t>供应商按照《磋商文件》规定，在提交《响应文件》截止时间后，在《磋商文件》规定的投标有效期限内不应撤回《响应文件》；</w:t>
      </w:r>
    </w:p>
    <w:p w14:paraId="67C18EB9">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3.5.4.4</w:t>
      </w:r>
      <w:r>
        <w:rPr>
          <w:rFonts w:hint="eastAsia" w:ascii="宋体" w:hAnsi="宋体" w:cs="楷体_GB2312"/>
          <w:color w:val="auto"/>
          <w:sz w:val="24"/>
        </w:rPr>
        <w:t xml:space="preserve"> </w:t>
      </w:r>
      <w:r>
        <w:rPr>
          <w:rFonts w:hint="eastAsia" w:ascii="宋体" w:hAnsi="宋体" w:cs="楷体_GB2312"/>
          <w:color w:val="auto"/>
          <w:sz w:val="24"/>
          <w:lang w:val="zh-CN"/>
        </w:rPr>
        <w:t>不应与其他供应商、采购人或采购代理机构串通或恶意串通；</w:t>
      </w:r>
    </w:p>
    <w:p w14:paraId="247300EA">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3.5.4.5</w:t>
      </w:r>
      <w:r>
        <w:rPr>
          <w:rFonts w:hint="eastAsia" w:ascii="宋体" w:hAnsi="宋体" w:cs="楷体_GB2312"/>
          <w:color w:val="auto"/>
          <w:sz w:val="24"/>
        </w:rPr>
        <w:t xml:space="preserve"> </w:t>
      </w:r>
      <w:r>
        <w:rPr>
          <w:rFonts w:hint="eastAsia" w:ascii="宋体" w:hAnsi="宋体" w:cs="楷体_GB2312"/>
          <w:color w:val="auto"/>
          <w:sz w:val="24"/>
          <w:lang w:val="zh-CN"/>
        </w:rPr>
        <w:t>中标后除不可抗拒力或《磋商文件》认可的情形外，供应商应及时领取中标通知书，在成交通知书规定时间、地点与采购人签订合同；</w:t>
      </w:r>
      <w:r>
        <w:rPr>
          <w:rFonts w:hint="eastAsia" w:ascii="宋体" w:hAnsi="宋体" w:cs="楷体_GB2312"/>
          <w:color w:val="auto"/>
          <w:sz w:val="24"/>
          <w:lang w:val="zh-CN"/>
        </w:rPr>
        <w:br w:type="textWrapping"/>
      </w:r>
      <w:r>
        <w:rPr>
          <w:rFonts w:hint="eastAsia" w:ascii="宋体" w:hAnsi="宋体" w:cs="楷体_GB2312"/>
          <w:color w:val="auto"/>
          <w:sz w:val="24"/>
          <w:lang w:val="zh-CN"/>
        </w:rPr>
        <w:t xml:space="preserve">    3.5.4.6</w:t>
      </w:r>
      <w:r>
        <w:rPr>
          <w:rFonts w:hint="eastAsia" w:ascii="宋体" w:hAnsi="宋体" w:cs="楷体_GB2312"/>
          <w:color w:val="auto"/>
          <w:sz w:val="24"/>
        </w:rPr>
        <w:t xml:space="preserve"> </w:t>
      </w:r>
      <w:r>
        <w:rPr>
          <w:rFonts w:hint="eastAsia" w:ascii="宋体" w:hAnsi="宋体" w:cs="楷体_GB2312"/>
          <w:color w:val="auto"/>
          <w:sz w:val="24"/>
          <w:lang w:val="zh-CN"/>
        </w:rPr>
        <w:t>供应商应遵守法律法规及《磋商文件》规定的其他情况；</w:t>
      </w:r>
    </w:p>
    <w:p w14:paraId="5BA282AE">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3.5.4.7</w:t>
      </w:r>
      <w:r>
        <w:rPr>
          <w:rFonts w:hint="eastAsia" w:ascii="宋体" w:hAnsi="宋体" w:cs="楷体_GB2312"/>
          <w:color w:val="auto"/>
          <w:sz w:val="24"/>
        </w:rPr>
        <w:t xml:space="preserve"> </w:t>
      </w:r>
      <w:r>
        <w:rPr>
          <w:rFonts w:hint="eastAsia" w:ascii="宋体" w:hAnsi="宋体" w:cs="楷体_GB2312"/>
          <w:color w:val="auto"/>
          <w:sz w:val="24"/>
          <w:lang w:val="zh-CN"/>
        </w:rPr>
        <w:t>供应商应按《磋商文件》规定及时缴纳中标服务费。</w:t>
      </w:r>
    </w:p>
    <w:p w14:paraId="02D04569">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3.5.5 违背承诺的责任追究措施：</w:t>
      </w:r>
    </w:p>
    <w:p w14:paraId="6AD1B20F">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供应商如违背上述承诺事项，应无条件接受以下责任追究：</w:t>
      </w:r>
    </w:p>
    <w:p w14:paraId="17141F25">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3.5.5.1</w:t>
      </w:r>
      <w:r>
        <w:rPr>
          <w:rFonts w:hint="eastAsia" w:ascii="宋体" w:hAnsi="宋体" w:cs="楷体_GB2312"/>
          <w:color w:val="auto"/>
          <w:sz w:val="24"/>
        </w:rPr>
        <w:t xml:space="preserve"> </w:t>
      </w:r>
      <w:r>
        <w:rPr>
          <w:rFonts w:hint="eastAsia" w:ascii="宋体" w:hAnsi="宋体" w:cs="楷体_GB2312"/>
          <w:color w:val="auto"/>
          <w:sz w:val="24"/>
          <w:lang w:val="zh-CN"/>
        </w:rPr>
        <w:t>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14:paraId="55E1A988">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给采购人及他人造成损失的，应承担相应的赔偿责任。</w:t>
      </w:r>
    </w:p>
    <w:p w14:paraId="72381C00">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3.5.5.2</w:t>
      </w:r>
      <w:r>
        <w:rPr>
          <w:rFonts w:hint="eastAsia" w:ascii="宋体" w:hAnsi="宋体" w:cs="楷体_GB2312"/>
          <w:color w:val="auto"/>
          <w:sz w:val="24"/>
        </w:rPr>
        <w:t xml:space="preserve"> </w:t>
      </w:r>
      <w:r>
        <w:rPr>
          <w:rFonts w:hint="eastAsia" w:ascii="宋体" w:hAnsi="宋体" w:cs="楷体_GB2312"/>
          <w:color w:val="auto"/>
          <w:sz w:val="24"/>
          <w:lang w:val="zh-CN"/>
        </w:rPr>
        <w:t xml:space="preserve">违约责任： </w:t>
      </w:r>
    </w:p>
    <w:p w14:paraId="580AB793">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3.5.5.2.1 已中标的，中标（成交）无效；</w:t>
      </w:r>
    </w:p>
    <w:p w14:paraId="543168BD">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3.5.5.2.2 支付采购人违约标的预算金额2%的违约金；</w:t>
      </w:r>
    </w:p>
    <w:p w14:paraId="072F138F">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3.5.5.2.3</w:t>
      </w:r>
      <w:r>
        <w:rPr>
          <w:rFonts w:hint="eastAsia" w:ascii="宋体" w:hAnsi="宋体" w:cs="楷体_GB2312"/>
          <w:color w:val="auto"/>
          <w:sz w:val="24"/>
        </w:rPr>
        <w:t xml:space="preserve"> </w:t>
      </w:r>
      <w:r>
        <w:rPr>
          <w:rFonts w:hint="eastAsia" w:ascii="宋体" w:hAnsi="宋体" w:cs="楷体_GB2312"/>
          <w:color w:val="auto"/>
          <w:sz w:val="24"/>
          <w:lang w:val="zh-CN"/>
        </w:rPr>
        <w:t>中标后未缴中标服务费的，作为违约及违背</w:t>
      </w:r>
      <w:r>
        <w:rPr>
          <w:color w:val="auto"/>
        </w:rPr>
        <w:fldChar w:fldCharType="begin"/>
      </w:r>
      <w:r>
        <w:rPr>
          <w:color w:val="auto"/>
        </w:rPr>
        <w:instrText xml:space="preserve"> HYPERLINK "http://www.so.com/s?q=%E8%AF%9A%E5%AE%9E%E4%BF%A1%E7%94%A8&amp;ie=utf-8&amp;src=internal_wenda_recommend_textn" \t "https://wenda.so.com/q/_blank" </w:instrText>
      </w:r>
      <w:r>
        <w:rPr>
          <w:color w:val="auto"/>
        </w:rPr>
        <w:fldChar w:fldCharType="separate"/>
      </w:r>
      <w:r>
        <w:rPr>
          <w:rFonts w:hint="eastAsia" w:ascii="宋体" w:hAnsi="宋体" w:cs="楷体_GB2312"/>
          <w:color w:val="auto"/>
          <w:sz w:val="24"/>
          <w:lang w:val="zh-CN"/>
        </w:rPr>
        <w:t>诚实信用</w:t>
      </w:r>
      <w:r>
        <w:rPr>
          <w:rFonts w:hint="eastAsia" w:ascii="宋体" w:hAnsi="宋体" w:cs="楷体_GB2312"/>
          <w:color w:val="auto"/>
          <w:sz w:val="24"/>
          <w:lang w:val="zh-CN"/>
        </w:rPr>
        <w:fldChar w:fldCharType="end"/>
      </w:r>
      <w:r>
        <w:rPr>
          <w:rFonts w:hint="eastAsia" w:ascii="宋体" w:hAnsi="宋体" w:cs="楷体_GB2312"/>
          <w:color w:val="auto"/>
          <w:sz w:val="24"/>
          <w:lang w:val="zh-CN"/>
        </w:rPr>
        <w:t>原则，在履行承诺前，代理机构将视该单位为失信企业、不予办理其后相关业务。</w:t>
      </w:r>
    </w:p>
    <w:p w14:paraId="4D748997">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要求见竞争性磋商公告。</w:t>
      </w:r>
    </w:p>
    <w:p w14:paraId="1FC142C5">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《响应文件》的编制</w:t>
      </w:r>
    </w:p>
    <w:p w14:paraId="091D2D4A">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3.7.1</w:t>
      </w:r>
      <w:r>
        <w:rPr>
          <w:rFonts w:hint="eastAsia" w:ascii="宋体" w:hAnsi="宋体" w:cs="楷体_GB2312"/>
          <w:color w:val="auto"/>
          <w:sz w:val="24"/>
        </w:rPr>
        <w:t xml:space="preserve"> </w:t>
      </w:r>
      <w:r>
        <w:rPr>
          <w:rFonts w:hint="eastAsia" w:ascii="宋体" w:hAnsi="宋体" w:cs="楷体_GB2312"/>
          <w:color w:val="auto"/>
          <w:sz w:val="24"/>
          <w:lang w:val="zh-CN"/>
        </w:rPr>
        <w:t>《响应文件》应按第六章“《响应文件》格式”进行编写，如有必要，可以增加附页，作为《响应文件》的组成部分。《磋商文件》中未列明格式的，由供应商按一般通用格式自行设计编写。</w:t>
      </w:r>
    </w:p>
    <w:p w14:paraId="1FE4BE78">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《响应文件》编制后，供应商应在投标截止时间前上传加密的电子</w:t>
      </w:r>
      <w:r>
        <w:rPr>
          <w:rFonts w:hint="eastAsia" w:asciiTheme="minorEastAsia" w:hAnsiTheme="minorEastAsia" w:eastAsiaTheme="minorEastAsia" w:cstheme="minorEastAsia"/>
          <w:color w:val="auto"/>
          <w:sz w:val="24"/>
          <w:szCs w:val="24"/>
        </w:rPr>
        <w:t>《响应文件》</w:t>
      </w:r>
      <w:r>
        <w:rPr>
          <w:rFonts w:hint="eastAsia" w:ascii="宋体" w:hAnsi="宋体" w:cs="楷体_GB2312"/>
          <w:color w:val="auto"/>
          <w:sz w:val="24"/>
          <w:lang w:val="zh-CN"/>
        </w:rPr>
        <w:t>（*.aytf）到安阳市公共资源交易平台。上传时供应商须使用制作该</w:t>
      </w:r>
      <w:r>
        <w:rPr>
          <w:rFonts w:hint="eastAsia" w:asciiTheme="minorEastAsia" w:hAnsiTheme="minorEastAsia" w:eastAsiaTheme="minorEastAsia" w:cstheme="minorEastAsia"/>
          <w:color w:val="auto"/>
          <w:sz w:val="24"/>
          <w:szCs w:val="24"/>
        </w:rPr>
        <w:t>《响应文件》</w:t>
      </w:r>
      <w:r>
        <w:rPr>
          <w:rFonts w:hint="eastAsia" w:ascii="宋体" w:hAnsi="宋体" w:cs="楷体_GB2312"/>
          <w:color w:val="auto"/>
          <w:sz w:val="24"/>
          <w:lang w:val="zh-CN"/>
        </w:rPr>
        <w:t>的同一CA锁进行上传操作。请供应商在上传时认真检查上传</w:t>
      </w:r>
      <w:r>
        <w:rPr>
          <w:rFonts w:hint="eastAsia" w:asciiTheme="minorEastAsia" w:hAnsiTheme="minorEastAsia" w:eastAsiaTheme="minorEastAsia" w:cstheme="minorEastAsia"/>
          <w:color w:val="auto"/>
          <w:sz w:val="24"/>
          <w:szCs w:val="24"/>
        </w:rPr>
        <w:t>《响应文件》</w:t>
      </w:r>
      <w:r>
        <w:rPr>
          <w:rFonts w:hint="eastAsia" w:ascii="宋体" w:hAnsi="宋体" w:cs="楷体_GB2312"/>
          <w:color w:val="auto"/>
          <w:sz w:val="24"/>
          <w:lang w:val="zh-CN"/>
        </w:rPr>
        <w:t>是否完整、正确。供应商应充分考虑上传文件时的不可预见因素，未在投标截止时间前完成上传的，视为逾期送达，安阳市公共资源交易平台将拒绝接收。</w:t>
      </w:r>
    </w:p>
    <w:p w14:paraId="61CE6A58">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3.7.2 “《响应文件》格式”仅为对《响应文件》部分内容的格式化规范，并非《响应文件》所应具备的全部内容。供应商应按本章“3.2</w:t>
      </w:r>
      <w:r>
        <w:rPr>
          <w:rFonts w:hint="eastAsia" w:ascii="宋体" w:hAnsi="宋体" w:cs="楷体_GB2312"/>
          <w:color w:val="auto"/>
          <w:sz w:val="24"/>
        </w:rPr>
        <w:t xml:space="preserve"> </w:t>
      </w:r>
      <w:r>
        <w:rPr>
          <w:rFonts w:hint="eastAsia" w:ascii="宋体" w:hAnsi="宋体" w:cs="楷体_GB2312"/>
          <w:color w:val="auto"/>
          <w:sz w:val="24"/>
          <w:lang w:val="zh-CN"/>
        </w:rPr>
        <w:t>《响应文件》的组成”列示内容编制《响应文件》。</w:t>
      </w:r>
    </w:p>
    <w:p w14:paraId="34A0619D">
      <w:pPr>
        <w:adjustRightInd w:val="0"/>
        <w:snapToGrid w:val="0"/>
        <w:spacing w:before="120" w:beforeLines="50"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3.7.3</w:t>
      </w:r>
      <w:r>
        <w:rPr>
          <w:rFonts w:hint="eastAsia" w:ascii="宋体" w:hAnsi="宋体" w:cs="楷体_GB2312"/>
          <w:color w:val="auto"/>
          <w:sz w:val="24"/>
        </w:rPr>
        <w:t xml:space="preserve"> </w:t>
      </w:r>
      <w:r>
        <w:rPr>
          <w:rFonts w:hint="eastAsia" w:ascii="宋体" w:hAnsi="宋体" w:cs="楷体_GB2312"/>
          <w:color w:val="auto"/>
          <w:sz w:val="24"/>
          <w:lang w:val="zh-CN"/>
        </w:rPr>
        <w:t>《响应文件》应当对《磋商文件》有关标段（包）内容（范围）、技术</w:t>
      </w:r>
      <w:r>
        <w:rPr>
          <w:rFonts w:hint="eastAsia" w:ascii="宋体" w:hAnsi="宋体" w:cs="楷体_GB2312"/>
          <w:color w:val="auto"/>
          <w:sz w:val="24"/>
        </w:rPr>
        <w:t>服务</w:t>
      </w:r>
      <w:r>
        <w:rPr>
          <w:rFonts w:hint="eastAsia" w:ascii="宋体" w:hAnsi="宋体" w:cs="楷体_GB2312"/>
          <w:color w:val="auto"/>
          <w:sz w:val="24"/>
          <w:lang w:val="zh-CN"/>
        </w:rPr>
        <w:t>要求、交验期、投标有效期等实质性内容作出响应。在满足《磋商文件》实质性要求的基础上，可以提出比《磋商文件》要求更有利于采购人的承诺。并符合《磋商文件》偏离规定。</w:t>
      </w:r>
    </w:p>
    <w:p w14:paraId="5D5C2DBA">
      <w:pPr>
        <w:adjustRightInd w:val="0"/>
        <w:snapToGrid w:val="0"/>
        <w:spacing w:before="120" w:beforeLines="50"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《响应文件》的所有条款与《磋商文件》要求有任何不同之处，应按《</w:t>
      </w:r>
      <w:r>
        <w:rPr>
          <w:rFonts w:hint="eastAsia" w:ascii="宋体" w:hAnsi="宋体" w:cs="楷体_GB2312"/>
          <w:color w:val="auto"/>
          <w:sz w:val="24"/>
        </w:rPr>
        <w:t>技术偏离表</w:t>
      </w:r>
      <w:r>
        <w:rPr>
          <w:rFonts w:hint="eastAsia" w:ascii="宋体" w:hAnsi="宋体" w:cs="楷体_GB2312"/>
          <w:color w:val="auto"/>
          <w:sz w:val="24"/>
          <w:lang w:val="zh-CN"/>
        </w:rPr>
        <w:t>》、《</w:t>
      </w:r>
      <w:r>
        <w:rPr>
          <w:rFonts w:hint="eastAsia" w:ascii="宋体" w:hAnsi="宋体" w:cs="楷体_GB2312"/>
          <w:color w:val="auto"/>
          <w:sz w:val="24"/>
        </w:rPr>
        <w:t>其他</w:t>
      </w:r>
      <w:r>
        <w:rPr>
          <w:rFonts w:hint="eastAsia" w:ascii="宋体" w:hAnsi="宋体" w:cs="楷体_GB2312"/>
          <w:color w:val="auto"/>
          <w:sz w:val="24"/>
          <w:lang w:val="zh-CN"/>
        </w:rPr>
        <w:t>偏离表》格式逐一填列。《响应文件》与《磋商文件》所有要求存在偏离而未填列的，磋商小组有权按照实质性判断原则（实质性要求和实质性响应两因素）评定其为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。供应商应认真编制《响应文件》并自负此项风险。</w:t>
      </w:r>
    </w:p>
    <w:p w14:paraId="0BB3C637">
      <w:pPr>
        <w:adjustRightInd w:val="0"/>
        <w:snapToGrid w:val="0"/>
        <w:spacing w:before="120" w:beforeLines="50" w:line="300" w:lineRule="auto"/>
        <w:ind w:firstLine="539"/>
        <w:textAlignment w:val="top"/>
        <w:rPr>
          <w:rFonts w:ascii="宋体" w:cs="楷体_GB2312"/>
          <w:b/>
          <w:color w:val="auto"/>
          <w:sz w:val="24"/>
        </w:rPr>
      </w:pPr>
      <w:r>
        <w:rPr>
          <w:rFonts w:ascii="宋体" w:hAnsi="宋体" w:cs="楷体_GB2312"/>
          <w:b/>
          <w:color w:val="auto"/>
          <w:sz w:val="24"/>
          <w:lang w:val="zh-CN"/>
        </w:rPr>
        <w:t>3</w:t>
      </w:r>
      <w:r>
        <w:rPr>
          <w:rFonts w:ascii="宋体" w:hAnsi="宋体" w:cs="楷体_GB2312"/>
          <w:b/>
          <w:color w:val="auto"/>
          <w:sz w:val="24"/>
        </w:rPr>
        <w:t>.7.</w:t>
      </w:r>
      <w:r>
        <w:rPr>
          <w:rFonts w:hint="eastAsia" w:ascii="宋体" w:hAnsi="宋体" w:cs="楷体_GB2312"/>
          <w:b/>
          <w:color w:val="auto"/>
          <w:sz w:val="24"/>
        </w:rPr>
        <w:t>4</w:t>
      </w:r>
      <w:r>
        <w:rPr>
          <w:rFonts w:ascii="宋体" w:hAnsi="宋体" w:cs="楷体_GB2312"/>
          <w:b/>
          <w:color w:val="auto"/>
          <w:sz w:val="24"/>
        </w:rPr>
        <w:t xml:space="preserve"> </w:t>
      </w:r>
      <w:r>
        <w:rPr>
          <w:rFonts w:hint="eastAsia" w:ascii="宋体" w:hAnsi="宋体" w:cs="楷体_GB2312"/>
          <w:b/>
          <w:color w:val="auto"/>
          <w:sz w:val="24"/>
        </w:rPr>
        <w:t>《响应文件》应按《磋商文件》</w:t>
      </w:r>
      <w:r>
        <w:rPr>
          <w:rFonts w:hint="eastAsia" w:ascii="宋体" w:hAnsi="宋体" w:cs="楷体_GB2312"/>
          <w:b/>
          <w:color w:val="auto"/>
          <w:sz w:val="24"/>
          <w:lang w:val="zh-CN"/>
        </w:rPr>
        <w:t>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签名（签章）并加密的《响应文件》，属于未按照《磋商文件》要求进行签署。</w:t>
      </w:r>
    </w:p>
    <w:p w14:paraId="7B47B36D">
      <w:pPr>
        <w:adjustRightInd w:val="0"/>
        <w:snapToGrid w:val="0"/>
        <w:spacing w:before="120" w:beforeLines="50" w:line="300" w:lineRule="auto"/>
        <w:ind w:firstLine="539"/>
        <w:textAlignment w:val="top"/>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rPr>
        <w:t>公</w:t>
      </w:r>
      <w:r>
        <w:rPr>
          <w:rFonts w:hint="eastAsia" w:ascii="宋体" w:hAnsi="宋体" w:cs="楷体_GB2312"/>
          <w:b/>
          <w:color w:val="auto"/>
          <w:sz w:val="24"/>
        </w:rPr>
        <w:t>章具有同等法律效力；供应商法定代表人使用有效的个人数字证书对《响应文件》进行签名（签章）与法人签章具有同等法律效力。</w:t>
      </w:r>
    </w:p>
    <w:p w14:paraId="77A69785">
      <w:pPr>
        <w:adjustRightInd w:val="0"/>
        <w:snapToGrid w:val="0"/>
        <w:spacing w:before="120"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rPr>
        <w:t xml:space="preserve"> </w:t>
      </w:r>
      <w:r>
        <w:rPr>
          <w:rFonts w:hint="eastAsia" w:ascii="宋体" w:hAnsi="宋体" w:cs="楷体_GB2312"/>
          <w:color w:val="auto"/>
          <w:sz w:val="24"/>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14:paraId="47073996">
      <w:pPr>
        <w:adjustRightInd w:val="0"/>
        <w:snapToGrid w:val="0"/>
        <w:spacing w:before="120"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《响应文件》因字迹或表述不清所引起的后果由供应商自行负责。</w:t>
      </w:r>
    </w:p>
    <w:p w14:paraId="498FD018">
      <w:pPr>
        <w:adjustRightInd w:val="0"/>
        <w:snapToGrid w:val="0"/>
        <w:spacing w:before="120"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未按上述要求提交的《响应文件》将视为</w:t>
      </w:r>
      <w:r>
        <w:rPr>
          <w:rFonts w:hint="eastAsia" w:ascii="宋体" w:hAnsi="宋体" w:cs="楷体_GB2312"/>
          <w:b/>
          <w:color w:val="auto"/>
          <w:sz w:val="24"/>
          <w:lang w:val="zh-CN"/>
        </w:rPr>
        <w:t>无效投标。</w:t>
      </w:r>
    </w:p>
    <w:p w14:paraId="2734CDD4">
      <w:pPr>
        <w:autoSpaceDE w:val="0"/>
        <w:autoSpaceDN w:val="0"/>
        <w:adjustRightInd w:val="0"/>
        <w:spacing w:line="360" w:lineRule="auto"/>
        <w:rPr>
          <w:rFonts w:ascii="黑体" w:hAnsi="黑体" w:eastAsia="黑体" w:cs="楷体_GB2312"/>
          <w:b/>
          <w:bCs/>
          <w:color w:val="auto"/>
          <w:sz w:val="28"/>
          <w:szCs w:val="28"/>
          <w:lang w:val="zh-CN"/>
        </w:rPr>
      </w:pPr>
    </w:p>
    <w:p w14:paraId="6D3D3081">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24" w:name="_Toc3979"/>
      <w:r>
        <w:rPr>
          <w:rFonts w:ascii="黑体" w:hAnsi="黑体" w:eastAsia="黑体" w:cs="楷体_GB2312"/>
          <w:b/>
          <w:bCs/>
          <w:color w:val="auto"/>
          <w:sz w:val="28"/>
          <w:szCs w:val="28"/>
          <w:lang w:val="zh-CN"/>
        </w:rPr>
        <w:t>4.</w:t>
      </w:r>
      <w:r>
        <w:rPr>
          <w:rFonts w:hint="eastAsia" w:ascii="黑体" w:hAnsi="黑体" w:eastAsia="黑体" w:cs="楷体_GB2312"/>
          <w:b/>
          <w:bCs/>
          <w:color w:val="auto"/>
          <w:sz w:val="28"/>
          <w:szCs w:val="28"/>
          <w:lang w:val="zh-CN"/>
        </w:rPr>
        <w:t>《响应文件》的提交</w:t>
      </w:r>
      <w:bookmarkEnd w:id="24"/>
    </w:p>
    <w:p w14:paraId="6B8F19CB">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bookmarkStart w:id="25" w:name="OLE_LINK2"/>
      <w:bookmarkStart w:id="26" w:name="_Toc296602445"/>
      <w:r>
        <w:rPr>
          <w:rFonts w:hint="eastAsia" w:ascii="黑体" w:hAnsi="黑体" w:eastAsia="黑体" w:cs="楷体_GB2312"/>
          <w:b/>
          <w:color w:val="auto"/>
          <w:sz w:val="24"/>
          <w:lang w:val="zh-CN"/>
        </w:rPr>
        <w:t>4.1《响应文件》的密封和标记</w:t>
      </w:r>
    </w:p>
    <w:p w14:paraId="5FCB2424">
      <w:pPr>
        <w:autoSpaceDE w:val="0"/>
        <w:autoSpaceDN w:val="0"/>
        <w:adjustRightInd w:val="0"/>
        <w:snapToGrid w:val="0"/>
        <w:spacing w:before="120"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4.1.1 </w:t>
      </w:r>
      <w:r>
        <w:rPr>
          <w:rFonts w:hint="eastAsia" w:ascii="宋体" w:hAnsi="宋体" w:cs="楷体_GB2312"/>
          <w:b/>
          <w:color w:val="auto"/>
          <w:sz w:val="24"/>
          <w:lang w:val="zh-CN"/>
        </w:rPr>
        <w:t>《响应文件》应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《响应文件》</w:t>
      </w:r>
      <w:r>
        <w:rPr>
          <w:rFonts w:ascii="宋体" w:hAnsi="宋体" w:cs="楷体_GB2312"/>
          <w:b/>
          <w:color w:val="auto"/>
          <w:sz w:val="24"/>
          <w:lang w:val="zh-CN"/>
        </w:rPr>
        <w:t>上</w:t>
      </w:r>
      <w:r>
        <w:rPr>
          <w:rFonts w:hint="eastAsia" w:ascii="宋体" w:hAnsi="宋体" w:cs="楷体_GB2312"/>
          <w:b/>
          <w:color w:val="auto"/>
          <w:sz w:val="24"/>
          <w:lang w:val="zh-CN"/>
        </w:rPr>
        <w:t>传至“竞争性磋商</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14:paraId="341DFD90">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bookmarkStart w:id="27" w:name="OLE_LINK1"/>
      <w:r>
        <w:rPr>
          <w:rFonts w:ascii="宋体" w:hAnsi="宋体" w:cs="楷体_GB2312"/>
          <w:b/>
          <w:color w:val="auto"/>
          <w:sz w:val="24"/>
          <w:lang w:val="zh-CN"/>
        </w:rPr>
        <w:t xml:space="preserve">4.1.2 </w:t>
      </w:r>
      <w:r>
        <w:rPr>
          <w:rFonts w:hint="eastAsia" w:ascii="宋体" w:hAnsi="宋体" w:cs="楷体_GB2312"/>
          <w:b/>
          <w:color w:val="auto"/>
          <w:sz w:val="24"/>
          <w:lang w:val="zh-CN"/>
        </w:rPr>
        <w:t>《响应文件》没有按照上述要求进行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拒收其《响应文件》，供应商应自负该项风险，采购代理机构对可能产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27"/>
    </w:p>
    <w:bookmarkEnd w:id="25"/>
    <w:p w14:paraId="382EA803">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4.2 《响应文件》的递交</w:t>
      </w:r>
      <w:bookmarkEnd w:id="26"/>
    </w:p>
    <w:p w14:paraId="1F820F58">
      <w:pPr>
        <w:widowControl w:val="0"/>
        <w:adjustRightInd w:val="0"/>
        <w:spacing w:before="120" w:beforeLines="50" w:line="300" w:lineRule="auto"/>
        <w:ind w:firstLine="542" w:firstLineChars="225"/>
        <w:rPr>
          <w:rFonts w:ascii="宋体" w:hAnsi="宋体"/>
          <w:color w:val="auto"/>
          <w:sz w:val="24"/>
          <w:szCs w:val="24"/>
        </w:rPr>
      </w:pPr>
      <w:r>
        <w:rPr>
          <w:rFonts w:ascii="宋体" w:hAnsi="宋体" w:cs="楷体_GB2312"/>
          <w:b/>
          <w:color w:val="auto"/>
          <w:sz w:val="24"/>
          <w:lang w:val="zh-CN"/>
        </w:rPr>
        <w:t>4.2.1</w:t>
      </w:r>
      <w:r>
        <w:rPr>
          <w:rFonts w:hint="eastAsia" w:ascii="宋体" w:hAnsi="宋体" w:cs="楷体_GB2312"/>
          <w:b/>
          <w:color w:val="auto"/>
          <w:sz w:val="24"/>
        </w:rPr>
        <w:t xml:space="preserve"> </w:t>
      </w:r>
      <w:r>
        <w:rPr>
          <w:rFonts w:hint="eastAsia" w:ascii="宋体" w:hAnsi="宋体"/>
          <w:color w:val="auto"/>
          <w:sz w:val="24"/>
          <w:szCs w:val="24"/>
        </w:rPr>
        <w:t>供应商应在投标截止时间前上传加密的电子</w:t>
      </w:r>
      <w:r>
        <w:rPr>
          <w:rFonts w:hint="eastAsia" w:asciiTheme="minorEastAsia" w:hAnsiTheme="minorEastAsia" w:eastAsiaTheme="minorEastAsia" w:cstheme="minorEastAsia"/>
          <w:color w:val="auto"/>
          <w:sz w:val="24"/>
          <w:szCs w:val="24"/>
        </w:rPr>
        <w:t>《响应文件》</w:t>
      </w:r>
      <w:r>
        <w:rPr>
          <w:rFonts w:hint="eastAsia" w:ascii="宋体" w:hAnsi="宋体"/>
          <w:color w:val="auto"/>
          <w:sz w:val="24"/>
          <w:szCs w:val="24"/>
        </w:rPr>
        <w:t>（*.aytf）到安阳市公共资源交易平台。上传时供应商须使用制作该</w:t>
      </w:r>
      <w:r>
        <w:rPr>
          <w:rFonts w:hint="eastAsia" w:asciiTheme="minorEastAsia" w:hAnsiTheme="minorEastAsia" w:eastAsiaTheme="minorEastAsia" w:cstheme="minorEastAsia"/>
          <w:color w:val="auto"/>
          <w:sz w:val="24"/>
          <w:szCs w:val="24"/>
        </w:rPr>
        <w:t>《响应文件》</w:t>
      </w:r>
      <w:r>
        <w:rPr>
          <w:rFonts w:hint="eastAsia" w:ascii="宋体" w:hAnsi="宋体"/>
          <w:color w:val="auto"/>
          <w:sz w:val="24"/>
          <w:szCs w:val="24"/>
        </w:rPr>
        <w:t>的同一CA锁进行上传操作。请供应商在上传时认真检查上传</w:t>
      </w:r>
      <w:r>
        <w:rPr>
          <w:rFonts w:hint="eastAsia" w:asciiTheme="minorEastAsia" w:hAnsiTheme="minorEastAsia" w:eastAsiaTheme="minorEastAsia" w:cstheme="minorEastAsia"/>
          <w:color w:val="auto"/>
          <w:sz w:val="24"/>
          <w:szCs w:val="24"/>
        </w:rPr>
        <w:t>《响应文件》</w:t>
      </w:r>
      <w:r>
        <w:rPr>
          <w:rFonts w:hint="eastAsia" w:ascii="宋体" w:hAnsi="宋体"/>
          <w:color w:val="auto"/>
          <w:sz w:val="24"/>
          <w:szCs w:val="24"/>
        </w:rPr>
        <w:t>是否完整、正确。供应商应充分考虑上传文件时的不可预见因素，未在投标截止时间前完成上传的，视为逾期送达，安阳市公共资源交易平台将拒绝接收。</w:t>
      </w:r>
    </w:p>
    <w:p w14:paraId="4FAB2531">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的《响应文件》。</w:t>
      </w:r>
    </w:p>
    <w:p w14:paraId="5D2F1372">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由于不可抗拒的原因，代理机构对《响应文件》的遗失和损坏不负任何责任。</w:t>
      </w:r>
    </w:p>
    <w:p w14:paraId="1CFF6D1A">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除供应商须知前附表另有规定外，供应商所递交的《响应文件》不予退还。</w:t>
      </w:r>
    </w:p>
    <w:p w14:paraId="71EB54EB">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14:paraId="08576CF2">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4.3 《响应文件》的修改与撤回</w:t>
      </w:r>
    </w:p>
    <w:p w14:paraId="58298CBA">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供应商于提交《响应文件》截止时间前如对《响应文件》进行补充、修改，可以上传新的《响应文件》进行覆盖。供应商如撤回《响应文件》，应及时书面通知采购代理机构进行办理。</w:t>
      </w:r>
    </w:p>
    <w:p w14:paraId="002642E4">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供应商在《响应文件》提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 xml:space="preserve">依据《磋商文件》“第三章 </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14:paraId="605A9913">
      <w:pPr>
        <w:autoSpaceDE w:val="0"/>
        <w:autoSpaceDN w:val="0"/>
        <w:adjustRightInd w:val="0"/>
        <w:snapToGrid w:val="0"/>
        <w:spacing w:before="120" w:beforeLines="50" w:line="300" w:lineRule="auto"/>
        <w:rPr>
          <w:rFonts w:ascii="宋体" w:cs="楷体_GB2312"/>
          <w:color w:val="auto"/>
          <w:sz w:val="24"/>
          <w:lang w:val="zh-CN"/>
        </w:rPr>
      </w:pPr>
    </w:p>
    <w:p w14:paraId="79C44B5E">
      <w:pPr>
        <w:autoSpaceDE w:val="0"/>
        <w:autoSpaceDN w:val="0"/>
        <w:adjustRightInd w:val="0"/>
        <w:snapToGrid w:val="0"/>
        <w:spacing w:before="120" w:beforeLines="50" w:line="300" w:lineRule="auto"/>
        <w:ind w:firstLine="539"/>
        <w:outlineLvl w:val="1"/>
        <w:rPr>
          <w:rFonts w:ascii="宋体" w:cs="楷体_GB2312"/>
          <w:color w:val="auto"/>
          <w:sz w:val="24"/>
          <w:lang w:val="zh-CN"/>
        </w:rPr>
      </w:pPr>
      <w:bookmarkStart w:id="28" w:name="_Toc25620"/>
      <w:r>
        <w:rPr>
          <w:rFonts w:ascii="黑体" w:hAnsi="黑体" w:eastAsia="黑体" w:cs="楷体_GB2312"/>
          <w:b/>
          <w:bCs/>
          <w:color w:val="auto"/>
          <w:sz w:val="28"/>
          <w:szCs w:val="28"/>
          <w:lang w:val="zh-CN"/>
        </w:rPr>
        <w:t>5.</w:t>
      </w:r>
      <w:r>
        <w:rPr>
          <w:rFonts w:hint="eastAsia" w:ascii="黑体" w:hAnsi="黑体" w:eastAsia="黑体" w:cs="楷体_GB2312"/>
          <w:b/>
          <w:bCs/>
          <w:color w:val="auto"/>
          <w:sz w:val="28"/>
          <w:szCs w:val="28"/>
          <w:lang w:val="zh-CN"/>
        </w:rPr>
        <w:t>《响应文件》的开启</w:t>
      </w:r>
      <w:bookmarkEnd w:id="28"/>
    </w:p>
    <w:p w14:paraId="718B88F6">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《响应文件》开启时间和地点</w:t>
      </w:r>
    </w:p>
    <w:p w14:paraId="770D5931">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采购人和采购代理机构按“竞争性磋商</w:t>
      </w:r>
      <w:r>
        <w:rPr>
          <w:rFonts w:ascii="宋体" w:hAnsi="宋体" w:cs="楷体_GB2312"/>
          <w:b/>
          <w:color w:val="auto"/>
          <w:sz w:val="24"/>
          <w:lang w:val="zh-CN"/>
        </w:rPr>
        <w:t>公告</w:t>
      </w:r>
      <w:r>
        <w:rPr>
          <w:rFonts w:hint="eastAsia" w:ascii="宋体" w:hAnsi="宋体" w:cs="楷体_GB2312"/>
          <w:b/>
          <w:color w:val="auto"/>
          <w:sz w:val="24"/>
          <w:lang w:val="zh-CN"/>
        </w:rPr>
        <w:t>”规定的时间和地点于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（竞争性磋商公告所述网上电子交易系统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公开《响应文件》开启。</w:t>
      </w:r>
    </w:p>
    <w:p w14:paraId="3D3E92BD">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14B5D5DB">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《响应文件》开启程序</w:t>
      </w:r>
    </w:p>
    <w:p w14:paraId="4B143C1A">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《响应文件》的开启方式为远程解密，为保证开启工作顺利进行，供应商需在开标阶段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管理员下达解密指令后的指定时限内，完成对本单位的加密《响应文件》的远程解密。如供应商因自身原因、在指定时限内没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解密成功的，其投标将不能被接受，供应商自行承担相应后果。</w:t>
      </w:r>
    </w:p>
    <w:p w14:paraId="7C8ED793">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14:paraId="598670ED">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供应商对开标过程和开标记录有疑义，以及认为采购人、采购代理机构相关工作人员有需要回避的情形的，应在系统中提出询问或者回避申请，否则，视为对开标无异议。</w:t>
      </w:r>
    </w:p>
    <w:p w14:paraId="745D0144">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14:paraId="2E32F032">
      <w:pPr>
        <w:autoSpaceDE w:val="0"/>
        <w:autoSpaceDN w:val="0"/>
        <w:adjustRightInd w:val="0"/>
        <w:snapToGrid w:val="0"/>
        <w:spacing w:before="120" w:beforeLines="50" w:line="300" w:lineRule="auto"/>
        <w:ind w:firstLine="539"/>
        <w:rPr>
          <w:rFonts w:ascii="宋体" w:cs="楷体_GB2312"/>
          <w:color w:val="auto"/>
          <w:sz w:val="24"/>
          <w:lang w:val="zh-CN"/>
        </w:rPr>
      </w:pPr>
    </w:p>
    <w:p w14:paraId="4EADFBD7">
      <w:pPr>
        <w:autoSpaceDE w:val="0"/>
        <w:autoSpaceDN w:val="0"/>
        <w:adjustRightInd w:val="0"/>
        <w:snapToGrid w:val="0"/>
        <w:spacing w:before="120" w:beforeLines="50" w:line="300" w:lineRule="auto"/>
        <w:ind w:firstLine="539"/>
        <w:outlineLvl w:val="1"/>
        <w:rPr>
          <w:rFonts w:ascii="宋体" w:cs="楷体_GB2312"/>
          <w:color w:val="auto"/>
          <w:sz w:val="24"/>
          <w:lang w:val="zh-CN"/>
        </w:rPr>
      </w:pPr>
      <w:bookmarkStart w:id="29" w:name="_Toc13358"/>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9"/>
    </w:p>
    <w:p w14:paraId="17C89E23">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磋商小组</w:t>
      </w:r>
    </w:p>
    <w:p w14:paraId="5E7D5124">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评审工作由依法组建的磋商小组负责。磋商小组由采购人代表和评审专家共</w:t>
      </w:r>
      <w:r>
        <w:rPr>
          <w:rFonts w:ascii="宋体" w:hAnsi="宋体" w:cs="楷体_GB2312"/>
          <w:color w:val="auto"/>
          <w:sz w:val="24"/>
          <w:lang w:val="zh-CN"/>
        </w:rPr>
        <w:t>3</w:t>
      </w:r>
      <w:r>
        <w:rPr>
          <w:rFonts w:hint="eastAsia" w:ascii="宋体" w:hAnsi="宋体" w:cs="楷体_GB2312"/>
          <w:color w:val="auto"/>
          <w:sz w:val="24"/>
          <w:lang w:val="zh-CN"/>
        </w:rPr>
        <w:t>人及以上单数组成，其中评审专家人数不少于磋商小组成员总数的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14:paraId="7850180C">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14:paraId="66C84467">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坚持公开、公平、公正地对待所有供应商。</w:t>
      </w:r>
    </w:p>
    <w:p w14:paraId="12DEBD93">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按照同一评审程序及方法审查所有供应商的《响应文件》。</w:t>
      </w:r>
    </w:p>
    <w:p w14:paraId="60BFA708">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14:paraId="37D76504">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14:paraId="00DF92C7">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rPr>
        <w:t xml:space="preserve"> </w:t>
      </w:r>
      <w:r>
        <w:rPr>
          <w:rFonts w:hint="eastAsia" w:ascii="宋体" w:hAnsi="宋体" w:cs="楷体_GB2312"/>
          <w:color w:val="auto"/>
          <w:sz w:val="24"/>
          <w:lang w:val="zh-CN"/>
        </w:rPr>
        <w:t>评审工作在磋商小组内独立进行。磋商小组按照第四章“评审办法”规定的方法、评审因素、标准和程序对《响应文件》进行评审。第四章“评审办法”没有规定的方法、评审因素和标准，不作为评审依据。</w:t>
      </w:r>
    </w:p>
    <w:p w14:paraId="6242F957">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rPr>
        <w:t xml:space="preserve"> </w:t>
      </w:r>
      <w:r>
        <w:rPr>
          <w:rFonts w:hint="eastAsia" w:ascii="宋体" w:hAnsi="宋体" w:cs="楷体_GB2312"/>
          <w:color w:val="auto"/>
          <w:sz w:val="24"/>
          <w:lang w:val="zh-CN"/>
        </w:rPr>
        <w:t>在《响应文件》开启、评审期间，供应商不得向磋商小组成员询问情况，不得进行旨在影响评审结果的活动。</w:t>
      </w:r>
    </w:p>
    <w:p w14:paraId="5284F174">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磋商：</w:t>
      </w:r>
      <w:r>
        <w:rPr>
          <w:rFonts w:hint="eastAsia" w:ascii="宋体" w:hAnsi="宋体" w:cs="楷体_GB2312"/>
          <w:color w:val="auto"/>
          <w:sz w:val="24"/>
          <w:lang w:val="zh-CN"/>
        </w:rPr>
        <w:t>见第四章“评审办法”</w:t>
      </w:r>
      <w:r>
        <w:rPr>
          <w:rFonts w:ascii="宋体" w:hAnsi="宋体" w:cs="楷体_GB2312"/>
          <w:color w:val="auto"/>
          <w:sz w:val="24"/>
          <w:lang w:val="zh-CN"/>
        </w:rPr>
        <w:t>3.4</w:t>
      </w:r>
      <w:r>
        <w:rPr>
          <w:rFonts w:hint="eastAsia" w:ascii="宋体" w:hAnsi="宋体" w:cs="楷体_GB2312"/>
          <w:color w:val="auto"/>
          <w:sz w:val="24"/>
          <w:lang w:val="zh-CN"/>
        </w:rPr>
        <w:t>款磋商规则。</w:t>
      </w:r>
    </w:p>
    <w:p w14:paraId="5CE4C5D1">
      <w:pPr>
        <w:autoSpaceDE w:val="0"/>
        <w:autoSpaceDN w:val="0"/>
        <w:adjustRightInd w:val="0"/>
        <w:snapToGrid w:val="0"/>
        <w:spacing w:before="120" w:beforeLines="50" w:line="300" w:lineRule="auto"/>
        <w:ind w:firstLine="539"/>
        <w:rPr>
          <w:rFonts w:ascii="宋体" w:cs="楷体_GB2312"/>
          <w:color w:val="auto"/>
          <w:sz w:val="24"/>
          <w:lang w:val="zh-CN"/>
        </w:rPr>
      </w:pPr>
    </w:p>
    <w:p w14:paraId="5C3DAFEC">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30" w:name="_Toc24309"/>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30"/>
    </w:p>
    <w:p w14:paraId="27A87046">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14:paraId="7D70A551">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除供应商须知前附表规定授权磋商小组直接确定成交供应商外，采购人应当自收到评审报告之日起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556F07F2">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14:paraId="378C25D7">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采购代理机构在成交供应商确定当天在竞争性磋商公告所述媒体公告成交结果。同时向成交供应商发出成交通知书。成交结果公告期限为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14:paraId="44703C8B">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w:t>
      </w:r>
    </w:p>
    <w:p w14:paraId="7F05D559">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7.3.1</w:t>
      </w:r>
      <w:r>
        <w:rPr>
          <w:rFonts w:hint="eastAsia" w:ascii="宋体" w:hAnsi="宋体" w:cs="楷体_GB2312"/>
          <w:color w:val="auto"/>
          <w:sz w:val="24"/>
        </w:rPr>
        <w:t xml:space="preserve"> </w:t>
      </w:r>
      <w:r>
        <w:rPr>
          <w:rFonts w:hint="eastAsia" w:ascii="宋体" w:hAnsi="宋体" w:cs="楷体_GB2312"/>
          <w:color w:val="auto"/>
          <w:sz w:val="24"/>
          <w:lang w:val="zh-CN"/>
        </w:rPr>
        <w:t>见供应商须知前附表。</w:t>
      </w:r>
    </w:p>
    <w:p w14:paraId="74E9029B">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7.3.2</w:t>
      </w:r>
      <w:r>
        <w:rPr>
          <w:rFonts w:hint="eastAsia" w:ascii="宋体" w:hAnsi="宋体" w:cs="楷体_GB2312"/>
          <w:color w:val="auto"/>
          <w:sz w:val="24"/>
        </w:rPr>
        <w:t xml:space="preserve"> </w:t>
      </w:r>
      <w:r>
        <w:rPr>
          <w:rFonts w:hint="eastAsia" w:ascii="宋体" w:hAnsi="宋体" w:cs="楷体_GB2312"/>
          <w:color w:val="auto"/>
          <w:sz w:val="24"/>
          <w:lang w:val="zh-CN"/>
        </w:rPr>
        <w:t>询问或者质疑事项可能影响成交结果的，采购人应当暂停签订合同，已经签订合同的，应当中止履行合同。</w:t>
      </w:r>
    </w:p>
    <w:p w14:paraId="6605E174">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见供应商须知前附表。</w:t>
      </w:r>
    </w:p>
    <w:p w14:paraId="0F9D9C60">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14:paraId="051CBDFA">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rPr>
        <w:t xml:space="preserve"> </w:t>
      </w:r>
      <w:r>
        <w:rPr>
          <w:rFonts w:hint="eastAsia" w:ascii="宋体" w:hAnsi="宋体" w:cs="楷体_GB2312"/>
          <w:color w:val="auto"/>
          <w:sz w:val="24"/>
          <w:lang w:val="zh-CN"/>
        </w:rPr>
        <w:t>在签订合同时，成交供应商应按供应商须知前附表规定向采购人提交履约保证金。</w:t>
      </w:r>
    </w:p>
    <w:p w14:paraId="22B6D3EF">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项要求提交履约保证金的，视为放弃成交资格，依据《磋商文件》“第三章</w:t>
      </w:r>
      <w:r>
        <w:rPr>
          <w:rFonts w:hint="eastAsia" w:ascii="宋体" w:hAnsi="宋体" w:cs="楷体_GB2312"/>
          <w:color w:val="auto"/>
          <w:sz w:val="24"/>
        </w:rPr>
        <w:t xml:space="preserve"> </w:t>
      </w:r>
      <w:r>
        <w:rPr>
          <w:rFonts w:hint="eastAsia" w:ascii="宋体" w:hAnsi="宋体" w:cs="楷体_GB2312"/>
          <w:color w:val="auto"/>
          <w:sz w:val="24"/>
          <w:lang w:val="zh-CN"/>
        </w:rPr>
        <w:t>3.5.5 违背承诺的责任追究措施”，供应商承担相应法律责任及违约责任。给采购人及采购代理机构造成损失的，成交供应商应当予以赔偿。</w:t>
      </w:r>
    </w:p>
    <w:p w14:paraId="325D2511">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14:paraId="04F294F0">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7.6.1 </w:t>
      </w:r>
      <w:r>
        <w:rPr>
          <w:rFonts w:hint="eastAsia" w:ascii="宋体" w:hAnsi="宋体" w:cs="楷体_GB2312"/>
          <w:color w:val="auto"/>
          <w:sz w:val="24"/>
          <w:lang w:val="zh-CN"/>
        </w:rPr>
        <w:t>据优化营商环境精神，成交供应商应在《成交通知书》发出后2个工作日内，按照《磋商文件》确定的合同文本以及成交标的、技术和服务等事项与采购人签订书面政府采购合同。</w:t>
      </w:r>
    </w:p>
    <w:p w14:paraId="3C3ABBBB">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7.6.2 </w:t>
      </w:r>
      <w:r>
        <w:rPr>
          <w:rFonts w:hint="eastAsia" w:ascii="宋体" w:hAnsi="宋体" w:cs="楷体_GB2312"/>
          <w:color w:val="auto"/>
          <w:sz w:val="24"/>
          <w:lang w:val="zh-CN"/>
        </w:rPr>
        <w:t>如成交供应商不按时签订合同、拒签合同的，取消其成交资格，依据《磋商文件》“第三章</w:t>
      </w:r>
      <w:r>
        <w:rPr>
          <w:rFonts w:hint="eastAsia" w:ascii="宋体" w:hAnsi="宋体" w:cs="楷体_GB2312"/>
          <w:color w:val="auto"/>
          <w:sz w:val="24"/>
        </w:rPr>
        <w:t xml:space="preserve"> </w:t>
      </w:r>
      <w:r>
        <w:rPr>
          <w:rFonts w:hint="eastAsia" w:ascii="宋体" w:hAnsi="宋体" w:cs="楷体_GB2312"/>
          <w:color w:val="auto"/>
          <w:sz w:val="24"/>
          <w:lang w:val="zh-CN"/>
        </w:rPr>
        <w:t>3.5.5 违背承诺的责任追究措施”，供应商承担相应法律责任及违约责任。给采购人造成的损失，成交供应商应予以赔偿。</w:t>
      </w:r>
    </w:p>
    <w:p w14:paraId="4F91AB16">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7.6.3</w:t>
      </w:r>
      <w:r>
        <w:rPr>
          <w:rFonts w:hint="eastAsia" w:ascii="宋体" w:hAnsi="宋体" w:cs="楷体_GB2312"/>
          <w:color w:val="auto"/>
          <w:sz w:val="24"/>
        </w:rPr>
        <w:t xml:space="preserve"> </w:t>
      </w:r>
      <w:r>
        <w:rPr>
          <w:rFonts w:hint="eastAsia" w:ascii="宋体" w:hAnsi="宋体" w:cs="楷体_GB2312"/>
          <w:color w:val="auto"/>
          <w:sz w:val="24"/>
          <w:lang w:val="zh-CN"/>
        </w:rPr>
        <w:t>合同生效：成交供应商与采购人签订的合同，双方签字后盖章生效。采购人要在合同签订后1个工作日内登陆安阳市政府采购网进行备案并公告。</w:t>
      </w:r>
    </w:p>
    <w:p w14:paraId="2E6CDAC1">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7.6.4</w:t>
      </w:r>
      <w:r>
        <w:rPr>
          <w:rFonts w:hint="eastAsia" w:ascii="宋体" w:hAnsi="宋体" w:cs="楷体_GB2312"/>
          <w:color w:val="auto"/>
          <w:sz w:val="24"/>
        </w:rPr>
        <w:t xml:space="preserve"> </w:t>
      </w:r>
      <w:r>
        <w:rPr>
          <w:rFonts w:hint="eastAsia" w:ascii="宋体" w:hAnsi="宋体" w:cs="楷体_GB2312"/>
          <w:color w:val="auto"/>
          <w:sz w:val="24"/>
          <w:lang w:val="zh-CN"/>
        </w:rPr>
        <w:t>《成交通知书》、《磋商文件》及其修改补充澄清、成交供应商的《响应文件》及其修改补充澄清等，均为签订合同的依据。所定合同不得对《磋商文件》和成交供应商的《响应文件》作实质性修改，采购人和成交供应商不得私下订立背离合同实质性内容的协议。</w:t>
      </w:r>
    </w:p>
    <w:p w14:paraId="52C92069">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7.6.5 </w:t>
      </w:r>
      <w:r>
        <w:rPr>
          <w:rFonts w:hint="eastAsia" w:ascii="宋体" w:hAnsi="宋体" w:cs="楷体_GB2312"/>
          <w:color w:val="auto"/>
          <w:sz w:val="24"/>
          <w:lang w:val="zh-CN"/>
        </w:rPr>
        <w:t>评审会后，成交供应商、采购人之间擅自私下谈判、变更中标（成交）标的、价格及《磋商文件》《响应文件》实质性内容的，有关部门将按《中华人民共和国政府采购法》及相关法规的规定处理。</w:t>
      </w:r>
    </w:p>
    <w:p w14:paraId="6F55EB61">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7.6.</w:t>
      </w:r>
      <w:r>
        <w:rPr>
          <w:rFonts w:hint="eastAsia" w:ascii="宋体" w:hAnsi="宋体" w:cs="楷体_GB2312"/>
          <w:color w:val="auto"/>
          <w:sz w:val="24"/>
          <w:lang w:val="zh-CN"/>
        </w:rPr>
        <w:t>6</w:t>
      </w:r>
      <w:r>
        <w:rPr>
          <w:rFonts w:ascii="宋体" w:hAnsi="宋体" w:cs="楷体_GB2312"/>
          <w:color w:val="auto"/>
          <w:sz w:val="24"/>
          <w:lang w:val="zh-CN"/>
        </w:rPr>
        <w:t xml:space="preserve"> </w:t>
      </w:r>
      <w:r>
        <w:rPr>
          <w:rFonts w:hint="eastAsia" w:ascii="宋体" w:hAnsi="宋体" w:cs="楷体_GB2312"/>
          <w:color w:val="auto"/>
          <w:sz w:val="24"/>
          <w:lang w:val="zh-CN"/>
        </w:rPr>
        <w:t>采购人与成交供应商签订《政府采购合同》后，合同履行中产生的纠纷、争议，由采购人与成交供应商按合同条款及《中华人民共和国民法典》处理。</w:t>
      </w:r>
    </w:p>
    <w:p w14:paraId="26993156">
      <w:pPr>
        <w:widowControl w:val="0"/>
        <w:adjustRightInd w:val="0"/>
        <w:snapToGrid w:val="0"/>
        <w:spacing w:before="120" w:beforeLines="50" w:line="300" w:lineRule="auto"/>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14:paraId="37A96F54">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7.7.1 </w:t>
      </w:r>
      <w:r>
        <w:rPr>
          <w:rFonts w:hint="eastAsia" w:ascii="宋体" w:hAnsi="宋体" w:cs="楷体_GB2312"/>
          <w:color w:val="auto"/>
          <w:sz w:val="24"/>
          <w:lang w:val="zh-CN"/>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w:t>
      </w:r>
      <w:r>
        <w:rPr>
          <w:rFonts w:ascii="宋体" w:hAnsi="宋体" w:cs="楷体_GB2312"/>
          <w:color w:val="auto"/>
          <w:sz w:val="24"/>
          <w:lang w:val="zh-CN"/>
        </w:rPr>
        <w:t>10%</w:t>
      </w:r>
      <w:r>
        <w:rPr>
          <w:rFonts w:hint="eastAsia" w:ascii="宋体" w:hAnsi="宋体" w:cs="楷体_GB2312"/>
          <w:color w:val="auto"/>
          <w:sz w:val="24"/>
          <w:lang w:val="zh-CN"/>
        </w:rPr>
        <w:t>，不得调增原合同单价，不得超出项目预算，超过原合同采购金额的</w:t>
      </w:r>
      <w:r>
        <w:rPr>
          <w:rFonts w:ascii="宋体" w:hAnsi="宋体" w:cs="楷体_GB2312"/>
          <w:color w:val="auto"/>
          <w:sz w:val="24"/>
          <w:lang w:val="zh-CN"/>
        </w:rPr>
        <w:t>10%</w:t>
      </w:r>
      <w:r>
        <w:rPr>
          <w:rFonts w:hint="eastAsia" w:ascii="宋体" w:hAnsi="宋体" w:cs="楷体_GB2312"/>
          <w:color w:val="auto"/>
          <w:sz w:val="24"/>
          <w:lang w:val="zh-CN"/>
        </w:rPr>
        <w:t>，应重新组织采购活动。</w:t>
      </w:r>
    </w:p>
    <w:p w14:paraId="2906A490">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7.7.2</w:t>
      </w:r>
      <w:r>
        <w:rPr>
          <w:rFonts w:hint="eastAsia" w:ascii="宋体" w:hAnsi="宋体" w:cs="楷体_GB2312"/>
          <w:color w:val="auto"/>
          <w:sz w:val="24"/>
        </w:rPr>
        <w:t xml:space="preserve"> </w:t>
      </w:r>
      <w:r>
        <w:rPr>
          <w:rFonts w:hint="eastAsia" w:ascii="宋体" w:hAnsi="宋体" w:cs="楷体_GB2312"/>
          <w:color w:val="auto"/>
          <w:sz w:val="24"/>
          <w:lang w:val="zh-CN"/>
        </w:rPr>
        <w:t>采购人需追加或减少的货物、工程和服务的金额达到</w:t>
      </w:r>
      <w:r>
        <w:rPr>
          <w:rFonts w:ascii="宋体" w:hAnsi="宋体" w:cs="楷体_GB2312"/>
          <w:color w:val="auto"/>
          <w:sz w:val="24"/>
          <w:lang w:val="zh-CN"/>
        </w:rPr>
        <w:t>50</w:t>
      </w:r>
      <w:r>
        <w:rPr>
          <w:rFonts w:hint="eastAsia" w:ascii="宋体" w:hAnsi="宋体" w:cs="楷体_GB2312"/>
          <w:color w:val="auto"/>
          <w:sz w:val="24"/>
          <w:lang w:val="zh-CN"/>
        </w:rPr>
        <w:t>万元以上（含</w:t>
      </w:r>
      <w:r>
        <w:rPr>
          <w:rFonts w:ascii="宋体" w:hAnsi="宋体" w:cs="楷体_GB2312"/>
          <w:color w:val="auto"/>
          <w:sz w:val="24"/>
          <w:lang w:val="zh-CN"/>
        </w:rPr>
        <w:t>50</w:t>
      </w:r>
      <w:r>
        <w:rPr>
          <w:rFonts w:hint="eastAsia" w:ascii="宋体" w:hAnsi="宋体" w:cs="楷体_GB2312"/>
          <w:color w:val="auto"/>
          <w:sz w:val="24"/>
          <w:lang w:val="zh-CN"/>
        </w:rPr>
        <w:t>万元）、且超过中标（成交）价</w:t>
      </w:r>
      <w:r>
        <w:rPr>
          <w:rFonts w:ascii="宋体" w:hAnsi="宋体" w:cs="楷体_GB2312"/>
          <w:color w:val="auto"/>
          <w:sz w:val="24"/>
          <w:lang w:val="zh-CN"/>
        </w:rPr>
        <w:t>3%</w:t>
      </w:r>
      <w:r>
        <w:rPr>
          <w:rFonts w:hint="eastAsia" w:ascii="宋体" w:hAnsi="宋体" w:cs="楷体_GB2312"/>
          <w:color w:val="auto"/>
          <w:sz w:val="24"/>
          <w:lang w:val="zh-CN"/>
        </w:rPr>
        <w:t>的，采购人应当自确定变更之日起</w:t>
      </w:r>
      <w:r>
        <w:rPr>
          <w:rFonts w:ascii="宋体" w:hAnsi="宋体" w:cs="楷体_GB2312"/>
          <w:color w:val="auto"/>
          <w:sz w:val="24"/>
          <w:lang w:val="zh-CN"/>
        </w:rPr>
        <w:t>5</w:t>
      </w:r>
      <w:r>
        <w:rPr>
          <w:rFonts w:hint="eastAsia" w:ascii="宋体" w:hAnsi="宋体" w:cs="楷体_GB2312"/>
          <w:color w:val="auto"/>
          <w:sz w:val="24"/>
          <w:lang w:val="zh-CN"/>
        </w:rPr>
        <w:t>个工作日内将变更情况及事由报送同级监察机关。</w:t>
      </w:r>
    </w:p>
    <w:p w14:paraId="29744CAD">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采购项目在中标（成交）后经有关行政机关批准变更的，批准的行政机关应当自批准之日起</w:t>
      </w:r>
      <w:r>
        <w:rPr>
          <w:rFonts w:ascii="宋体" w:hAnsi="宋体" w:cs="楷体_GB2312"/>
          <w:color w:val="auto"/>
          <w:sz w:val="24"/>
          <w:lang w:val="zh-CN"/>
        </w:rPr>
        <w:t>3</w:t>
      </w:r>
      <w:r>
        <w:rPr>
          <w:rFonts w:hint="eastAsia" w:ascii="宋体" w:hAnsi="宋体" w:cs="楷体_GB2312"/>
          <w:color w:val="auto"/>
          <w:sz w:val="24"/>
          <w:lang w:val="zh-CN"/>
        </w:rPr>
        <w:t>个工作日内将批准文件抄送同级监察机关备案。</w:t>
      </w:r>
    </w:p>
    <w:p w14:paraId="75FD08A1">
      <w:pPr>
        <w:widowControl w:val="0"/>
        <w:adjustRightInd w:val="0"/>
        <w:snapToGrid w:val="0"/>
        <w:spacing w:before="120" w:beforeLines="50" w:line="300" w:lineRule="auto"/>
        <w:ind w:firstLine="555"/>
        <w:rPr>
          <w:color w:val="auto"/>
          <w:sz w:val="24"/>
          <w:szCs w:val="24"/>
        </w:rPr>
      </w:pPr>
    </w:p>
    <w:p w14:paraId="0B617A2C">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31" w:name="_Toc16588"/>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1"/>
    </w:p>
    <w:p w14:paraId="08C5446A">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8.1</w:t>
      </w:r>
      <w:r>
        <w:rPr>
          <w:rFonts w:hint="eastAsia" w:ascii="宋体" w:hAnsi="宋体" w:cs="楷体_GB2312"/>
          <w:color w:val="auto"/>
          <w:sz w:val="24"/>
        </w:rPr>
        <w:t xml:space="preserve"> </w:t>
      </w:r>
      <w:r>
        <w:rPr>
          <w:rFonts w:hint="eastAsia" w:ascii="宋体" w:hAnsi="宋体" w:cs="楷体_GB2312"/>
          <w:color w:val="auto"/>
          <w:sz w:val="24"/>
          <w:lang w:val="zh-CN"/>
        </w:rPr>
        <w:t>验收时间：项目具备验收条件时，由采购人成立验收工作组负责验收。技术复杂、社会影响较大的货物类项目，可以根据需要设置出厂检验、到货检验、安装调试检验、配套服务检验等多重验收环节；服务类项目，可根据项目特点对交验期内的服务实施情况进行分期考核，结合考核情况和服务效果进行验收。</w:t>
      </w:r>
    </w:p>
    <w:p w14:paraId="3E546AD6">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rPr>
        <w:t xml:space="preserve"> </w:t>
      </w:r>
      <w:r>
        <w:rPr>
          <w:rFonts w:hint="eastAsia" w:ascii="宋体" w:hAnsi="宋体" w:cs="楷体_GB2312"/>
          <w:color w:val="auto"/>
          <w:sz w:val="24"/>
          <w:lang w:val="zh-CN"/>
        </w:rPr>
        <w:t>验收工作组：合同履约验收工作应成立验收工作组专门负责。</w:t>
      </w:r>
    </w:p>
    <w:p w14:paraId="58AA00EA">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w:t>
      </w:r>
    </w:p>
    <w:p w14:paraId="799DAA67">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8.2.1</w:t>
      </w:r>
      <w:r>
        <w:rPr>
          <w:rFonts w:hint="eastAsia" w:ascii="宋体" w:hAnsi="宋体" w:cs="楷体_GB2312"/>
          <w:color w:val="auto"/>
          <w:sz w:val="24"/>
        </w:rPr>
        <w:t xml:space="preserve"> </w:t>
      </w:r>
      <w:r>
        <w:rPr>
          <w:rFonts w:hint="eastAsia" w:ascii="宋体" w:hAnsi="宋体" w:cs="楷体_GB2312"/>
          <w:color w:val="auto"/>
          <w:sz w:val="24"/>
          <w:lang w:val="zh-CN"/>
        </w:rPr>
        <w:t>政府采购合同金额在10万元以下（含10万元）的项目，原则上可以不邀请评审专家参加，组织方成立验收小组自行验收。自行验收时，验收小组应仔细对照《磋商文件》及合同，对标的物的数量、质量、规格、型号等参数逐一核对，并编制验收报告。组织方认为不能独立完成验收任务的，可以邀请评审专家参与验收。</w:t>
      </w:r>
    </w:p>
    <w:p w14:paraId="53B74AAA">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8.2.2</w:t>
      </w:r>
      <w:r>
        <w:rPr>
          <w:rFonts w:hint="eastAsia" w:ascii="宋体" w:hAnsi="宋体" w:cs="楷体_GB2312"/>
          <w:color w:val="auto"/>
          <w:sz w:val="24"/>
        </w:rPr>
        <w:t xml:space="preserve"> </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采购人领导牵头，财务、审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可专业检测机构进行验收。</w:t>
      </w:r>
    </w:p>
    <w:p w14:paraId="2B09880D">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8.3</w:t>
      </w:r>
      <w:r>
        <w:rPr>
          <w:rFonts w:hint="eastAsia" w:ascii="宋体" w:hAnsi="宋体" w:cs="楷体_GB2312"/>
          <w:color w:val="auto"/>
          <w:sz w:val="24"/>
        </w:rPr>
        <w:t xml:space="preserve"> </w:t>
      </w:r>
      <w:r>
        <w:rPr>
          <w:rFonts w:hint="eastAsia" w:ascii="宋体" w:hAnsi="宋体" w:cs="楷体_GB2312"/>
          <w:color w:val="auto"/>
          <w:sz w:val="24"/>
          <w:lang w:val="zh-CN"/>
        </w:rPr>
        <w:t>验收时，验收小组按照采购合同的约定对每一项技术、服务、安全标准的履约情况进行确认。验收时需要进行破坏性试验的，供应商应进行充分的配合并提供备品备件。</w:t>
      </w:r>
    </w:p>
    <w:p w14:paraId="153A8E6D">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8.</w:t>
      </w:r>
      <w:r>
        <w:rPr>
          <w:rFonts w:hint="eastAsia" w:ascii="宋体" w:hAnsi="宋体" w:cs="楷体_GB2312"/>
          <w:color w:val="auto"/>
          <w:sz w:val="24"/>
          <w:lang w:val="zh-CN"/>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验收报告：验收后，由采购人及专家等出具验收报告（自行验收的，由采购人出具），国家规定强制性检测的采购项目应附国家认可的专业检测机构出具的验收报告。</w:t>
      </w:r>
    </w:p>
    <w:p w14:paraId="705BC5FC">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8.5</w:t>
      </w:r>
      <w:r>
        <w:rPr>
          <w:rFonts w:hint="eastAsia" w:ascii="宋体" w:hAnsi="宋体" w:cs="楷体_GB2312"/>
          <w:color w:val="auto"/>
          <w:sz w:val="24"/>
        </w:rPr>
        <w:t xml:space="preserve"> </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3E1B389C">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8.6 验收公告的时限：采购人要在政府采购项目验收完成后1个工作日内登陆安阳市政府采购网进行验收公告。</w:t>
      </w:r>
    </w:p>
    <w:p w14:paraId="2A2128C0">
      <w:pPr>
        <w:widowControl w:val="0"/>
        <w:adjustRightInd w:val="0"/>
        <w:snapToGrid w:val="0"/>
        <w:spacing w:before="120" w:beforeLines="50" w:line="300" w:lineRule="auto"/>
        <w:ind w:firstLine="561"/>
        <w:rPr>
          <w:rFonts w:ascii="宋体" w:cs="楷体_GB2312"/>
          <w:color w:val="auto"/>
          <w:sz w:val="24"/>
          <w:lang w:val="zh-CN"/>
        </w:rPr>
      </w:pPr>
    </w:p>
    <w:p w14:paraId="3C99CE93">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32" w:name="_Toc6766"/>
      <w:r>
        <w:rPr>
          <w:rFonts w:ascii="黑体" w:hAnsi="黑体" w:eastAsia="黑体" w:cs="楷体_GB2312"/>
          <w:b/>
          <w:bCs/>
          <w:color w:val="auto"/>
          <w:sz w:val="28"/>
          <w:szCs w:val="28"/>
          <w:lang w:val="zh-CN"/>
        </w:rPr>
        <w:t xml:space="preserve">9. </w:t>
      </w:r>
      <w:r>
        <w:rPr>
          <w:rFonts w:hint="eastAsia" w:ascii="黑体" w:hAnsi="黑体" w:eastAsia="黑体" w:cs="楷体_GB2312"/>
          <w:b/>
          <w:bCs/>
          <w:color w:val="auto"/>
          <w:sz w:val="28"/>
          <w:szCs w:val="28"/>
          <w:lang w:val="zh-CN"/>
        </w:rPr>
        <w:t>付款</w:t>
      </w:r>
      <w:bookmarkEnd w:id="32"/>
    </w:p>
    <w:p w14:paraId="50713F47">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见供应商须知前附表。</w:t>
      </w:r>
    </w:p>
    <w:p w14:paraId="7608FEA3">
      <w:pPr>
        <w:widowControl w:val="0"/>
        <w:adjustRightInd w:val="0"/>
        <w:snapToGrid w:val="0"/>
        <w:spacing w:before="120" w:beforeLines="50" w:line="300" w:lineRule="auto"/>
        <w:ind w:firstLine="561"/>
        <w:rPr>
          <w:rFonts w:ascii="黑体" w:hAnsi="黑体" w:eastAsia="黑体" w:cs="楷体_GB2312"/>
          <w:b/>
          <w:bCs/>
          <w:color w:val="auto"/>
          <w:sz w:val="28"/>
          <w:szCs w:val="28"/>
          <w:lang w:val="zh-CN"/>
        </w:rPr>
      </w:pPr>
    </w:p>
    <w:p w14:paraId="13486756">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33" w:name="_Toc24325"/>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3"/>
    </w:p>
    <w:p w14:paraId="4051BC3A">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10.1</w:t>
      </w:r>
      <w:r>
        <w:rPr>
          <w:rFonts w:hint="eastAsia" w:ascii="宋体" w:hAnsi="宋体" w:cs="楷体_GB2312"/>
          <w:color w:val="auto"/>
          <w:sz w:val="24"/>
        </w:rPr>
        <w:t xml:space="preserve"> 代理服务费</w:t>
      </w:r>
      <w:r>
        <w:rPr>
          <w:rFonts w:hint="eastAsia" w:ascii="宋体" w:hAnsi="宋体" w:cs="楷体_GB2312"/>
          <w:color w:val="auto"/>
          <w:sz w:val="24"/>
          <w:lang w:val="zh-CN"/>
        </w:rPr>
        <w:t>等：见供应商须知前附表。</w:t>
      </w:r>
    </w:p>
    <w:p w14:paraId="6D4CC300">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10.2 近义解释。《磋商文件》中：“投标”同义“递交《响应文件》”，“</w:t>
      </w:r>
      <w:r>
        <w:rPr>
          <w:rFonts w:hint="eastAsia" w:ascii="宋体" w:hAnsi="宋体" w:cs="楷体_GB2312"/>
          <w:color w:val="auto"/>
          <w:sz w:val="24"/>
        </w:rPr>
        <w:t>投标人</w:t>
      </w:r>
      <w:r>
        <w:rPr>
          <w:rFonts w:hint="eastAsia" w:ascii="宋体" w:hAnsi="宋体" w:cs="楷体_GB2312"/>
          <w:color w:val="auto"/>
          <w:sz w:val="24"/>
          <w:lang w:val="zh-CN"/>
        </w:rPr>
        <w:t>”同义“递交《响应文件》的</w:t>
      </w:r>
      <w:r>
        <w:rPr>
          <w:rFonts w:hint="eastAsia" w:ascii="宋体" w:hAnsi="宋体" w:cs="楷体_GB2312"/>
          <w:color w:val="auto"/>
          <w:sz w:val="24"/>
        </w:rPr>
        <w:t>供应商</w:t>
      </w:r>
      <w:r>
        <w:rPr>
          <w:rFonts w:hint="eastAsia" w:ascii="宋体" w:hAnsi="宋体" w:cs="楷体_GB2312"/>
          <w:color w:val="auto"/>
          <w:sz w:val="24"/>
          <w:lang w:val="zh-CN"/>
        </w:rPr>
        <w:t>”，“《</w:t>
      </w:r>
      <w:r>
        <w:rPr>
          <w:rFonts w:hint="eastAsia" w:ascii="宋体" w:hAnsi="宋体" w:cs="楷体_GB2312"/>
          <w:color w:val="auto"/>
          <w:sz w:val="24"/>
        </w:rPr>
        <w:t>投标</w:t>
      </w:r>
      <w:r>
        <w:rPr>
          <w:rFonts w:hint="eastAsia" w:ascii="宋体" w:hAnsi="宋体" w:cs="楷体_GB2312"/>
          <w:color w:val="auto"/>
          <w:sz w:val="24"/>
          <w:lang w:val="zh-CN"/>
        </w:rPr>
        <w:t>文件》”同义“《</w:t>
      </w:r>
      <w:r>
        <w:rPr>
          <w:rFonts w:hint="eastAsia" w:ascii="宋体" w:hAnsi="宋体" w:cs="楷体_GB2312"/>
          <w:color w:val="auto"/>
          <w:sz w:val="24"/>
        </w:rPr>
        <w:t>响应</w:t>
      </w:r>
      <w:r>
        <w:rPr>
          <w:rFonts w:hint="eastAsia" w:ascii="宋体" w:hAnsi="宋体" w:cs="楷体_GB2312"/>
          <w:color w:val="auto"/>
          <w:sz w:val="24"/>
          <w:lang w:val="zh-CN"/>
        </w:rPr>
        <w:t>文件》”，“中标”同义“成交”，“中标</w:t>
      </w:r>
      <w:r>
        <w:rPr>
          <w:rFonts w:hint="eastAsia" w:ascii="宋体" w:hAnsi="宋体" w:cs="楷体_GB2312"/>
          <w:color w:val="auto"/>
          <w:sz w:val="24"/>
        </w:rPr>
        <w:t>人</w:t>
      </w:r>
      <w:r>
        <w:rPr>
          <w:rFonts w:hint="eastAsia" w:ascii="宋体" w:hAnsi="宋体" w:cs="楷体_GB2312"/>
          <w:color w:val="auto"/>
          <w:sz w:val="24"/>
          <w:lang w:val="zh-CN"/>
        </w:rPr>
        <w:t>”同义“成交供应商”，“</w:t>
      </w:r>
      <w:r>
        <w:rPr>
          <w:rFonts w:hint="eastAsia" w:ascii="宋体" w:hAnsi="宋体" w:cs="楷体_GB2312"/>
          <w:color w:val="auto"/>
          <w:sz w:val="24"/>
        </w:rPr>
        <w:t>开标</w:t>
      </w:r>
      <w:r>
        <w:rPr>
          <w:rFonts w:hint="eastAsia" w:ascii="宋体" w:hAnsi="宋体" w:cs="楷体_GB2312"/>
          <w:color w:val="auto"/>
          <w:sz w:val="24"/>
          <w:lang w:val="zh-CN"/>
        </w:rPr>
        <w:t>”同义“《响应文件》的开启”。</w:t>
      </w:r>
    </w:p>
    <w:p w14:paraId="2E19727E">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10.3 供应商资格条件中包含非法人单位的，《磋商文件》中法定代表人一词相应包含表示证照标示的负责人； 供应商资格条件中包含自然人的，《磋商文件》中法定代表人一词相应包含表示自然人，自然人应由其本人签署《响应文件》、参加投标，不应再授权他人。</w:t>
      </w:r>
    </w:p>
    <w:p w14:paraId="567C425E">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10.4</w:t>
      </w:r>
      <w:r>
        <w:rPr>
          <w:rFonts w:hint="eastAsia" w:ascii="宋体" w:hAnsi="宋体" w:cs="楷体_GB2312"/>
          <w:color w:val="auto"/>
          <w:sz w:val="24"/>
        </w:rPr>
        <w:t xml:space="preserve"> </w:t>
      </w:r>
      <w:r>
        <w:rPr>
          <w:rFonts w:hint="eastAsia" w:ascii="宋体" w:hAnsi="宋体" w:cs="楷体_GB2312"/>
          <w:color w:val="auto"/>
          <w:sz w:val="24"/>
          <w:lang w:val="zh-CN"/>
        </w:rPr>
        <w:t>《磋商文件》第一章至第四章各章中，用序号标示条、款、项、目，例如：1为第1 条，1.1为第1条第1款（简称1.1款），1.1.1为第1条第1款第1项（简称1.1.1项）。“条”包含款、项、目；“款”包含项、目；“项”包含目。</w:t>
      </w:r>
    </w:p>
    <w:p w14:paraId="6EDC3CC8">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lang w:val="zh-CN"/>
        </w:rPr>
      </w:pPr>
    </w:p>
    <w:p w14:paraId="564AA79D">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34" w:name="_Toc58855443"/>
      <w:bookmarkStart w:id="35" w:name="_Toc28669"/>
      <w:r>
        <w:rPr>
          <w:rFonts w:ascii="黑体" w:hAnsi="黑体" w:eastAsia="黑体" w:cs="楷体_GB2312"/>
          <w:b/>
          <w:bCs/>
          <w:color w:val="auto"/>
          <w:sz w:val="28"/>
          <w:szCs w:val="28"/>
          <w:lang w:val="zh-CN"/>
        </w:rPr>
        <w:t>1</w:t>
      </w:r>
      <w:r>
        <w:rPr>
          <w:rFonts w:hint="eastAsia" w:ascii="黑体" w:hAnsi="黑体" w:eastAsia="黑体" w:cs="楷体_GB2312"/>
          <w:b/>
          <w:bCs/>
          <w:color w:val="auto"/>
          <w:sz w:val="28"/>
          <w:szCs w:val="28"/>
          <w:lang w:val="zh-CN"/>
        </w:rPr>
        <w:t>1</w:t>
      </w:r>
      <w:r>
        <w:rPr>
          <w:rFonts w:ascii="黑体" w:hAnsi="黑体" w:eastAsia="黑体" w:cs="楷体_GB2312"/>
          <w:b/>
          <w:bCs/>
          <w:color w:val="auto"/>
          <w:sz w:val="28"/>
          <w:szCs w:val="28"/>
          <w:lang w:val="zh-CN"/>
        </w:rPr>
        <w:t>.</w:t>
      </w:r>
      <w:r>
        <w:rPr>
          <w:rFonts w:hint="eastAsia" w:ascii="黑体" w:hAnsi="黑体" w:eastAsia="黑体" w:cs="楷体_GB2312"/>
          <w:b/>
          <w:bCs/>
          <w:color w:val="auto"/>
          <w:sz w:val="28"/>
          <w:szCs w:val="28"/>
          <w:lang w:val="zh-CN"/>
        </w:rPr>
        <w:t xml:space="preserve"> 河南省政府采购合同融资政策告知函</w:t>
      </w:r>
      <w:bookmarkEnd w:id="34"/>
      <w:bookmarkEnd w:id="35"/>
    </w:p>
    <w:p w14:paraId="67792A66">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各供应商：</w:t>
      </w:r>
    </w:p>
    <w:p w14:paraId="184E8AAB">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欢迎贵公司参与河南省政府采购活动！</w:t>
      </w:r>
    </w:p>
    <w:p w14:paraId="0C1DA14E">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CDD15B2">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贷款渠道和提供贷款的金融机构，可在河南省政府采购网“河南省政府采购合同融资平台”查询联系。</w:t>
      </w:r>
    </w:p>
    <w:p w14:paraId="494255D1">
      <w:pPr>
        <w:widowControl w:val="0"/>
        <w:snapToGrid w:val="0"/>
        <w:spacing w:line="276" w:lineRule="auto"/>
        <w:jc w:val="left"/>
        <w:rPr>
          <w:rFonts w:asciiTheme="minorEastAsia" w:hAnsiTheme="minorEastAsia" w:eastAsiaTheme="minorEastAsia" w:cstheme="minorEastAsia"/>
          <w:color w:val="auto"/>
          <w:sz w:val="24"/>
          <w:szCs w:val="24"/>
        </w:rPr>
      </w:pPr>
      <w:r>
        <w:rPr>
          <w:rFonts w:eastAsia="黑体"/>
          <w:b/>
          <w:color w:val="auto"/>
          <w:sz w:val="44"/>
        </w:rPr>
        <w:br w:type="page"/>
      </w:r>
      <w:r>
        <w:rPr>
          <w:color w:val="auto"/>
          <w:sz w:val="24"/>
          <w:szCs w:val="24"/>
        </w:rPr>
        <w:t xml:space="preserve"> </w:t>
      </w:r>
    </w:p>
    <w:p w14:paraId="2D7CED6F">
      <w:pPr>
        <w:widowControl w:val="0"/>
        <w:snapToGrid w:val="0"/>
        <w:spacing w:line="560" w:lineRule="exact"/>
        <w:jc w:val="center"/>
        <w:outlineLvl w:val="0"/>
        <w:rPr>
          <w:rFonts w:eastAsia="黑体"/>
          <w:b/>
          <w:color w:val="auto"/>
          <w:sz w:val="36"/>
          <w:szCs w:val="36"/>
          <w:lang w:val="zh-CN"/>
        </w:rPr>
      </w:pPr>
      <w:bookmarkStart w:id="36" w:name="_Toc26440"/>
      <w:r>
        <w:rPr>
          <w:rFonts w:hint="eastAsia" w:eastAsia="黑体"/>
          <w:b/>
          <w:color w:val="auto"/>
          <w:sz w:val="36"/>
          <w:szCs w:val="36"/>
          <w:lang w:val="zh-CN"/>
        </w:rPr>
        <w:t>第四章  评审办法</w:t>
      </w:r>
      <w:bookmarkEnd w:id="36"/>
    </w:p>
    <w:p w14:paraId="1937507D">
      <w:pPr>
        <w:widowControl w:val="0"/>
        <w:snapToGrid w:val="0"/>
        <w:spacing w:line="276" w:lineRule="auto"/>
        <w:jc w:val="left"/>
        <w:rPr>
          <w:b/>
          <w:color w:val="auto"/>
          <w:sz w:val="24"/>
          <w:szCs w:val="24"/>
        </w:rPr>
      </w:pPr>
    </w:p>
    <w:p w14:paraId="60957B9B">
      <w:pPr>
        <w:spacing w:line="500" w:lineRule="exact"/>
        <w:jc w:val="left"/>
        <w:outlineLvl w:val="1"/>
        <w:rPr>
          <w:rFonts w:ascii="黑体" w:hAnsi="黑体" w:eastAsia="黑体"/>
          <w:b/>
          <w:color w:val="auto"/>
          <w:sz w:val="28"/>
          <w:szCs w:val="28"/>
          <w:lang w:val="zh-CN"/>
        </w:rPr>
      </w:pPr>
      <w:bookmarkStart w:id="37" w:name="_Toc28542"/>
      <w:r>
        <w:rPr>
          <w:rFonts w:hint="eastAsia" w:ascii="黑体" w:hAnsi="黑体" w:eastAsia="黑体"/>
          <w:b/>
          <w:color w:val="auto"/>
          <w:sz w:val="28"/>
          <w:szCs w:val="28"/>
        </w:rPr>
        <w:t>评审办法前附表</w:t>
      </w:r>
      <w:bookmarkEnd w:id="37"/>
    </w:p>
    <w:tbl>
      <w:tblPr>
        <w:tblStyle w:val="1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0"/>
        <w:gridCol w:w="667"/>
        <w:gridCol w:w="2120"/>
        <w:gridCol w:w="5736"/>
      </w:tblGrid>
      <w:tr w14:paraId="1A6B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0" w:type="dxa"/>
            <w:gridSpan w:val="2"/>
            <w:vAlign w:val="center"/>
          </w:tcPr>
          <w:p w14:paraId="50A5A932">
            <w:pPr>
              <w:pStyle w:val="49"/>
              <w:jc w:val="center"/>
              <w:rPr>
                <w:rFonts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条款号</w:t>
            </w:r>
          </w:p>
        </w:tc>
        <w:tc>
          <w:tcPr>
            <w:tcW w:w="2787" w:type="dxa"/>
            <w:gridSpan w:val="2"/>
            <w:vAlign w:val="center"/>
          </w:tcPr>
          <w:p w14:paraId="039F83D2">
            <w:pPr>
              <w:pStyle w:val="49"/>
              <w:jc w:val="center"/>
              <w:rPr>
                <w:rFonts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评审因素</w:t>
            </w:r>
          </w:p>
        </w:tc>
        <w:tc>
          <w:tcPr>
            <w:tcW w:w="5736" w:type="dxa"/>
            <w:vAlign w:val="center"/>
          </w:tcPr>
          <w:p w14:paraId="4E8A932F">
            <w:pPr>
              <w:pStyle w:val="49"/>
              <w:jc w:val="center"/>
              <w:rPr>
                <w:rFonts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评审标准</w:t>
            </w:r>
          </w:p>
        </w:tc>
      </w:tr>
      <w:tr w14:paraId="607C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900" w:type="dxa"/>
            <w:vMerge w:val="restart"/>
            <w:vAlign w:val="center"/>
          </w:tcPr>
          <w:p w14:paraId="539042E2">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2.1.1</w:t>
            </w:r>
          </w:p>
        </w:tc>
        <w:tc>
          <w:tcPr>
            <w:tcW w:w="750" w:type="dxa"/>
            <w:vMerge w:val="restart"/>
            <w:vAlign w:val="center"/>
          </w:tcPr>
          <w:p w14:paraId="1741C9D7">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资</w:t>
            </w:r>
          </w:p>
          <w:p w14:paraId="489DDEEA">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格</w:t>
            </w:r>
          </w:p>
          <w:p w14:paraId="1195D3DA">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性</w:t>
            </w:r>
          </w:p>
          <w:p w14:paraId="09729532">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审</w:t>
            </w:r>
          </w:p>
          <w:p w14:paraId="2BCED41B">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查</w:t>
            </w:r>
          </w:p>
        </w:tc>
        <w:tc>
          <w:tcPr>
            <w:tcW w:w="2787" w:type="dxa"/>
            <w:gridSpan w:val="2"/>
            <w:vAlign w:val="center"/>
          </w:tcPr>
          <w:p w14:paraId="76B3F026">
            <w:pPr>
              <w:widowControl w:val="0"/>
              <w:snapToGrid w:val="0"/>
              <w:spacing w:line="24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第一章“竞争性磋商公告”第2条各项资格要求</w:t>
            </w:r>
          </w:p>
        </w:tc>
        <w:tc>
          <w:tcPr>
            <w:tcW w:w="5736" w:type="dxa"/>
            <w:vAlign w:val="center"/>
          </w:tcPr>
          <w:p w14:paraId="7DC1F90C">
            <w:pPr>
              <w:widowControl w:val="0"/>
              <w:snapToGrid w:val="0"/>
              <w:spacing w:line="24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符合第一章“竞争性磋商公告”第2条各项资格要求所需证件材料及证明材料</w:t>
            </w:r>
          </w:p>
        </w:tc>
      </w:tr>
      <w:tr w14:paraId="1F14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00" w:type="dxa"/>
            <w:vMerge w:val="continue"/>
            <w:vAlign w:val="center"/>
          </w:tcPr>
          <w:p w14:paraId="49480ED3">
            <w:pPr>
              <w:pStyle w:val="49"/>
              <w:jc w:val="center"/>
              <w:rPr>
                <w:rFonts w:asciiTheme="minorEastAsia" w:hAnsiTheme="minorEastAsia" w:eastAsiaTheme="minorEastAsia" w:cstheme="minorEastAsia"/>
                <w:color w:val="auto"/>
                <w:szCs w:val="24"/>
              </w:rPr>
            </w:pPr>
          </w:p>
        </w:tc>
        <w:tc>
          <w:tcPr>
            <w:tcW w:w="750" w:type="dxa"/>
            <w:vMerge w:val="continue"/>
            <w:vAlign w:val="center"/>
          </w:tcPr>
          <w:p w14:paraId="3C074EE7">
            <w:pPr>
              <w:pStyle w:val="49"/>
              <w:jc w:val="center"/>
              <w:rPr>
                <w:rFonts w:asciiTheme="minorEastAsia" w:hAnsiTheme="minorEastAsia" w:eastAsiaTheme="minorEastAsia" w:cstheme="minorEastAsia"/>
                <w:color w:val="auto"/>
                <w:szCs w:val="24"/>
              </w:rPr>
            </w:pPr>
          </w:p>
        </w:tc>
        <w:tc>
          <w:tcPr>
            <w:tcW w:w="2787" w:type="dxa"/>
            <w:gridSpan w:val="2"/>
            <w:vAlign w:val="center"/>
          </w:tcPr>
          <w:p w14:paraId="35DE4F9B">
            <w:pPr>
              <w:widowControl w:val="0"/>
              <w:snapToGrid w:val="0"/>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投标承诺函</w:t>
            </w:r>
          </w:p>
          <w:p w14:paraId="1A9B6571">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(替代投标保证金)</w:t>
            </w:r>
          </w:p>
        </w:tc>
        <w:tc>
          <w:tcPr>
            <w:tcW w:w="5736" w:type="dxa"/>
            <w:vAlign w:val="center"/>
          </w:tcPr>
          <w:p w14:paraId="48F22CC4">
            <w:pPr>
              <w:widowControl w:val="0"/>
              <w:snapToGrid w:val="0"/>
              <w:spacing w:line="24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符合第三章“供应商须知”3.5款规定</w:t>
            </w:r>
          </w:p>
        </w:tc>
      </w:tr>
      <w:tr w14:paraId="15DA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00" w:type="dxa"/>
            <w:vMerge w:val="continue"/>
            <w:vAlign w:val="center"/>
          </w:tcPr>
          <w:p w14:paraId="5A6AF2FF">
            <w:pPr>
              <w:pStyle w:val="49"/>
              <w:jc w:val="center"/>
              <w:rPr>
                <w:rFonts w:asciiTheme="minorEastAsia" w:hAnsiTheme="minorEastAsia" w:eastAsiaTheme="minorEastAsia" w:cstheme="minorEastAsia"/>
                <w:color w:val="auto"/>
                <w:szCs w:val="24"/>
              </w:rPr>
            </w:pPr>
          </w:p>
        </w:tc>
        <w:tc>
          <w:tcPr>
            <w:tcW w:w="750" w:type="dxa"/>
            <w:vMerge w:val="continue"/>
            <w:vAlign w:val="center"/>
          </w:tcPr>
          <w:p w14:paraId="35273A20">
            <w:pPr>
              <w:pStyle w:val="49"/>
              <w:jc w:val="center"/>
              <w:rPr>
                <w:rFonts w:asciiTheme="minorEastAsia" w:hAnsiTheme="minorEastAsia" w:eastAsiaTheme="minorEastAsia" w:cstheme="minorEastAsia"/>
                <w:color w:val="auto"/>
                <w:szCs w:val="24"/>
              </w:rPr>
            </w:pPr>
          </w:p>
        </w:tc>
        <w:tc>
          <w:tcPr>
            <w:tcW w:w="2787" w:type="dxa"/>
            <w:gridSpan w:val="2"/>
            <w:vAlign w:val="center"/>
          </w:tcPr>
          <w:p w14:paraId="1B770F26">
            <w:pPr>
              <w:widowControl w:val="0"/>
              <w:snapToGrid w:val="0"/>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联合体（如有）</w:t>
            </w:r>
          </w:p>
        </w:tc>
        <w:tc>
          <w:tcPr>
            <w:tcW w:w="5736" w:type="dxa"/>
            <w:vAlign w:val="center"/>
          </w:tcPr>
          <w:p w14:paraId="5F6FDACE">
            <w:pPr>
              <w:widowControl w:val="0"/>
              <w:snapToGrid w:val="0"/>
              <w:spacing w:line="24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符合第三章“供应商须知”1.4款规定</w:t>
            </w:r>
          </w:p>
        </w:tc>
      </w:tr>
      <w:tr w14:paraId="20AF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900" w:type="dxa"/>
            <w:vMerge w:val="restart"/>
            <w:vAlign w:val="center"/>
          </w:tcPr>
          <w:p w14:paraId="133FDACD">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2.1.2</w:t>
            </w:r>
          </w:p>
        </w:tc>
        <w:tc>
          <w:tcPr>
            <w:tcW w:w="750" w:type="dxa"/>
            <w:vMerge w:val="restart"/>
            <w:vAlign w:val="center"/>
          </w:tcPr>
          <w:p w14:paraId="0FDDE79B">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符</w:t>
            </w:r>
          </w:p>
          <w:p w14:paraId="38D12789">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合</w:t>
            </w:r>
          </w:p>
          <w:p w14:paraId="02BF00A8">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性</w:t>
            </w:r>
          </w:p>
          <w:p w14:paraId="7597FB28">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审</w:t>
            </w:r>
          </w:p>
          <w:p w14:paraId="7455DCD8">
            <w:pPr>
              <w:pStyle w:val="49"/>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查</w:t>
            </w:r>
          </w:p>
        </w:tc>
        <w:tc>
          <w:tcPr>
            <w:tcW w:w="667" w:type="dxa"/>
            <w:vMerge w:val="restart"/>
            <w:vAlign w:val="center"/>
          </w:tcPr>
          <w:p w14:paraId="4C100EF4">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有效性</w:t>
            </w:r>
          </w:p>
        </w:tc>
        <w:tc>
          <w:tcPr>
            <w:tcW w:w="2120" w:type="dxa"/>
            <w:vAlign w:val="center"/>
          </w:tcPr>
          <w:p w14:paraId="213049B7">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供应商名称</w:t>
            </w:r>
          </w:p>
        </w:tc>
        <w:tc>
          <w:tcPr>
            <w:tcW w:w="5736" w:type="dxa"/>
            <w:vAlign w:val="center"/>
          </w:tcPr>
          <w:p w14:paraId="3D48F09B">
            <w:pPr>
              <w:pStyle w:val="49"/>
              <w:adjustRightInd/>
              <w:snapToGrid w:val="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与营业执照证等证照及签章一致</w:t>
            </w:r>
          </w:p>
        </w:tc>
      </w:tr>
      <w:tr w14:paraId="3B5C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900" w:type="dxa"/>
            <w:vMerge w:val="continue"/>
            <w:vAlign w:val="center"/>
          </w:tcPr>
          <w:p w14:paraId="1B5F060E">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5670CEBE">
            <w:pPr>
              <w:pStyle w:val="49"/>
              <w:spacing w:line="360" w:lineRule="auto"/>
              <w:jc w:val="center"/>
              <w:rPr>
                <w:rFonts w:asciiTheme="minorEastAsia" w:hAnsiTheme="minorEastAsia" w:eastAsiaTheme="minorEastAsia" w:cstheme="minorEastAsia"/>
                <w:color w:val="auto"/>
                <w:szCs w:val="24"/>
              </w:rPr>
            </w:pPr>
          </w:p>
        </w:tc>
        <w:tc>
          <w:tcPr>
            <w:tcW w:w="667" w:type="dxa"/>
            <w:vMerge w:val="continue"/>
            <w:vAlign w:val="center"/>
          </w:tcPr>
          <w:p w14:paraId="242A9245">
            <w:pPr>
              <w:pStyle w:val="49"/>
              <w:adjustRightInd/>
              <w:snapToGrid w:val="0"/>
              <w:jc w:val="center"/>
              <w:rPr>
                <w:rFonts w:asciiTheme="minorEastAsia" w:hAnsiTheme="minorEastAsia" w:eastAsiaTheme="minorEastAsia" w:cstheme="minorEastAsia"/>
                <w:color w:val="auto"/>
                <w:szCs w:val="24"/>
              </w:rPr>
            </w:pPr>
          </w:p>
        </w:tc>
        <w:tc>
          <w:tcPr>
            <w:tcW w:w="2120" w:type="dxa"/>
            <w:vAlign w:val="center"/>
          </w:tcPr>
          <w:p w14:paraId="445596D8">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签字或盖章</w:t>
            </w:r>
          </w:p>
        </w:tc>
        <w:tc>
          <w:tcPr>
            <w:tcW w:w="5736" w:type="dxa"/>
            <w:vAlign w:val="center"/>
          </w:tcPr>
          <w:p w14:paraId="086E5967">
            <w:pPr>
              <w:pStyle w:val="49"/>
              <w:adjustRightInd/>
              <w:snapToGrid w:val="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符合第三章“供应商须知”3.7.4项规定</w:t>
            </w:r>
          </w:p>
        </w:tc>
      </w:tr>
      <w:tr w14:paraId="50C6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00" w:type="dxa"/>
            <w:vMerge w:val="continue"/>
            <w:vAlign w:val="center"/>
          </w:tcPr>
          <w:p w14:paraId="18E3650E">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50FC42AF">
            <w:pPr>
              <w:pStyle w:val="49"/>
              <w:spacing w:line="360" w:lineRule="auto"/>
              <w:jc w:val="center"/>
              <w:rPr>
                <w:rFonts w:asciiTheme="minorEastAsia" w:hAnsiTheme="minorEastAsia" w:eastAsiaTheme="minorEastAsia" w:cstheme="minorEastAsia"/>
                <w:color w:val="auto"/>
                <w:szCs w:val="24"/>
              </w:rPr>
            </w:pPr>
          </w:p>
        </w:tc>
        <w:tc>
          <w:tcPr>
            <w:tcW w:w="667" w:type="dxa"/>
            <w:vAlign w:val="center"/>
          </w:tcPr>
          <w:p w14:paraId="2EC6F364">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完整性</w:t>
            </w:r>
          </w:p>
        </w:tc>
        <w:tc>
          <w:tcPr>
            <w:tcW w:w="2120" w:type="dxa"/>
            <w:vAlign w:val="center"/>
          </w:tcPr>
          <w:p w14:paraId="031A7F44">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《响应文件》组成</w:t>
            </w:r>
          </w:p>
        </w:tc>
        <w:tc>
          <w:tcPr>
            <w:tcW w:w="5736" w:type="dxa"/>
            <w:vAlign w:val="center"/>
          </w:tcPr>
          <w:p w14:paraId="2758B8A9">
            <w:pPr>
              <w:pStyle w:val="49"/>
              <w:adjustRightInd/>
              <w:snapToGrid w:val="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符合第三章“供应商须知”3.2款规定</w:t>
            </w:r>
          </w:p>
        </w:tc>
      </w:tr>
      <w:tr w14:paraId="0247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00" w:type="dxa"/>
            <w:vMerge w:val="continue"/>
            <w:vAlign w:val="center"/>
          </w:tcPr>
          <w:p w14:paraId="2C4EBB85">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58117193">
            <w:pPr>
              <w:pStyle w:val="49"/>
              <w:spacing w:line="360" w:lineRule="auto"/>
              <w:jc w:val="center"/>
              <w:rPr>
                <w:rFonts w:asciiTheme="minorEastAsia" w:hAnsiTheme="minorEastAsia" w:eastAsiaTheme="minorEastAsia" w:cstheme="minorEastAsia"/>
                <w:color w:val="auto"/>
                <w:szCs w:val="24"/>
              </w:rPr>
            </w:pPr>
          </w:p>
        </w:tc>
        <w:tc>
          <w:tcPr>
            <w:tcW w:w="667" w:type="dxa"/>
            <w:vMerge w:val="restart"/>
            <w:vAlign w:val="center"/>
          </w:tcPr>
          <w:p w14:paraId="76757C71">
            <w:pPr>
              <w:pStyle w:val="49"/>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响应程度</w:t>
            </w:r>
          </w:p>
        </w:tc>
        <w:tc>
          <w:tcPr>
            <w:tcW w:w="2120" w:type="dxa"/>
            <w:vAlign w:val="center"/>
          </w:tcPr>
          <w:p w14:paraId="28483133">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磋商报价</w:t>
            </w:r>
          </w:p>
        </w:tc>
        <w:tc>
          <w:tcPr>
            <w:tcW w:w="5736" w:type="dxa"/>
            <w:vAlign w:val="center"/>
          </w:tcPr>
          <w:p w14:paraId="4A567ED9">
            <w:pPr>
              <w:pStyle w:val="49"/>
              <w:adjustRightInd/>
              <w:snapToGrid w:val="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符合第二章“采购项目及技术服务要求”1.3款规定</w:t>
            </w:r>
          </w:p>
        </w:tc>
      </w:tr>
      <w:tr w14:paraId="5FFC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00" w:type="dxa"/>
            <w:vMerge w:val="continue"/>
            <w:vAlign w:val="center"/>
          </w:tcPr>
          <w:p w14:paraId="7E76FA9B">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2D199456">
            <w:pPr>
              <w:pStyle w:val="49"/>
              <w:spacing w:line="360" w:lineRule="auto"/>
              <w:jc w:val="center"/>
              <w:rPr>
                <w:rFonts w:asciiTheme="minorEastAsia" w:hAnsiTheme="minorEastAsia" w:eastAsiaTheme="minorEastAsia" w:cstheme="minorEastAsia"/>
                <w:color w:val="auto"/>
                <w:szCs w:val="24"/>
              </w:rPr>
            </w:pPr>
          </w:p>
        </w:tc>
        <w:tc>
          <w:tcPr>
            <w:tcW w:w="667" w:type="dxa"/>
            <w:vMerge w:val="continue"/>
            <w:vAlign w:val="center"/>
          </w:tcPr>
          <w:p w14:paraId="5CC962A2">
            <w:pPr>
              <w:pStyle w:val="49"/>
              <w:snapToGrid w:val="0"/>
              <w:jc w:val="center"/>
              <w:rPr>
                <w:rFonts w:asciiTheme="minorEastAsia" w:hAnsiTheme="minorEastAsia" w:eastAsiaTheme="minorEastAsia" w:cstheme="minorEastAsia"/>
                <w:color w:val="auto"/>
                <w:szCs w:val="24"/>
              </w:rPr>
            </w:pPr>
          </w:p>
        </w:tc>
        <w:tc>
          <w:tcPr>
            <w:tcW w:w="2120" w:type="dxa"/>
            <w:vAlign w:val="center"/>
          </w:tcPr>
          <w:p w14:paraId="045E3D16">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响应内容（范围）、技术服务要求</w:t>
            </w:r>
          </w:p>
        </w:tc>
        <w:tc>
          <w:tcPr>
            <w:tcW w:w="5736" w:type="dxa"/>
            <w:vAlign w:val="center"/>
          </w:tcPr>
          <w:p w14:paraId="22CD3981">
            <w:pPr>
              <w:pStyle w:val="49"/>
              <w:adjustRightInd/>
              <w:snapToGrid w:val="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符合第二章“采购项目及技术服务要求”第2条规定</w:t>
            </w:r>
          </w:p>
        </w:tc>
      </w:tr>
      <w:tr w14:paraId="63B8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00" w:type="dxa"/>
            <w:vMerge w:val="continue"/>
            <w:vAlign w:val="center"/>
          </w:tcPr>
          <w:p w14:paraId="51904942">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25409C6D">
            <w:pPr>
              <w:pStyle w:val="49"/>
              <w:spacing w:line="360" w:lineRule="auto"/>
              <w:jc w:val="center"/>
              <w:rPr>
                <w:rFonts w:asciiTheme="minorEastAsia" w:hAnsiTheme="minorEastAsia" w:eastAsiaTheme="minorEastAsia" w:cstheme="minorEastAsia"/>
                <w:color w:val="auto"/>
                <w:szCs w:val="24"/>
              </w:rPr>
            </w:pPr>
          </w:p>
        </w:tc>
        <w:tc>
          <w:tcPr>
            <w:tcW w:w="667" w:type="dxa"/>
            <w:vMerge w:val="continue"/>
            <w:vAlign w:val="center"/>
          </w:tcPr>
          <w:p w14:paraId="71A8E85F">
            <w:pPr>
              <w:pStyle w:val="49"/>
              <w:snapToGrid w:val="0"/>
              <w:jc w:val="center"/>
              <w:rPr>
                <w:rFonts w:asciiTheme="minorEastAsia" w:hAnsiTheme="minorEastAsia" w:eastAsiaTheme="minorEastAsia" w:cstheme="minorEastAsia"/>
                <w:color w:val="auto"/>
                <w:szCs w:val="24"/>
              </w:rPr>
            </w:pPr>
          </w:p>
        </w:tc>
        <w:tc>
          <w:tcPr>
            <w:tcW w:w="2120" w:type="dxa"/>
            <w:vAlign w:val="center"/>
          </w:tcPr>
          <w:p w14:paraId="050BE62F">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交验期、服务地</w:t>
            </w:r>
          </w:p>
        </w:tc>
        <w:tc>
          <w:tcPr>
            <w:tcW w:w="5736" w:type="dxa"/>
            <w:vAlign w:val="center"/>
          </w:tcPr>
          <w:p w14:paraId="183E55CA">
            <w:pPr>
              <w:pStyle w:val="49"/>
              <w:adjustRightInd/>
              <w:snapToGrid w:val="0"/>
              <w:jc w:val="both"/>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符合第二章“采购项目及技术服务要求”1.2款规定</w:t>
            </w:r>
          </w:p>
        </w:tc>
      </w:tr>
      <w:tr w14:paraId="5F19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900" w:type="dxa"/>
            <w:vMerge w:val="continue"/>
            <w:vAlign w:val="center"/>
          </w:tcPr>
          <w:p w14:paraId="101AF500">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4369830A">
            <w:pPr>
              <w:pStyle w:val="49"/>
              <w:spacing w:line="360" w:lineRule="auto"/>
              <w:jc w:val="center"/>
              <w:rPr>
                <w:rFonts w:asciiTheme="minorEastAsia" w:hAnsiTheme="minorEastAsia" w:eastAsiaTheme="minorEastAsia" w:cstheme="minorEastAsia"/>
                <w:color w:val="auto"/>
                <w:szCs w:val="24"/>
              </w:rPr>
            </w:pPr>
          </w:p>
        </w:tc>
        <w:tc>
          <w:tcPr>
            <w:tcW w:w="667" w:type="dxa"/>
            <w:vMerge w:val="continue"/>
            <w:vAlign w:val="center"/>
          </w:tcPr>
          <w:p w14:paraId="7BB19CA8">
            <w:pPr>
              <w:pStyle w:val="49"/>
              <w:adjustRightInd/>
              <w:snapToGrid w:val="0"/>
              <w:jc w:val="center"/>
              <w:rPr>
                <w:rFonts w:asciiTheme="minorEastAsia" w:hAnsiTheme="minorEastAsia" w:eastAsiaTheme="minorEastAsia" w:cstheme="minorEastAsia"/>
                <w:color w:val="auto"/>
                <w:szCs w:val="24"/>
              </w:rPr>
            </w:pPr>
          </w:p>
        </w:tc>
        <w:tc>
          <w:tcPr>
            <w:tcW w:w="2120" w:type="dxa"/>
            <w:vAlign w:val="center"/>
          </w:tcPr>
          <w:p w14:paraId="593D4C7C">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响应有效期</w:t>
            </w:r>
          </w:p>
        </w:tc>
        <w:tc>
          <w:tcPr>
            <w:tcW w:w="5736" w:type="dxa"/>
            <w:vAlign w:val="center"/>
          </w:tcPr>
          <w:p w14:paraId="3C2760FD">
            <w:pPr>
              <w:snapToGrid w:val="0"/>
              <w:spacing w:line="24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符合第三章“供应商须知”3.4款规定</w:t>
            </w:r>
          </w:p>
        </w:tc>
      </w:tr>
      <w:tr w14:paraId="73D4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0" w:type="dxa"/>
            <w:vMerge w:val="continue"/>
            <w:vAlign w:val="center"/>
          </w:tcPr>
          <w:p w14:paraId="383EE84F">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4B78C5EC">
            <w:pPr>
              <w:pStyle w:val="49"/>
              <w:spacing w:line="360" w:lineRule="auto"/>
              <w:jc w:val="center"/>
              <w:rPr>
                <w:rFonts w:asciiTheme="minorEastAsia" w:hAnsiTheme="minorEastAsia" w:eastAsiaTheme="minorEastAsia" w:cstheme="minorEastAsia"/>
                <w:color w:val="auto"/>
                <w:szCs w:val="24"/>
              </w:rPr>
            </w:pPr>
          </w:p>
        </w:tc>
        <w:tc>
          <w:tcPr>
            <w:tcW w:w="667" w:type="dxa"/>
            <w:vMerge w:val="continue"/>
            <w:vAlign w:val="center"/>
          </w:tcPr>
          <w:p w14:paraId="7E327484">
            <w:pPr>
              <w:pStyle w:val="49"/>
              <w:adjustRightInd/>
              <w:snapToGrid w:val="0"/>
              <w:jc w:val="center"/>
              <w:rPr>
                <w:rFonts w:asciiTheme="minorEastAsia" w:hAnsiTheme="minorEastAsia" w:eastAsiaTheme="minorEastAsia" w:cstheme="minorEastAsia"/>
                <w:color w:val="auto"/>
                <w:szCs w:val="24"/>
              </w:rPr>
            </w:pPr>
          </w:p>
        </w:tc>
        <w:tc>
          <w:tcPr>
            <w:tcW w:w="2120" w:type="dxa"/>
            <w:vAlign w:val="center"/>
          </w:tcPr>
          <w:p w14:paraId="1A51945D">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《响应文件》格式</w:t>
            </w:r>
          </w:p>
        </w:tc>
        <w:tc>
          <w:tcPr>
            <w:tcW w:w="5736" w:type="dxa"/>
            <w:vAlign w:val="center"/>
          </w:tcPr>
          <w:p w14:paraId="112ABBFC">
            <w:pPr>
              <w:pStyle w:val="49"/>
              <w:adjustRightInd/>
              <w:snapToGrid w:val="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符合第六章“《响应文件》格式”规定</w:t>
            </w:r>
          </w:p>
        </w:tc>
      </w:tr>
      <w:tr w14:paraId="21CF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00" w:type="dxa"/>
            <w:vMerge w:val="continue"/>
            <w:vAlign w:val="center"/>
          </w:tcPr>
          <w:p w14:paraId="4819DB2E">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5CCA47D1">
            <w:pPr>
              <w:pStyle w:val="49"/>
              <w:spacing w:line="360" w:lineRule="auto"/>
              <w:jc w:val="center"/>
              <w:rPr>
                <w:rFonts w:asciiTheme="minorEastAsia" w:hAnsiTheme="minorEastAsia" w:eastAsiaTheme="minorEastAsia" w:cstheme="minorEastAsia"/>
                <w:color w:val="auto"/>
                <w:szCs w:val="24"/>
              </w:rPr>
            </w:pPr>
          </w:p>
        </w:tc>
        <w:tc>
          <w:tcPr>
            <w:tcW w:w="667" w:type="dxa"/>
            <w:vMerge w:val="continue"/>
            <w:vAlign w:val="center"/>
          </w:tcPr>
          <w:p w14:paraId="57215CFC">
            <w:pPr>
              <w:pStyle w:val="49"/>
              <w:adjustRightInd/>
              <w:snapToGrid w:val="0"/>
              <w:jc w:val="center"/>
              <w:rPr>
                <w:rFonts w:asciiTheme="minorEastAsia" w:hAnsiTheme="minorEastAsia" w:eastAsiaTheme="minorEastAsia" w:cstheme="minorEastAsia"/>
                <w:color w:val="auto"/>
                <w:szCs w:val="24"/>
              </w:rPr>
            </w:pPr>
          </w:p>
        </w:tc>
        <w:tc>
          <w:tcPr>
            <w:tcW w:w="2120" w:type="dxa"/>
            <w:vAlign w:val="center"/>
          </w:tcPr>
          <w:p w14:paraId="5E68A9FB">
            <w:pPr>
              <w:pStyle w:val="49"/>
              <w:adjustRightInd/>
              <w:snapToGrid w:val="0"/>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rPr>
              <w:t>付款</w:t>
            </w:r>
          </w:p>
        </w:tc>
        <w:tc>
          <w:tcPr>
            <w:tcW w:w="5736" w:type="dxa"/>
            <w:vAlign w:val="center"/>
          </w:tcPr>
          <w:p w14:paraId="3DFD8112">
            <w:pPr>
              <w:snapToGrid w:val="0"/>
              <w:spacing w:line="24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符合第三章“供应商须知”第9条规定</w:t>
            </w:r>
          </w:p>
        </w:tc>
      </w:tr>
      <w:tr w14:paraId="65E4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00" w:type="dxa"/>
            <w:vMerge w:val="continue"/>
            <w:vAlign w:val="center"/>
          </w:tcPr>
          <w:p w14:paraId="41AA9C5F">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750476E1">
            <w:pPr>
              <w:pStyle w:val="49"/>
              <w:spacing w:line="360" w:lineRule="auto"/>
              <w:jc w:val="center"/>
              <w:rPr>
                <w:rFonts w:asciiTheme="minorEastAsia" w:hAnsiTheme="minorEastAsia" w:eastAsiaTheme="minorEastAsia" w:cstheme="minorEastAsia"/>
                <w:color w:val="auto"/>
                <w:szCs w:val="24"/>
              </w:rPr>
            </w:pPr>
          </w:p>
        </w:tc>
        <w:tc>
          <w:tcPr>
            <w:tcW w:w="667" w:type="dxa"/>
            <w:vMerge w:val="continue"/>
            <w:vAlign w:val="center"/>
          </w:tcPr>
          <w:p w14:paraId="28D5DA94">
            <w:pPr>
              <w:pStyle w:val="49"/>
              <w:adjustRightInd/>
              <w:snapToGrid w:val="0"/>
              <w:jc w:val="center"/>
              <w:rPr>
                <w:rFonts w:asciiTheme="minorEastAsia" w:hAnsiTheme="minorEastAsia" w:eastAsiaTheme="minorEastAsia" w:cstheme="minorEastAsia"/>
                <w:color w:val="auto"/>
                <w:szCs w:val="24"/>
              </w:rPr>
            </w:pPr>
          </w:p>
        </w:tc>
        <w:tc>
          <w:tcPr>
            <w:tcW w:w="2120" w:type="dxa"/>
            <w:vAlign w:val="center"/>
          </w:tcPr>
          <w:p w14:paraId="220917ED">
            <w:pPr>
              <w:pStyle w:val="49"/>
              <w:adjustRightInd/>
              <w:snapToGrid w:val="0"/>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偏离描述</w:t>
            </w:r>
          </w:p>
        </w:tc>
        <w:tc>
          <w:tcPr>
            <w:tcW w:w="5736" w:type="dxa"/>
            <w:vAlign w:val="center"/>
          </w:tcPr>
          <w:p w14:paraId="464E736D">
            <w:pPr>
              <w:snapToGrid w:val="0"/>
              <w:spacing w:line="24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符合第三章“供应商须知”3.7.3项规定</w:t>
            </w:r>
          </w:p>
        </w:tc>
      </w:tr>
      <w:tr w14:paraId="01C3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900" w:type="dxa"/>
            <w:vMerge w:val="continue"/>
            <w:vAlign w:val="center"/>
          </w:tcPr>
          <w:p w14:paraId="6CC228AA">
            <w:pPr>
              <w:pStyle w:val="49"/>
              <w:spacing w:line="360" w:lineRule="auto"/>
              <w:jc w:val="center"/>
              <w:rPr>
                <w:rFonts w:asciiTheme="minorEastAsia" w:hAnsiTheme="minorEastAsia" w:eastAsiaTheme="minorEastAsia" w:cstheme="minorEastAsia"/>
                <w:color w:val="auto"/>
                <w:szCs w:val="24"/>
              </w:rPr>
            </w:pPr>
          </w:p>
        </w:tc>
        <w:tc>
          <w:tcPr>
            <w:tcW w:w="750" w:type="dxa"/>
            <w:vMerge w:val="continue"/>
            <w:vAlign w:val="center"/>
          </w:tcPr>
          <w:p w14:paraId="268F76F6">
            <w:pPr>
              <w:pStyle w:val="49"/>
              <w:spacing w:line="360" w:lineRule="auto"/>
              <w:jc w:val="center"/>
              <w:rPr>
                <w:rFonts w:asciiTheme="minorEastAsia" w:hAnsiTheme="minorEastAsia" w:eastAsiaTheme="minorEastAsia" w:cstheme="minorEastAsia"/>
                <w:color w:val="auto"/>
                <w:szCs w:val="24"/>
              </w:rPr>
            </w:pPr>
          </w:p>
        </w:tc>
        <w:tc>
          <w:tcPr>
            <w:tcW w:w="667" w:type="dxa"/>
            <w:vMerge w:val="continue"/>
            <w:vAlign w:val="center"/>
          </w:tcPr>
          <w:p w14:paraId="368AF0A6">
            <w:pPr>
              <w:snapToGrid w:val="0"/>
              <w:spacing w:line="240" w:lineRule="auto"/>
              <w:jc w:val="center"/>
              <w:rPr>
                <w:rFonts w:asciiTheme="minorEastAsia" w:hAnsiTheme="minorEastAsia" w:eastAsiaTheme="minorEastAsia" w:cstheme="minorEastAsia"/>
                <w:color w:val="auto"/>
                <w:sz w:val="24"/>
              </w:rPr>
            </w:pPr>
          </w:p>
        </w:tc>
        <w:tc>
          <w:tcPr>
            <w:tcW w:w="2120" w:type="dxa"/>
            <w:vAlign w:val="center"/>
          </w:tcPr>
          <w:p w14:paraId="12F2B761">
            <w:pPr>
              <w:snapToGrid w:val="0"/>
              <w:spacing w:line="24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《磋商文件》总体响应</w:t>
            </w:r>
          </w:p>
        </w:tc>
        <w:tc>
          <w:tcPr>
            <w:tcW w:w="5736" w:type="dxa"/>
            <w:vAlign w:val="center"/>
          </w:tcPr>
          <w:p w14:paraId="6174801C">
            <w:pPr>
              <w:autoSpaceDE w:val="0"/>
              <w:autoSpaceDN w:val="0"/>
              <w:snapToGrid w:val="0"/>
              <w:spacing w:line="24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符合第三章“供应商须知”1.3项规定</w:t>
            </w:r>
          </w:p>
        </w:tc>
      </w:tr>
    </w:tbl>
    <w:p w14:paraId="679D4FA9">
      <w:pPr>
        <w:autoSpaceDE w:val="0"/>
        <w:autoSpaceDN w:val="0"/>
        <w:adjustRightInd w:val="0"/>
        <w:spacing w:line="360" w:lineRule="auto"/>
        <w:jc w:val="left"/>
        <w:rPr>
          <w:rFonts w:ascii="黑体" w:hAnsi="黑体" w:eastAsia="黑体" w:cs="楷体_GB2312"/>
          <w:b/>
          <w:bCs/>
          <w:color w:val="auto"/>
          <w:sz w:val="28"/>
          <w:szCs w:val="28"/>
          <w:lang w:val="zh-CN"/>
        </w:rPr>
      </w:pPr>
    </w:p>
    <w:p w14:paraId="78050C52">
      <w:pPr>
        <w:spacing w:line="240" w:lineRule="auto"/>
        <w:jc w:val="left"/>
        <w:textAlignment w:val="auto"/>
        <w:rPr>
          <w:rFonts w:ascii="黑体" w:hAnsi="黑体" w:eastAsia="黑体" w:cs="楷体_GB2312"/>
          <w:b/>
          <w:bCs/>
          <w:color w:val="auto"/>
          <w:sz w:val="28"/>
          <w:szCs w:val="28"/>
          <w:lang w:val="zh-CN"/>
        </w:rPr>
      </w:pPr>
    </w:p>
    <w:p w14:paraId="75DA13AA">
      <w:pPr>
        <w:spacing w:line="500" w:lineRule="exact"/>
        <w:ind w:firstLine="419"/>
        <w:jc w:val="left"/>
        <w:rPr>
          <w:rFonts w:ascii="黑体" w:hAnsi="黑体" w:eastAsia="黑体"/>
          <w:b/>
          <w:color w:val="auto"/>
          <w:sz w:val="28"/>
          <w:szCs w:val="28"/>
        </w:rPr>
      </w:pPr>
    </w:p>
    <w:p w14:paraId="3400EE27">
      <w:pPr>
        <w:spacing w:line="500" w:lineRule="exact"/>
        <w:ind w:firstLine="419"/>
        <w:jc w:val="left"/>
        <w:rPr>
          <w:rFonts w:ascii="黑体" w:hAnsi="黑体" w:eastAsia="黑体"/>
          <w:b/>
          <w:color w:val="auto"/>
          <w:sz w:val="28"/>
          <w:szCs w:val="28"/>
        </w:rPr>
      </w:pPr>
    </w:p>
    <w:p w14:paraId="260F13A4">
      <w:pPr>
        <w:spacing w:line="500" w:lineRule="exact"/>
        <w:ind w:firstLine="419"/>
        <w:jc w:val="left"/>
        <w:rPr>
          <w:rFonts w:ascii="黑体" w:hAnsi="黑体" w:eastAsia="黑体"/>
          <w:b/>
          <w:color w:val="auto"/>
          <w:sz w:val="28"/>
          <w:szCs w:val="28"/>
        </w:rPr>
      </w:pPr>
    </w:p>
    <w:p w14:paraId="18D7D68D">
      <w:pPr>
        <w:spacing w:line="500" w:lineRule="exact"/>
        <w:ind w:firstLine="419"/>
        <w:jc w:val="left"/>
        <w:rPr>
          <w:rFonts w:ascii="黑体" w:hAnsi="黑体" w:eastAsia="黑体"/>
          <w:b/>
          <w:color w:val="auto"/>
          <w:sz w:val="28"/>
          <w:szCs w:val="28"/>
        </w:rPr>
      </w:pPr>
    </w:p>
    <w:p w14:paraId="3827570C">
      <w:pPr>
        <w:spacing w:line="500" w:lineRule="exact"/>
        <w:ind w:firstLine="419"/>
        <w:jc w:val="left"/>
        <w:rPr>
          <w:rFonts w:ascii="黑体" w:hAnsi="黑体" w:eastAsia="黑体"/>
          <w:b/>
          <w:color w:val="auto"/>
          <w:sz w:val="28"/>
          <w:szCs w:val="28"/>
        </w:rPr>
      </w:pPr>
    </w:p>
    <w:p w14:paraId="54FC1457">
      <w:pPr>
        <w:spacing w:line="500" w:lineRule="exact"/>
        <w:ind w:firstLine="419"/>
        <w:jc w:val="left"/>
        <w:rPr>
          <w:rFonts w:ascii="黑体" w:hAnsi="黑体" w:eastAsia="黑体"/>
          <w:b/>
          <w:color w:val="auto"/>
          <w:sz w:val="28"/>
          <w:szCs w:val="28"/>
        </w:rPr>
      </w:pPr>
    </w:p>
    <w:p w14:paraId="21A0A50F">
      <w:pPr>
        <w:spacing w:line="500" w:lineRule="exact"/>
        <w:ind w:firstLine="419"/>
        <w:jc w:val="left"/>
        <w:rPr>
          <w:rFonts w:ascii="黑体" w:hAnsi="黑体" w:eastAsia="黑体"/>
          <w:b/>
          <w:color w:val="auto"/>
          <w:sz w:val="28"/>
          <w:szCs w:val="28"/>
        </w:rPr>
      </w:pPr>
      <w:r>
        <w:rPr>
          <w:rFonts w:hint="eastAsia" w:ascii="黑体" w:hAnsi="黑体" w:eastAsia="黑体"/>
          <w:b/>
          <w:color w:val="auto"/>
          <w:sz w:val="28"/>
          <w:szCs w:val="28"/>
        </w:rPr>
        <w:t>评审办法前附表</w:t>
      </w:r>
      <w:r>
        <w:rPr>
          <w:rFonts w:ascii="黑体" w:hAnsi="黑体" w:eastAsia="黑体"/>
          <w:b/>
          <w:color w:val="auto"/>
          <w:sz w:val="28"/>
          <w:szCs w:val="28"/>
        </w:rPr>
        <w:t>-----</w:t>
      </w:r>
      <w:r>
        <w:rPr>
          <w:rFonts w:hint="eastAsia" w:ascii="黑体" w:hAnsi="黑体" w:eastAsia="黑体"/>
          <w:b/>
          <w:color w:val="auto"/>
          <w:sz w:val="28"/>
          <w:szCs w:val="28"/>
        </w:rPr>
        <w:t>分值构成与评分标准</w:t>
      </w:r>
    </w:p>
    <w:tbl>
      <w:tblPr>
        <w:tblStyle w:val="17"/>
        <w:tblW w:w="1003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0"/>
        <w:gridCol w:w="1860"/>
        <w:gridCol w:w="7110"/>
      </w:tblGrid>
      <w:tr w14:paraId="1CBF0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1060" w:type="dxa"/>
            <w:tcBorders>
              <w:tl2br w:val="nil"/>
              <w:tr2bl w:val="nil"/>
            </w:tcBorders>
            <w:vAlign w:val="center"/>
          </w:tcPr>
          <w:p w14:paraId="5BC85E31">
            <w:pPr>
              <w:widowControl w:val="0"/>
              <w:autoSpaceDE w:val="0"/>
              <w:autoSpaceDN w:val="0"/>
              <w:adjustRightInd w:val="0"/>
              <w:spacing w:line="240" w:lineRule="auto"/>
              <w:jc w:val="center"/>
              <w:textAlignment w:val="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条款号</w:t>
            </w:r>
          </w:p>
        </w:tc>
        <w:tc>
          <w:tcPr>
            <w:tcW w:w="1860" w:type="dxa"/>
            <w:tcBorders>
              <w:tl2br w:val="nil"/>
              <w:tr2bl w:val="nil"/>
            </w:tcBorders>
            <w:vAlign w:val="center"/>
          </w:tcPr>
          <w:p w14:paraId="6788F699">
            <w:pPr>
              <w:spacing w:line="240"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条款内容</w:t>
            </w:r>
          </w:p>
        </w:tc>
        <w:tc>
          <w:tcPr>
            <w:tcW w:w="7110" w:type="dxa"/>
            <w:tcBorders>
              <w:tl2br w:val="nil"/>
              <w:tr2bl w:val="nil"/>
            </w:tcBorders>
            <w:vAlign w:val="center"/>
          </w:tcPr>
          <w:p w14:paraId="18CC8341">
            <w:pPr>
              <w:spacing w:line="240"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编列内容</w:t>
            </w:r>
          </w:p>
        </w:tc>
      </w:tr>
      <w:tr w14:paraId="4A7EC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6" w:hRule="atLeast"/>
          <w:jc w:val="center"/>
        </w:trPr>
        <w:tc>
          <w:tcPr>
            <w:tcW w:w="1060" w:type="dxa"/>
            <w:tcBorders>
              <w:tl2br w:val="nil"/>
              <w:tr2bl w:val="nil"/>
            </w:tcBorders>
            <w:vAlign w:val="center"/>
          </w:tcPr>
          <w:p w14:paraId="11A9F30F">
            <w:pPr>
              <w:widowControl w:val="0"/>
              <w:autoSpaceDE w:val="0"/>
              <w:autoSpaceDN w:val="0"/>
              <w:adjustRightInd w:val="0"/>
              <w:spacing w:line="240"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2.2.1</w:t>
            </w:r>
          </w:p>
        </w:tc>
        <w:tc>
          <w:tcPr>
            <w:tcW w:w="1860" w:type="dxa"/>
            <w:tcBorders>
              <w:tl2br w:val="nil"/>
              <w:tr2bl w:val="nil"/>
            </w:tcBorders>
            <w:vAlign w:val="center"/>
          </w:tcPr>
          <w:p w14:paraId="4B2865F6">
            <w:pPr>
              <w:widowControl w:val="0"/>
              <w:autoSpaceDE w:val="0"/>
              <w:autoSpaceDN w:val="0"/>
              <w:adjustRightInd w:val="0"/>
              <w:spacing w:line="360"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分值构成</w:t>
            </w:r>
          </w:p>
          <w:p w14:paraId="15A92A8A">
            <w:pPr>
              <w:widowControl w:val="0"/>
              <w:snapToGrid w:val="0"/>
              <w:spacing w:line="360" w:lineRule="auto"/>
              <w:jc w:val="center"/>
              <w:rPr>
                <w:rFonts w:asciiTheme="minorEastAsia" w:hAnsiTheme="minorEastAsia" w:eastAsiaTheme="minorEastAsia"/>
                <w:color w:val="auto"/>
                <w:sz w:val="24"/>
                <w:szCs w:val="24"/>
              </w:rPr>
            </w:pPr>
            <w:r>
              <w:rPr>
                <w:rFonts w:hint="eastAsia" w:cs="TimesNewRomanPSMT"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rPr>
              <w:t>总分</w:t>
            </w:r>
            <w:r>
              <w:rPr>
                <w:rFonts w:cs="TimesNewRomanPSMT" w:asciiTheme="minorEastAsia" w:hAnsiTheme="minorEastAsia" w:eastAsiaTheme="minorEastAsia"/>
                <w:color w:val="auto"/>
                <w:sz w:val="24"/>
                <w:szCs w:val="24"/>
              </w:rPr>
              <w:t>100</w:t>
            </w:r>
            <w:r>
              <w:rPr>
                <w:rFonts w:hint="eastAsia" w:cs="宋体" w:asciiTheme="minorEastAsia" w:hAnsiTheme="minorEastAsia" w:eastAsiaTheme="minorEastAsia"/>
                <w:color w:val="auto"/>
                <w:sz w:val="24"/>
                <w:szCs w:val="24"/>
              </w:rPr>
              <w:t>分）</w:t>
            </w:r>
          </w:p>
        </w:tc>
        <w:tc>
          <w:tcPr>
            <w:tcW w:w="7110" w:type="dxa"/>
            <w:tcBorders>
              <w:tl2br w:val="nil"/>
              <w:tr2bl w:val="nil"/>
            </w:tcBorders>
            <w:vAlign w:val="center"/>
          </w:tcPr>
          <w:p w14:paraId="7ABA5A0E">
            <w:pPr>
              <w:widowControl w:val="0"/>
              <w:snapToGrid w:val="0"/>
              <w:spacing w:line="360" w:lineRule="auto"/>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价格：</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30</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分</w:t>
            </w:r>
          </w:p>
          <w:p w14:paraId="75844400">
            <w:pPr>
              <w:widowControl w:val="0"/>
              <w:snapToGrid w:val="0"/>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技术：</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36</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分</w:t>
            </w:r>
          </w:p>
          <w:p w14:paraId="0B314410">
            <w:pPr>
              <w:widowControl w:val="0"/>
              <w:snapToGrid w:val="0"/>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履约能力评价：</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 xml:space="preserve">24 </w:t>
            </w:r>
            <w:r>
              <w:rPr>
                <w:rFonts w:hint="eastAsia" w:cs="宋体" w:asciiTheme="minorEastAsia" w:hAnsiTheme="minorEastAsia" w:eastAsiaTheme="minorEastAsia"/>
                <w:color w:val="auto"/>
                <w:sz w:val="24"/>
                <w:szCs w:val="24"/>
              </w:rPr>
              <w:t>分</w:t>
            </w:r>
          </w:p>
          <w:p w14:paraId="21C10209">
            <w:pPr>
              <w:widowControl w:val="0"/>
              <w:snapToGrid w:val="0"/>
              <w:spacing w:line="360"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服务能力评价：</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 xml:space="preserve">10 </w:t>
            </w:r>
            <w:r>
              <w:rPr>
                <w:rFonts w:hint="eastAsia" w:cs="宋体" w:asciiTheme="minorEastAsia" w:hAnsiTheme="minorEastAsia" w:eastAsiaTheme="minorEastAsia"/>
                <w:color w:val="auto"/>
                <w:sz w:val="24"/>
                <w:szCs w:val="24"/>
              </w:rPr>
              <w:t>分</w:t>
            </w:r>
          </w:p>
        </w:tc>
      </w:tr>
      <w:tr w14:paraId="21614B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1060" w:type="dxa"/>
            <w:tcBorders>
              <w:tl2br w:val="nil"/>
              <w:tr2bl w:val="nil"/>
            </w:tcBorders>
            <w:vAlign w:val="center"/>
          </w:tcPr>
          <w:p w14:paraId="44270EED">
            <w:pPr>
              <w:widowControl w:val="0"/>
              <w:autoSpaceDE w:val="0"/>
              <w:autoSpaceDN w:val="0"/>
              <w:adjustRightInd w:val="0"/>
              <w:spacing w:line="240" w:lineRule="auto"/>
              <w:jc w:val="center"/>
              <w:textAlignment w:val="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条款号</w:t>
            </w:r>
          </w:p>
        </w:tc>
        <w:tc>
          <w:tcPr>
            <w:tcW w:w="1860" w:type="dxa"/>
            <w:tcBorders>
              <w:tl2br w:val="nil"/>
              <w:tr2bl w:val="nil"/>
            </w:tcBorders>
            <w:vAlign w:val="center"/>
          </w:tcPr>
          <w:p w14:paraId="62066A00">
            <w:pPr>
              <w:widowControl w:val="0"/>
              <w:snapToGrid w:val="0"/>
              <w:spacing w:line="240" w:lineRule="auto"/>
              <w:ind w:hanging="13"/>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评分因素</w:t>
            </w:r>
          </w:p>
        </w:tc>
        <w:tc>
          <w:tcPr>
            <w:tcW w:w="7110" w:type="dxa"/>
            <w:tcBorders>
              <w:tl2br w:val="nil"/>
              <w:tr2bl w:val="nil"/>
            </w:tcBorders>
            <w:vAlign w:val="center"/>
          </w:tcPr>
          <w:p w14:paraId="6F25AB5F">
            <w:pPr>
              <w:widowControl w:val="0"/>
              <w:snapToGrid w:val="0"/>
              <w:spacing w:line="240"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评分标准</w:t>
            </w:r>
          </w:p>
        </w:tc>
      </w:tr>
      <w:tr w14:paraId="66A41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jc w:val="center"/>
        </w:trPr>
        <w:tc>
          <w:tcPr>
            <w:tcW w:w="1060" w:type="dxa"/>
            <w:tcBorders>
              <w:tl2br w:val="nil"/>
              <w:tr2bl w:val="nil"/>
            </w:tcBorders>
            <w:vAlign w:val="center"/>
          </w:tcPr>
          <w:p w14:paraId="1B77DBDE">
            <w:pPr>
              <w:widowControl w:val="0"/>
              <w:autoSpaceDE w:val="0"/>
              <w:autoSpaceDN w:val="0"/>
              <w:adjustRightInd w:val="0"/>
              <w:spacing w:line="240"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2.2.2.1</w:t>
            </w:r>
          </w:p>
        </w:tc>
        <w:tc>
          <w:tcPr>
            <w:tcW w:w="1860" w:type="dxa"/>
            <w:tcBorders>
              <w:tl2br w:val="nil"/>
              <w:tr2bl w:val="nil"/>
            </w:tcBorders>
            <w:vAlign w:val="center"/>
          </w:tcPr>
          <w:p w14:paraId="2113796B">
            <w:pPr>
              <w:widowControl w:val="0"/>
              <w:autoSpaceDE w:val="0"/>
              <w:autoSpaceDN w:val="0"/>
              <w:adjustRightInd w:val="0"/>
              <w:snapToGrid w:val="0"/>
              <w:spacing w:line="240"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价格</w:t>
            </w:r>
          </w:p>
        </w:tc>
        <w:tc>
          <w:tcPr>
            <w:tcW w:w="7110" w:type="dxa"/>
            <w:tcBorders>
              <w:tl2br w:val="nil"/>
              <w:tr2bl w:val="nil"/>
            </w:tcBorders>
            <w:vAlign w:val="center"/>
          </w:tcPr>
          <w:p w14:paraId="134CF9F1">
            <w:pPr>
              <w:widowControl w:val="0"/>
              <w:snapToGrid w:val="0"/>
              <w:spacing w:line="360" w:lineRule="auto"/>
              <w:rPr>
                <w:rFonts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b/>
                <w:bCs/>
                <w:color w:val="auto"/>
                <w:sz w:val="24"/>
                <w:szCs w:val="24"/>
              </w:rPr>
              <w:t xml:space="preserve"> 1、价格因素（30分）</w:t>
            </w:r>
          </w:p>
          <w:p w14:paraId="5E7DCDF0">
            <w:pPr>
              <w:widowControl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（1）按第四章“评审办法”第4条规定，评审小微企业价格扣除；</w:t>
            </w:r>
          </w:p>
          <w:p w14:paraId="3E198F82">
            <w:pPr>
              <w:widowControl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（2）所有有效供应商的磋商报价（扣除经评审合格的“价格扣除”）中，价格最低的磋商报价（扣除经评审合格的“价格扣除”）为磋商基准价；</w:t>
            </w:r>
          </w:p>
          <w:p w14:paraId="767EC856">
            <w:pPr>
              <w:widowControl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（3）有效磋商报价（扣除经评审合格的“价格扣除”）等于磋商基准价的得30分；</w:t>
            </w:r>
          </w:p>
          <w:p w14:paraId="1598DCD7">
            <w:pPr>
              <w:widowControl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（4）其他供应商磋商报价（扣除经评审合格的“价格扣除”）得分=（磋商基准价/最后磋商报价&lt;扣除经评审合格的“价格扣除”&gt;）×0.3×100。</w:t>
            </w:r>
          </w:p>
        </w:tc>
      </w:tr>
      <w:tr w14:paraId="76200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9" w:hRule="atLeast"/>
          <w:jc w:val="center"/>
        </w:trPr>
        <w:tc>
          <w:tcPr>
            <w:tcW w:w="1060" w:type="dxa"/>
            <w:tcBorders>
              <w:tl2br w:val="nil"/>
              <w:tr2bl w:val="nil"/>
            </w:tcBorders>
            <w:vAlign w:val="center"/>
          </w:tcPr>
          <w:p w14:paraId="6A9AB38E">
            <w:pPr>
              <w:widowControl w:val="0"/>
              <w:autoSpaceDE w:val="0"/>
              <w:autoSpaceDN w:val="0"/>
              <w:adjustRightInd w:val="0"/>
              <w:spacing w:line="240"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2.2.2.2</w:t>
            </w:r>
          </w:p>
        </w:tc>
        <w:tc>
          <w:tcPr>
            <w:tcW w:w="1860" w:type="dxa"/>
            <w:tcBorders>
              <w:tl2br w:val="nil"/>
              <w:tr2bl w:val="nil"/>
            </w:tcBorders>
            <w:vAlign w:val="center"/>
          </w:tcPr>
          <w:p w14:paraId="6DC081C8">
            <w:pPr>
              <w:widowControl w:val="0"/>
              <w:autoSpaceDE w:val="0"/>
              <w:autoSpaceDN w:val="0"/>
              <w:adjustRightInd w:val="0"/>
              <w:snapToGrid w:val="0"/>
              <w:spacing w:line="240" w:lineRule="auto"/>
              <w:jc w:val="center"/>
              <w:textAlignment w:val="auto"/>
              <w:rPr>
                <w:rFonts w:cs="宋体" w:asciiTheme="minorEastAsia" w:hAnsiTheme="minorEastAsia" w:eastAsiaTheme="minorEastAsia"/>
                <w:b/>
                <w:color w:val="auto"/>
                <w:sz w:val="24"/>
                <w:szCs w:val="24"/>
              </w:rPr>
            </w:pPr>
            <w:r>
              <w:rPr>
                <w:rFonts w:hint="eastAsia" w:cs="宋体" w:asciiTheme="minorEastAsia" w:hAnsiTheme="minorEastAsia" w:eastAsiaTheme="minorEastAsia"/>
                <w:color w:val="auto"/>
                <w:sz w:val="24"/>
                <w:szCs w:val="24"/>
              </w:rPr>
              <w:t>技术</w:t>
            </w:r>
          </w:p>
        </w:tc>
        <w:tc>
          <w:tcPr>
            <w:tcW w:w="7110" w:type="dxa"/>
            <w:tcBorders>
              <w:tl2br w:val="nil"/>
              <w:tr2bl w:val="nil"/>
            </w:tcBorders>
            <w:vAlign w:val="center"/>
          </w:tcPr>
          <w:p w14:paraId="1207835B">
            <w:pPr>
              <w:widowControl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b/>
                <w:bCs/>
                <w:color w:val="auto"/>
                <w:sz w:val="24"/>
                <w:szCs w:val="24"/>
              </w:rPr>
              <w:t xml:space="preserve"> 1、技术指标（20分）</w:t>
            </w:r>
          </w:p>
          <w:p w14:paraId="0B2D6D67">
            <w:pPr>
              <w:widowControl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（1）完全符合《磋商文件》第二章2.4“具体技术服务要求及标段（包）内容（范围）</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具体要求-技术指标”的，得基本分20分；</w:t>
            </w:r>
          </w:p>
          <w:p w14:paraId="5119BBBD">
            <w:pPr>
              <w:widowControl w:val="0"/>
              <w:snapToGrid w:val="0"/>
              <w:spacing w:line="360" w:lineRule="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（2）《磋商文件》第二章2.4“具体技术服务要求及标段（包）内容（范围）</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具体要求-技术指标”中</w:t>
            </w:r>
            <w:r>
              <w:rPr>
                <w:rFonts w:hint="eastAsia" w:asciiTheme="minorEastAsia" w:hAnsiTheme="minorEastAsia" w:eastAsiaTheme="minorEastAsia"/>
                <w:color w:val="auto"/>
                <w:sz w:val="24"/>
                <w:szCs w:val="24"/>
                <w:lang w:val="en-US" w:eastAsia="zh-CN"/>
              </w:rPr>
              <w:t>的一般技术指标（即不带符号项）</w:t>
            </w:r>
            <w:r>
              <w:rPr>
                <w:rFonts w:hint="eastAsia" w:asciiTheme="minorEastAsia" w:hAnsiTheme="minorEastAsia" w:eastAsiaTheme="minorEastAsia"/>
                <w:color w:val="auto"/>
                <w:sz w:val="24"/>
                <w:szCs w:val="24"/>
              </w:rPr>
              <w:t>每有1项负偏离则在基本分基础上扣5分，基本分扣完为止；</w:t>
            </w:r>
            <w:r>
              <w:rPr>
                <w:rFonts w:hint="eastAsia" w:asciiTheme="minorEastAsia" w:hAnsiTheme="minorEastAsia" w:eastAsiaTheme="minorEastAsia"/>
                <w:color w:val="auto"/>
                <w:sz w:val="24"/>
                <w:szCs w:val="24"/>
                <w:lang w:val="en-US" w:eastAsia="zh-CN"/>
              </w:rPr>
              <w:t>一般技术指标</w:t>
            </w:r>
            <w:r>
              <w:rPr>
                <w:rFonts w:hint="eastAsia" w:asciiTheme="minorEastAsia" w:hAnsiTheme="minorEastAsia" w:eastAsiaTheme="minorEastAsia"/>
                <w:color w:val="auto"/>
                <w:sz w:val="24"/>
                <w:szCs w:val="24"/>
              </w:rPr>
              <w:t>超过4项负偏离的视为</w:t>
            </w:r>
            <w:r>
              <w:rPr>
                <w:rFonts w:hint="eastAsia" w:asciiTheme="minorEastAsia" w:hAnsiTheme="minorEastAsia" w:eastAsiaTheme="minorEastAsia"/>
                <w:b/>
                <w:bCs/>
                <w:color w:val="auto"/>
                <w:sz w:val="24"/>
                <w:szCs w:val="24"/>
              </w:rPr>
              <w:t>无效</w:t>
            </w:r>
            <w:r>
              <w:rPr>
                <w:rFonts w:hint="eastAsia" w:asciiTheme="minorEastAsia" w:hAnsiTheme="minorEastAsia" w:eastAsiaTheme="minorEastAsia"/>
                <w:b/>
                <w:bCs/>
                <w:color w:val="auto"/>
                <w:sz w:val="24"/>
                <w:szCs w:val="24"/>
                <w:lang w:val="en-US" w:eastAsia="zh-CN"/>
              </w:rPr>
              <w:t>响应</w:t>
            </w:r>
            <w:r>
              <w:rPr>
                <w:rFonts w:hint="eastAsia" w:asciiTheme="minorEastAsia" w:hAnsiTheme="minorEastAsia" w:eastAsiaTheme="minorEastAsia"/>
                <w:color w:val="auto"/>
                <w:sz w:val="24"/>
                <w:szCs w:val="24"/>
              </w:rPr>
              <w:t>。</w:t>
            </w:r>
          </w:p>
          <w:p w14:paraId="1729EDF0">
            <w:pPr>
              <w:widowControl w:val="0"/>
              <w:snapToGrid w:val="0"/>
              <w:spacing w:line="360" w:lineRule="auto"/>
              <w:rPr>
                <w:rFonts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b/>
                <w:bCs/>
                <w:color w:val="auto"/>
                <w:sz w:val="24"/>
                <w:szCs w:val="24"/>
              </w:rPr>
              <w:t>2、开发能力（12分）</w:t>
            </w:r>
          </w:p>
          <w:p w14:paraId="30CA8F80">
            <w:pPr>
              <w:widowControl w:val="0"/>
              <w:snapToGrid w:val="0"/>
              <w:spacing w:line="360" w:lineRule="auto"/>
              <w:ind w:firstLine="360" w:firstLineChars="150"/>
              <w:rPr>
                <w:rFonts w:ascii="宋体" w:hAnsi="宋体"/>
                <w:color w:val="auto"/>
                <w:sz w:val="24"/>
                <w:szCs w:val="24"/>
              </w:rPr>
            </w:pPr>
            <w:r>
              <w:rPr>
                <w:rFonts w:hint="eastAsia" w:asciiTheme="minorEastAsia" w:hAnsiTheme="minorEastAsia" w:eastAsiaTheme="minorEastAsia"/>
                <w:color w:val="auto"/>
                <w:sz w:val="24"/>
                <w:szCs w:val="24"/>
              </w:rPr>
              <w:t>为满足持续的一体化开发能力，所投产品具有一定的自主知识产权，并能够提供代表自主知识产权的证明；《响应文件》中提供：医保DIP支付改革资金结余分析系统类、医保DRG支付改革资金结余分析系统类、医共体医保分析平台类、医共体大数据分析平台类、医共体监管平台类、数据集成ETL管理系统类的软件著作权登记证书或软件产品登记证书（名称类似即可，无需完全一致）；每提供其中一项得2分，最多得12分；《响应文件》中提供相应证书扫描件，</w:t>
            </w:r>
            <w:r>
              <w:rPr>
                <w:rFonts w:hint="eastAsia" w:ascii="宋体" w:hAnsi="宋体"/>
                <w:color w:val="auto"/>
                <w:sz w:val="24"/>
                <w:szCs w:val="24"/>
              </w:rPr>
              <w:t>否则不得分。</w:t>
            </w:r>
          </w:p>
          <w:p w14:paraId="7A896DBD">
            <w:pPr>
              <w:widowControl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b/>
                <w:bCs/>
                <w:color w:val="auto"/>
                <w:sz w:val="24"/>
                <w:szCs w:val="24"/>
              </w:rPr>
              <w:t>3、技术认证（4分）</w:t>
            </w:r>
          </w:p>
          <w:p w14:paraId="36C351D6">
            <w:pPr>
              <w:widowControl w:val="0"/>
              <w:snapToGrid w:val="0"/>
              <w:spacing w:line="360" w:lineRule="auto"/>
              <w:rPr>
                <w:rFonts w:ascii="宋体" w:hAnsi="宋体"/>
                <w:color w:val="auto"/>
                <w:sz w:val="24"/>
                <w:szCs w:val="24"/>
              </w:rPr>
            </w:pPr>
            <w:r>
              <w:rPr>
                <w:rFonts w:hint="eastAsia" w:asciiTheme="minorEastAsia" w:hAnsiTheme="minorEastAsia" w:eastAsiaTheme="minorEastAsia"/>
                <w:color w:val="auto"/>
                <w:sz w:val="24"/>
                <w:szCs w:val="24"/>
              </w:rPr>
              <w:t xml:space="preserve"> （1）供应商（或所投产品生产厂家）取得</w:t>
            </w:r>
            <w:r>
              <w:rPr>
                <w:rFonts w:hint="eastAsia" w:asciiTheme="minorEastAsia" w:hAnsiTheme="minorEastAsia" w:eastAsiaTheme="minorEastAsia"/>
                <w:color w:val="auto"/>
                <w:sz w:val="24"/>
                <w:szCs w:val="24"/>
                <w:lang w:val="zh-CN"/>
              </w:rPr>
              <w:t>高新技术企业</w:t>
            </w:r>
            <w:r>
              <w:rPr>
                <w:rFonts w:hint="eastAsia" w:asciiTheme="minorEastAsia" w:hAnsiTheme="minorEastAsia" w:eastAsiaTheme="minorEastAsia"/>
                <w:color w:val="auto"/>
                <w:sz w:val="24"/>
                <w:szCs w:val="24"/>
              </w:rPr>
              <w:t>认定的得2分，《响应文件》中提供证书扫描件，</w:t>
            </w:r>
            <w:r>
              <w:rPr>
                <w:rFonts w:hint="eastAsia" w:ascii="宋体" w:hAnsi="宋体"/>
                <w:color w:val="auto"/>
                <w:sz w:val="24"/>
                <w:szCs w:val="24"/>
              </w:rPr>
              <w:t>否则不得分。</w:t>
            </w:r>
          </w:p>
          <w:p w14:paraId="7B2742BB">
            <w:pPr>
              <w:widowControl w:val="0"/>
              <w:snapToGrid w:val="0"/>
              <w:spacing w:line="360" w:lineRule="auto"/>
              <w:rPr>
                <w:color w:val="auto"/>
              </w:rPr>
            </w:pPr>
            <w:r>
              <w:rPr>
                <w:rFonts w:hint="eastAsia" w:asciiTheme="minorEastAsia" w:hAnsiTheme="minorEastAsia" w:eastAsiaTheme="minorEastAsia"/>
                <w:color w:val="auto"/>
                <w:sz w:val="24"/>
                <w:szCs w:val="24"/>
              </w:rPr>
              <w:t xml:space="preserve"> （2）供应商（或所投产品生产厂家）取得</w:t>
            </w:r>
            <w:r>
              <w:rPr>
                <w:rFonts w:hint="eastAsia" w:asciiTheme="minorEastAsia" w:hAnsiTheme="minorEastAsia" w:eastAsiaTheme="minorEastAsia"/>
                <w:color w:val="auto"/>
                <w:sz w:val="24"/>
                <w:szCs w:val="24"/>
                <w:lang w:val="zh-CN"/>
              </w:rPr>
              <w:t>软件企业认定</w:t>
            </w:r>
            <w:r>
              <w:rPr>
                <w:rFonts w:hint="eastAsia" w:asciiTheme="minorEastAsia" w:hAnsiTheme="minorEastAsia" w:eastAsiaTheme="minorEastAsia"/>
                <w:color w:val="auto"/>
                <w:sz w:val="24"/>
                <w:szCs w:val="24"/>
              </w:rPr>
              <w:t>的得2分，《响应文件》中提供证书扫描件，</w:t>
            </w:r>
            <w:r>
              <w:rPr>
                <w:rFonts w:hint="eastAsia" w:ascii="宋体" w:hAnsi="宋体"/>
                <w:color w:val="auto"/>
                <w:sz w:val="24"/>
                <w:szCs w:val="24"/>
              </w:rPr>
              <w:t>否则不得分。</w:t>
            </w:r>
          </w:p>
        </w:tc>
      </w:tr>
      <w:tr w14:paraId="5A1C4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60" w:type="dxa"/>
            <w:tcBorders>
              <w:tl2br w:val="nil"/>
              <w:tr2bl w:val="nil"/>
            </w:tcBorders>
            <w:vAlign w:val="center"/>
          </w:tcPr>
          <w:p w14:paraId="2A51440D">
            <w:pPr>
              <w:widowControl w:val="0"/>
              <w:autoSpaceDE w:val="0"/>
              <w:autoSpaceDN w:val="0"/>
              <w:adjustRightInd w:val="0"/>
              <w:spacing w:line="240"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2.2.2.</w:t>
            </w:r>
            <w:r>
              <w:rPr>
                <w:rFonts w:hint="eastAsia" w:cs="宋体" w:asciiTheme="minorEastAsia" w:hAnsiTheme="minorEastAsia" w:eastAsiaTheme="minorEastAsia"/>
                <w:color w:val="auto"/>
                <w:sz w:val="24"/>
                <w:szCs w:val="24"/>
              </w:rPr>
              <w:t>3</w:t>
            </w:r>
          </w:p>
        </w:tc>
        <w:tc>
          <w:tcPr>
            <w:tcW w:w="1860" w:type="dxa"/>
            <w:tcBorders>
              <w:tl2br w:val="nil"/>
              <w:tr2bl w:val="nil"/>
            </w:tcBorders>
            <w:vAlign w:val="center"/>
          </w:tcPr>
          <w:p w14:paraId="05D4D8D6">
            <w:pPr>
              <w:widowControl w:val="0"/>
              <w:autoSpaceDE w:val="0"/>
              <w:autoSpaceDN w:val="0"/>
              <w:snapToGrid w:val="0"/>
              <w:spacing w:line="240"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履约能力评价</w:t>
            </w:r>
          </w:p>
        </w:tc>
        <w:tc>
          <w:tcPr>
            <w:tcW w:w="7110" w:type="dxa"/>
            <w:tcBorders>
              <w:tl2br w:val="nil"/>
              <w:tr2bl w:val="nil"/>
            </w:tcBorders>
            <w:vAlign w:val="center"/>
          </w:tcPr>
          <w:p w14:paraId="2B5C4F0C">
            <w:pPr>
              <w:widowControl w:val="0"/>
              <w:snapToGrid w:val="0"/>
              <w:spacing w:line="360" w:lineRule="auto"/>
              <w:rPr>
                <w:rFonts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b/>
                <w:bCs/>
                <w:color w:val="auto"/>
                <w:sz w:val="24"/>
                <w:szCs w:val="24"/>
              </w:rPr>
              <w:t xml:space="preserve"> 1、体系（6分）</w:t>
            </w:r>
          </w:p>
          <w:p w14:paraId="379BFC36">
            <w:pPr>
              <w:widowControl w:val="0"/>
              <w:snapToGrid w:val="0"/>
              <w:spacing w:line="360" w:lineRule="auto"/>
              <w:ind w:firstLine="360" w:firstLineChars="1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供应商（或所投产品厂家）通过第三方认证机构颁发的有效的：ISO质量管理体系认证、ISO信息安全管理体系认证，每提供</w:t>
            </w:r>
            <w:r>
              <w:rPr>
                <w:rFonts w:hint="eastAsia"/>
                <w:color w:val="auto"/>
                <w:sz w:val="24"/>
                <w:szCs w:val="24"/>
              </w:rPr>
              <w:t>其中一项</w:t>
            </w:r>
            <w:r>
              <w:rPr>
                <w:rFonts w:hint="eastAsia" w:asciiTheme="minorEastAsia" w:hAnsiTheme="minorEastAsia" w:eastAsiaTheme="minorEastAsia"/>
                <w:color w:val="auto"/>
                <w:sz w:val="24"/>
                <w:szCs w:val="24"/>
              </w:rPr>
              <w:t>得3分，最多得6分；《响应文件》中提供相应证书扫描件，</w:t>
            </w:r>
            <w:r>
              <w:rPr>
                <w:rFonts w:hint="eastAsia" w:ascii="宋体" w:hAnsi="宋体"/>
                <w:color w:val="auto"/>
                <w:sz w:val="24"/>
                <w:szCs w:val="24"/>
              </w:rPr>
              <w:t>否则不得分。</w:t>
            </w:r>
          </w:p>
          <w:p w14:paraId="07AE7EF4">
            <w:pPr>
              <w:widowControl w:val="0"/>
              <w:snapToGrid w:val="0"/>
              <w:spacing w:line="360" w:lineRule="auto"/>
              <w:rPr>
                <w:rFonts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b/>
                <w:bCs/>
                <w:color w:val="auto"/>
                <w:sz w:val="24"/>
                <w:szCs w:val="24"/>
              </w:rPr>
              <w:t xml:space="preserve"> 2、业绩（</w:t>
            </w:r>
            <w:r>
              <w:rPr>
                <w:rFonts w:hint="eastAsia" w:asciiTheme="minorEastAsia" w:hAnsiTheme="minorEastAsia" w:eastAsiaTheme="minorEastAsia"/>
                <w:b/>
                <w:bCs/>
                <w:color w:val="auto"/>
                <w:sz w:val="24"/>
                <w:szCs w:val="24"/>
                <w:lang w:val="en-US" w:eastAsia="zh-CN"/>
              </w:rPr>
              <w:t>9</w:t>
            </w:r>
            <w:r>
              <w:rPr>
                <w:rFonts w:hint="eastAsia" w:asciiTheme="minorEastAsia" w:hAnsiTheme="minorEastAsia" w:eastAsiaTheme="minorEastAsia"/>
                <w:b/>
                <w:bCs/>
                <w:color w:val="auto"/>
                <w:sz w:val="24"/>
                <w:szCs w:val="24"/>
              </w:rPr>
              <w:t>分）</w:t>
            </w:r>
          </w:p>
          <w:p w14:paraId="596A9469">
            <w:pPr>
              <w:widowControl w:val="0"/>
              <w:snapToGrid w:val="0"/>
              <w:spacing w:line="360" w:lineRule="auto"/>
              <w:ind w:firstLine="360" w:firstLineChars="150"/>
              <w:rPr>
                <w:rFonts w:ascii="宋体" w:hAnsi="宋体"/>
                <w:color w:val="auto"/>
                <w:sz w:val="24"/>
                <w:szCs w:val="24"/>
              </w:rPr>
            </w:pPr>
            <w:r>
              <w:rPr>
                <w:rFonts w:hint="eastAsia" w:asciiTheme="minorEastAsia" w:hAnsiTheme="minorEastAsia" w:eastAsiaTheme="minorEastAsia"/>
                <w:color w:val="auto"/>
                <w:sz w:val="24"/>
                <w:szCs w:val="24"/>
              </w:rPr>
              <w:t>供应商（或所投产品厂家）自2022年1月1日以来（以合同签订时间为准）的同类项目业绩，每提供1个业绩得</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分，最多得</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rPr>
              <w:t>分；《响应文件》中提供：合同扫描件、中标通知书扫描件和验收报告扫描件</w:t>
            </w:r>
            <w:r>
              <w:rPr>
                <w:rFonts w:hint="eastAsia" w:ascii="宋体" w:hAnsi="宋体"/>
                <w:color w:val="auto"/>
                <w:sz w:val="24"/>
                <w:szCs w:val="24"/>
              </w:rPr>
              <w:t>，否则不得分。</w:t>
            </w:r>
          </w:p>
          <w:p w14:paraId="56B3401C">
            <w:pPr>
              <w:widowControl w:val="0"/>
              <w:snapToGrid w:val="0"/>
              <w:spacing w:line="360" w:lineRule="auto"/>
              <w:rPr>
                <w:rFonts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b/>
                <w:bCs/>
                <w:color w:val="auto"/>
                <w:sz w:val="24"/>
                <w:szCs w:val="24"/>
              </w:rPr>
              <w:t xml:space="preserve"> 3、拟派团队（</w:t>
            </w:r>
            <w:r>
              <w:rPr>
                <w:rFonts w:hint="eastAsia" w:asciiTheme="minorEastAsia" w:hAnsiTheme="minorEastAsia" w:eastAsiaTheme="minorEastAsia"/>
                <w:b/>
                <w:bCs/>
                <w:color w:val="auto"/>
                <w:sz w:val="24"/>
                <w:szCs w:val="24"/>
                <w:lang w:val="en-US" w:eastAsia="zh-CN"/>
              </w:rPr>
              <w:t>9</w:t>
            </w:r>
            <w:r>
              <w:rPr>
                <w:rFonts w:hint="eastAsia" w:asciiTheme="minorEastAsia" w:hAnsiTheme="minorEastAsia" w:eastAsiaTheme="minorEastAsia"/>
                <w:b/>
                <w:bCs/>
                <w:color w:val="auto"/>
                <w:sz w:val="24"/>
                <w:szCs w:val="24"/>
              </w:rPr>
              <w:t>分）</w:t>
            </w:r>
          </w:p>
          <w:p w14:paraId="7C444521">
            <w:pPr>
              <w:widowControl w:val="0"/>
              <w:snapToGrid w:val="0"/>
              <w:spacing w:line="360" w:lineRule="auto"/>
              <w:rPr>
                <w:color w:val="auto"/>
              </w:rPr>
            </w:pPr>
            <w:r>
              <w:rPr>
                <w:rFonts w:hint="eastAsia" w:asciiTheme="minorEastAsia" w:hAnsiTheme="minorEastAsia" w:eastAsiaTheme="minorEastAsia"/>
                <w:color w:val="auto"/>
                <w:sz w:val="24"/>
                <w:szCs w:val="24"/>
              </w:rPr>
              <w:t xml:space="preserve"> （1）拟派团队成员中具有：</w:t>
            </w:r>
            <w:r>
              <w:rPr>
                <w:rFonts w:hint="eastAsia"/>
                <w:color w:val="auto"/>
                <w:sz w:val="24"/>
                <w:szCs w:val="24"/>
              </w:rPr>
              <w:t>软件设计师、高级软件工程师、网络工程师，每提供其中一项</w:t>
            </w:r>
            <w:r>
              <w:rPr>
                <w:rFonts w:hint="eastAsia" w:asciiTheme="minorEastAsia" w:hAnsiTheme="minorEastAsia" w:eastAsiaTheme="minorEastAsia"/>
                <w:color w:val="auto"/>
                <w:sz w:val="24"/>
                <w:szCs w:val="24"/>
              </w:rPr>
              <w:t>得</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分，最多得</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rPr>
              <w:t>分；《响应文件》中提供相应证书扫描件和供应商（或所投产品厂家）为其缴纳社保的证明，</w:t>
            </w:r>
            <w:r>
              <w:rPr>
                <w:rFonts w:hint="eastAsia" w:ascii="宋体" w:hAnsi="宋体"/>
                <w:color w:val="auto"/>
                <w:sz w:val="24"/>
                <w:szCs w:val="24"/>
              </w:rPr>
              <w:t>否则不得分。</w:t>
            </w:r>
          </w:p>
        </w:tc>
      </w:tr>
      <w:tr w14:paraId="21552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1060" w:type="dxa"/>
            <w:tcBorders>
              <w:tl2br w:val="nil"/>
              <w:tr2bl w:val="nil"/>
            </w:tcBorders>
            <w:vAlign w:val="center"/>
          </w:tcPr>
          <w:p w14:paraId="25992645">
            <w:pPr>
              <w:widowControl w:val="0"/>
              <w:autoSpaceDE w:val="0"/>
              <w:autoSpaceDN w:val="0"/>
              <w:adjustRightInd w:val="0"/>
              <w:spacing w:line="240"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2.2.2.</w:t>
            </w:r>
            <w:r>
              <w:rPr>
                <w:rFonts w:hint="eastAsia" w:cs="宋体" w:asciiTheme="minorEastAsia" w:hAnsiTheme="minorEastAsia" w:eastAsiaTheme="minorEastAsia"/>
                <w:color w:val="auto"/>
                <w:sz w:val="24"/>
                <w:szCs w:val="24"/>
              </w:rPr>
              <w:t>4</w:t>
            </w:r>
          </w:p>
        </w:tc>
        <w:tc>
          <w:tcPr>
            <w:tcW w:w="1860" w:type="dxa"/>
            <w:tcBorders>
              <w:tl2br w:val="nil"/>
              <w:tr2bl w:val="nil"/>
            </w:tcBorders>
            <w:vAlign w:val="center"/>
          </w:tcPr>
          <w:p w14:paraId="7EB1F5F8">
            <w:pPr>
              <w:widowControl w:val="0"/>
              <w:autoSpaceDE w:val="0"/>
              <w:autoSpaceDN w:val="0"/>
              <w:snapToGrid w:val="0"/>
              <w:spacing w:line="240"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服务能力评价</w:t>
            </w:r>
          </w:p>
        </w:tc>
        <w:tc>
          <w:tcPr>
            <w:tcW w:w="7110" w:type="dxa"/>
            <w:tcBorders>
              <w:tl2br w:val="nil"/>
              <w:tr2bl w:val="nil"/>
            </w:tcBorders>
            <w:vAlign w:val="center"/>
          </w:tcPr>
          <w:p w14:paraId="0FFE5AF8">
            <w:pPr>
              <w:pStyle w:val="49"/>
              <w:spacing w:line="360" w:lineRule="auto"/>
              <w:ind w:firstLine="482" w:firstLineChars="200"/>
              <w:jc w:val="both"/>
              <w:rPr>
                <w:rFonts w:hAnsi="宋体"/>
                <w:b/>
                <w:bCs/>
                <w:color w:val="auto"/>
                <w:szCs w:val="24"/>
              </w:rPr>
            </w:pPr>
            <w:r>
              <w:rPr>
                <w:rFonts w:hint="eastAsia" w:hAnsi="宋体"/>
                <w:b/>
                <w:bCs/>
                <w:color w:val="auto"/>
                <w:szCs w:val="24"/>
              </w:rPr>
              <w:t>1、服务方案（10分）</w:t>
            </w:r>
          </w:p>
          <w:p w14:paraId="4DE70B0C">
            <w:pPr>
              <w:widowControl w:val="0"/>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针对采购人实际情况（实施条件、项目目标），对本项目实施、售后运维等服务环节提出专项方案；磋商小组将根据下述评价标准对供应商所投服务方案的5项细化内容进行评价打分：</w:t>
            </w:r>
          </w:p>
          <w:p w14:paraId="1C66054E">
            <w:pPr>
              <w:pStyle w:val="49"/>
              <w:spacing w:line="360" w:lineRule="auto"/>
              <w:ind w:firstLine="482" w:firstLineChars="200"/>
              <w:jc w:val="both"/>
              <w:rPr>
                <w:rFonts w:hAnsi="宋体" w:cs="宋体"/>
                <w:b/>
                <w:bCs/>
                <w:color w:val="auto"/>
                <w:szCs w:val="24"/>
              </w:rPr>
            </w:pPr>
            <w:r>
              <w:rPr>
                <w:rFonts w:hint="eastAsia" w:hAnsi="宋体" w:cs="宋体"/>
                <w:b/>
                <w:bCs/>
                <w:color w:val="auto"/>
                <w:szCs w:val="24"/>
              </w:rPr>
              <w:t>评价标准：</w:t>
            </w:r>
          </w:p>
          <w:p w14:paraId="502381E6">
            <w:pPr>
              <w:pStyle w:val="49"/>
              <w:spacing w:line="360" w:lineRule="auto"/>
              <w:ind w:firstLine="480" w:firstLineChars="200"/>
              <w:jc w:val="both"/>
              <w:rPr>
                <w:rFonts w:hAnsi="宋体" w:cs="宋体"/>
                <w:color w:val="auto"/>
                <w:szCs w:val="24"/>
              </w:rPr>
            </w:pPr>
            <w:r>
              <w:rPr>
                <w:rFonts w:hint="eastAsia" w:hAnsi="宋体" w:cs="宋体"/>
                <w:color w:val="auto"/>
                <w:szCs w:val="24"/>
              </w:rPr>
              <w:t>A档：方案细致完善、科学、具体且量化；</w:t>
            </w:r>
          </w:p>
          <w:p w14:paraId="621228DD">
            <w:pPr>
              <w:pStyle w:val="49"/>
              <w:spacing w:line="360" w:lineRule="auto"/>
              <w:ind w:firstLine="480" w:firstLineChars="200"/>
              <w:jc w:val="both"/>
              <w:rPr>
                <w:rFonts w:hAnsi="宋体" w:cs="宋体"/>
                <w:color w:val="auto"/>
                <w:szCs w:val="24"/>
              </w:rPr>
            </w:pPr>
            <w:r>
              <w:rPr>
                <w:rFonts w:hint="eastAsia" w:hAnsi="宋体" w:cs="宋体"/>
                <w:color w:val="auto"/>
                <w:szCs w:val="24"/>
              </w:rPr>
              <w:t>B档：方案全面、合理、可行性较高；</w:t>
            </w:r>
          </w:p>
          <w:p w14:paraId="463665EB">
            <w:pPr>
              <w:pStyle w:val="49"/>
              <w:spacing w:line="360" w:lineRule="auto"/>
              <w:ind w:firstLine="480" w:firstLineChars="200"/>
              <w:jc w:val="both"/>
              <w:rPr>
                <w:rFonts w:hAnsi="宋体" w:cs="宋体"/>
                <w:color w:val="auto"/>
                <w:szCs w:val="24"/>
              </w:rPr>
            </w:pPr>
            <w:r>
              <w:rPr>
                <w:rFonts w:hint="eastAsia" w:hAnsi="宋体" w:cs="宋体"/>
                <w:color w:val="auto"/>
                <w:szCs w:val="24"/>
              </w:rPr>
              <w:t>C档：方案完整；</w:t>
            </w:r>
          </w:p>
          <w:p w14:paraId="515907A7">
            <w:pPr>
              <w:pStyle w:val="49"/>
              <w:spacing w:line="360" w:lineRule="auto"/>
              <w:ind w:firstLine="480" w:firstLineChars="200"/>
              <w:jc w:val="both"/>
              <w:rPr>
                <w:rFonts w:hAnsi="宋体" w:cs="宋体"/>
                <w:color w:val="auto"/>
                <w:szCs w:val="24"/>
              </w:rPr>
            </w:pPr>
            <w:r>
              <w:rPr>
                <w:rFonts w:hint="eastAsia" w:hAnsi="宋体" w:cs="宋体"/>
                <w:color w:val="auto"/>
                <w:szCs w:val="24"/>
              </w:rPr>
              <w:t>缺项则对应项不得分。</w:t>
            </w:r>
          </w:p>
          <w:p w14:paraId="70449CB1">
            <w:pPr>
              <w:pStyle w:val="49"/>
              <w:spacing w:line="360" w:lineRule="auto"/>
              <w:ind w:firstLine="240" w:firstLineChars="100"/>
              <w:jc w:val="both"/>
              <w:rPr>
                <w:rFonts w:hAnsi="宋体" w:cs="宋体"/>
                <w:color w:val="auto"/>
                <w:szCs w:val="24"/>
              </w:rPr>
            </w:pPr>
            <w:r>
              <w:rPr>
                <w:rFonts w:hint="eastAsia" w:hAnsi="宋体" w:cs="宋体"/>
                <w:color w:val="auto"/>
                <w:szCs w:val="24"/>
              </w:rPr>
              <w:t>（1）总体设计：根据供应商对系统架构、系统组成、系统功能、数据汇总等设计进行评价打分：</w:t>
            </w:r>
          </w:p>
          <w:p w14:paraId="605DE6D0">
            <w:pPr>
              <w:pStyle w:val="49"/>
              <w:spacing w:line="360" w:lineRule="auto"/>
              <w:ind w:firstLine="480" w:firstLineChars="200"/>
              <w:jc w:val="both"/>
              <w:rPr>
                <w:rFonts w:hAnsi="宋体" w:cs="宋体"/>
                <w:color w:val="auto"/>
                <w:szCs w:val="24"/>
              </w:rPr>
            </w:pPr>
            <w:r>
              <w:rPr>
                <w:rFonts w:hint="eastAsia" w:hAnsi="宋体" w:cs="宋体"/>
                <w:color w:val="auto"/>
                <w:szCs w:val="24"/>
              </w:rPr>
              <w:t>A档：2分、B档：1分、C档：0.5分；</w:t>
            </w:r>
          </w:p>
          <w:p w14:paraId="7FBA1A0C">
            <w:pPr>
              <w:pStyle w:val="49"/>
              <w:spacing w:line="360" w:lineRule="auto"/>
              <w:ind w:firstLine="240" w:firstLineChars="100"/>
              <w:jc w:val="both"/>
              <w:rPr>
                <w:rFonts w:hAnsi="宋体" w:cs="宋体"/>
                <w:color w:val="auto"/>
                <w:szCs w:val="24"/>
              </w:rPr>
            </w:pPr>
            <w:r>
              <w:rPr>
                <w:rFonts w:hint="eastAsia" w:hAnsi="宋体" w:cs="宋体"/>
                <w:color w:val="auto"/>
                <w:szCs w:val="24"/>
              </w:rPr>
              <w:t>（2）接口方案：根据供应商对接口技术选型、接口安全性、接口一致性和完整性等设计进行评价打分：</w:t>
            </w:r>
          </w:p>
          <w:p w14:paraId="32E5CB18">
            <w:pPr>
              <w:pStyle w:val="49"/>
              <w:spacing w:line="360" w:lineRule="auto"/>
              <w:ind w:firstLine="240" w:firstLineChars="100"/>
              <w:jc w:val="both"/>
              <w:rPr>
                <w:rFonts w:hAnsi="宋体" w:cs="宋体"/>
                <w:color w:val="auto"/>
                <w:szCs w:val="24"/>
              </w:rPr>
            </w:pPr>
            <w:r>
              <w:rPr>
                <w:rFonts w:hint="eastAsia" w:hAnsi="宋体" w:cs="宋体"/>
                <w:color w:val="auto"/>
                <w:szCs w:val="24"/>
              </w:rPr>
              <w:t xml:space="preserve">  A档：2分、B档：1分、C档：0.5分；</w:t>
            </w:r>
          </w:p>
          <w:p w14:paraId="788FB97D">
            <w:pPr>
              <w:pStyle w:val="49"/>
              <w:spacing w:line="360" w:lineRule="auto"/>
              <w:ind w:firstLine="240" w:firstLineChars="100"/>
              <w:jc w:val="both"/>
              <w:rPr>
                <w:rFonts w:hAnsi="宋体" w:cs="宋体"/>
                <w:color w:val="auto"/>
                <w:szCs w:val="24"/>
              </w:rPr>
            </w:pPr>
            <w:r>
              <w:rPr>
                <w:rFonts w:hint="eastAsia" w:hAnsi="宋体" w:cs="宋体"/>
                <w:color w:val="auto"/>
                <w:szCs w:val="24"/>
              </w:rPr>
              <w:t>（3）数据治理方案：根据供应商对数据采集、数据清洗、数据脱敏、数据治理等设计进行评价打分：</w:t>
            </w:r>
          </w:p>
          <w:p w14:paraId="31A9791D">
            <w:pPr>
              <w:pStyle w:val="49"/>
              <w:spacing w:line="360" w:lineRule="auto"/>
              <w:ind w:firstLine="240" w:firstLineChars="100"/>
              <w:jc w:val="both"/>
              <w:rPr>
                <w:rFonts w:hAnsi="宋体" w:cs="宋体"/>
                <w:color w:val="auto"/>
                <w:szCs w:val="24"/>
              </w:rPr>
            </w:pPr>
            <w:r>
              <w:rPr>
                <w:rFonts w:hint="eastAsia" w:hAnsi="宋体" w:cs="宋体"/>
                <w:color w:val="auto"/>
                <w:szCs w:val="24"/>
              </w:rPr>
              <w:t xml:space="preserve">  A档：2分、B档：1分、C档：0.5分；</w:t>
            </w:r>
          </w:p>
          <w:p w14:paraId="1B0F13A5">
            <w:pPr>
              <w:pStyle w:val="49"/>
              <w:spacing w:line="360" w:lineRule="auto"/>
              <w:ind w:firstLine="240" w:firstLineChars="100"/>
              <w:jc w:val="both"/>
              <w:rPr>
                <w:rFonts w:hAnsi="宋体" w:cs="宋体"/>
                <w:color w:val="auto"/>
                <w:szCs w:val="24"/>
              </w:rPr>
            </w:pPr>
            <w:r>
              <w:rPr>
                <w:rFonts w:hint="eastAsia" w:hAnsi="宋体" w:cs="宋体"/>
                <w:color w:val="auto"/>
                <w:szCs w:val="24"/>
              </w:rPr>
              <w:t>（4）安全方案：根据供应商对网络安全、数据安全、应用安全等设计进行评价打分：</w:t>
            </w:r>
          </w:p>
          <w:p w14:paraId="00C41370">
            <w:pPr>
              <w:pStyle w:val="49"/>
              <w:spacing w:line="360" w:lineRule="auto"/>
              <w:ind w:firstLine="240" w:firstLineChars="100"/>
              <w:jc w:val="both"/>
              <w:rPr>
                <w:rFonts w:hAnsi="宋体" w:cs="宋体"/>
                <w:color w:val="auto"/>
                <w:szCs w:val="24"/>
              </w:rPr>
            </w:pPr>
            <w:r>
              <w:rPr>
                <w:rFonts w:hint="eastAsia" w:hAnsi="宋体" w:cs="宋体"/>
                <w:color w:val="auto"/>
                <w:szCs w:val="24"/>
              </w:rPr>
              <w:t xml:space="preserve">  A档：2分、B档：1分、C档：0.5分；</w:t>
            </w:r>
          </w:p>
          <w:p w14:paraId="3024F23E">
            <w:pPr>
              <w:pStyle w:val="49"/>
              <w:spacing w:line="360" w:lineRule="auto"/>
              <w:ind w:firstLine="240" w:firstLineChars="100"/>
              <w:jc w:val="both"/>
              <w:rPr>
                <w:rFonts w:hAnsi="宋体" w:cs="宋体"/>
                <w:color w:val="auto"/>
                <w:szCs w:val="24"/>
              </w:rPr>
            </w:pPr>
            <w:r>
              <w:rPr>
                <w:rFonts w:hint="eastAsia" w:hAnsi="宋体" w:cs="宋体"/>
                <w:color w:val="auto"/>
                <w:szCs w:val="24"/>
              </w:rPr>
              <w:t>（5）运维方案：根据供应商对故障处理、日常维护、常规数据分析、需求响应等安排进行评价打分：</w:t>
            </w:r>
          </w:p>
          <w:p w14:paraId="25AC2E84">
            <w:pPr>
              <w:pStyle w:val="49"/>
              <w:spacing w:line="360" w:lineRule="auto"/>
              <w:ind w:firstLine="240" w:firstLineChars="100"/>
              <w:jc w:val="both"/>
              <w:rPr>
                <w:color w:val="auto"/>
              </w:rPr>
            </w:pPr>
            <w:r>
              <w:rPr>
                <w:rFonts w:hint="eastAsia" w:hAnsi="宋体" w:cs="宋体"/>
                <w:color w:val="auto"/>
                <w:szCs w:val="24"/>
              </w:rPr>
              <w:t xml:space="preserve">  A档：2分、B档：1分、C档：0.5分。</w:t>
            </w:r>
          </w:p>
        </w:tc>
      </w:tr>
    </w:tbl>
    <w:p w14:paraId="64D4947C">
      <w:pPr>
        <w:autoSpaceDE w:val="0"/>
        <w:autoSpaceDN w:val="0"/>
        <w:adjustRightInd w:val="0"/>
        <w:snapToGrid w:val="0"/>
        <w:spacing w:before="120" w:beforeLines="50" w:line="360" w:lineRule="auto"/>
        <w:ind w:firstLine="482" w:firstLineChars="200"/>
        <w:rPr>
          <w:rFonts w:asciiTheme="minorEastAsia" w:hAnsiTheme="minorEastAsia" w:eastAsiaTheme="minorEastAsia" w:cstheme="minorEastAsia"/>
          <w:b/>
          <w:bCs/>
          <w:color w:val="auto"/>
          <w:sz w:val="24"/>
          <w:lang w:val="zh-CN"/>
        </w:rPr>
      </w:pPr>
      <w:r>
        <w:rPr>
          <w:rFonts w:hint="eastAsia" w:asciiTheme="minorEastAsia" w:hAnsiTheme="minorEastAsia" w:eastAsiaTheme="minorEastAsia" w:cstheme="minorEastAsia"/>
          <w:b/>
          <w:bCs/>
          <w:color w:val="auto"/>
          <w:sz w:val="24"/>
          <w:szCs w:val="24"/>
        </w:rPr>
        <w:t>注：</w:t>
      </w:r>
      <w:r>
        <w:rPr>
          <w:rFonts w:hint="eastAsia" w:asciiTheme="minorEastAsia" w:hAnsiTheme="minorEastAsia" w:eastAsiaTheme="minorEastAsia" w:cstheme="minorEastAsia"/>
          <w:b/>
          <w:bCs/>
          <w:color w:val="auto"/>
          <w:sz w:val="24"/>
          <w:lang w:val="zh-CN"/>
        </w:rPr>
        <w:t>防范虚假证明材料的要求：基于当前监督检查工作要求，为防范虚假材料，供应商应按第六章14-1附件“证明材料查询核验工作的清单及要求”执行。</w:t>
      </w:r>
    </w:p>
    <w:p w14:paraId="671E5D62">
      <w:pPr>
        <w:autoSpaceDE w:val="0"/>
        <w:autoSpaceDN w:val="0"/>
        <w:adjustRightInd w:val="0"/>
        <w:snapToGrid w:val="0"/>
        <w:spacing w:before="120" w:beforeLines="50" w:line="300" w:lineRule="auto"/>
        <w:ind w:firstLine="619" w:firstLineChars="257"/>
        <w:jc w:val="left"/>
        <w:rPr>
          <w:b/>
          <w:color w:val="auto"/>
          <w:sz w:val="24"/>
          <w:szCs w:val="24"/>
        </w:rPr>
      </w:pPr>
    </w:p>
    <w:p w14:paraId="42944F67">
      <w:pPr>
        <w:spacing w:line="240" w:lineRule="auto"/>
        <w:jc w:val="left"/>
        <w:textAlignment w:val="auto"/>
        <w:rPr>
          <w:rFonts w:ascii="黑体" w:hAnsi="黑体" w:eastAsia="黑体" w:cs="楷体_GB2312"/>
          <w:b/>
          <w:bCs/>
          <w:color w:val="auto"/>
          <w:sz w:val="28"/>
          <w:szCs w:val="28"/>
          <w:lang w:val="zh-CN"/>
        </w:rPr>
      </w:pPr>
    </w:p>
    <w:p w14:paraId="7FEA01FE">
      <w:pPr>
        <w:spacing w:line="500" w:lineRule="exact"/>
        <w:jc w:val="left"/>
        <w:rPr>
          <w:rFonts w:ascii="黑体" w:hAnsi="黑体" w:eastAsia="黑体" w:cs="楷体_GB2312"/>
          <w:b/>
          <w:bCs/>
          <w:color w:val="auto"/>
          <w:sz w:val="28"/>
          <w:szCs w:val="28"/>
          <w:lang w:val="zh-CN"/>
        </w:rPr>
      </w:pPr>
    </w:p>
    <w:p w14:paraId="78E877EE">
      <w:pPr>
        <w:spacing w:line="500" w:lineRule="exact"/>
        <w:jc w:val="left"/>
        <w:rPr>
          <w:rFonts w:ascii="黑体" w:hAnsi="黑体" w:eastAsia="黑体" w:cs="楷体_GB2312"/>
          <w:b/>
          <w:bCs/>
          <w:color w:val="auto"/>
          <w:sz w:val="28"/>
          <w:szCs w:val="28"/>
          <w:lang w:val="zh-CN"/>
        </w:rPr>
      </w:pPr>
    </w:p>
    <w:p w14:paraId="200318E2">
      <w:pPr>
        <w:spacing w:line="500" w:lineRule="exact"/>
        <w:jc w:val="left"/>
        <w:rPr>
          <w:rFonts w:ascii="黑体" w:hAnsi="黑体" w:eastAsia="黑体" w:cs="楷体_GB2312"/>
          <w:b/>
          <w:bCs/>
          <w:color w:val="auto"/>
          <w:sz w:val="28"/>
          <w:szCs w:val="28"/>
          <w:lang w:val="zh-CN"/>
        </w:rPr>
      </w:pPr>
    </w:p>
    <w:p w14:paraId="470D2E2E">
      <w:pPr>
        <w:spacing w:line="500" w:lineRule="exact"/>
        <w:jc w:val="left"/>
        <w:rPr>
          <w:rFonts w:ascii="黑体" w:hAnsi="黑体" w:eastAsia="黑体" w:cs="楷体_GB2312"/>
          <w:b/>
          <w:bCs/>
          <w:color w:val="auto"/>
          <w:sz w:val="28"/>
          <w:szCs w:val="28"/>
          <w:lang w:val="zh-CN"/>
        </w:rPr>
      </w:pPr>
    </w:p>
    <w:p w14:paraId="10EB8C19">
      <w:pPr>
        <w:spacing w:line="500" w:lineRule="exact"/>
        <w:jc w:val="left"/>
        <w:rPr>
          <w:rFonts w:ascii="黑体" w:hAnsi="黑体" w:eastAsia="黑体" w:cs="楷体_GB2312"/>
          <w:b/>
          <w:bCs/>
          <w:color w:val="auto"/>
          <w:sz w:val="28"/>
          <w:szCs w:val="28"/>
          <w:lang w:val="zh-CN"/>
        </w:rPr>
      </w:pPr>
    </w:p>
    <w:p w14:paraId="018022AF">
      <w:pPr>
        <w:spacing w:line="500" w:lineRule="exact"/>
        <w:jc w:val="left"/>
        <w:rPr>
          <w:rFonts w:ascii="黑体" w:hAnsi="黑体" w:eastAsia="黑体" w:cs="楷体_GB2312"/>
          <w:b/>
          <w:bCs/>
          <w:color w:val="auto"/>
          <w:sz w:val="28"/>
          <w:szCs w:val="28"/>
          <w:lang w:val="zh-CN"/>
        </w:rPr>
      </w:pPr>
    </w:p>
    <w:p w14:paraId="2F411862">
      <w:pPr>
        <w:spacing w:line="500" w:lineRule="exact"/>
        <w:jc w:val="left"/>
        <w:rPr>
          <w:rFonts w:ascii="黑体" w:hAnsi="黑体" w:eastAsia="黑体" w:cs="楷体_GB2312"/>
          <w:b/>
          <w:bCs/>
          <w:color w:val="auto"/>
          <w:sz w:val="28"/>
          <w:szCs w:val="28"/>
          <w:lang w:val="zh-CN"/>
        </w:rPr>
      </w:pPr>
    </w:p>
    <w:p w14:paraId="05E1D1EE">
      <w:pPr>
        <w:spacing w:line="500" w:lineRule="exact"/>
        <w:jc w:val="left"/>
        <w:rPr>
          <w:rFonts w:ascii="黑体" w:hAnsi="黑体" w:eastAsia="黑体" w:cs="楷体_GB2312"/>
          <w:b/>
          <w:bCs/>
          <w:color w:val="auto"/>
          <w:sz w:val="28"/>
          <w:szCs w:val="28"/>
          <w:lang w:val="zh-CN"/>
        </w:rPr>
      </w:pPr>
    </w:p>
    <w:p w14:paraId="1F8E18E3">
      <w:pPr>
        <w:spacing w:line="500" w:lineRule="exact"/>
        <w:jc w:val="left"/>
        <w:rPr>
          <w:rFonts w:ascii="黑体" w:hAnsi="黑体" w:eastAsia="黑体" w:cs="楷体_GB2312"/>
          <w:b/>
          <w:bCs/>
          <w:color w:val="auto"/>
          <w:sz w:val="28"/>
          <w:szCs w:val="28"/>
          <w:lang w:val="zh-CN"/>
        </w:rPr>
      </w:pPr>
    </w:p>
    <w:p w14:paraId="6CC8D42A">
      <w:pPr>
        <w:spacing w:line="500" w:lineRule="exact"/>
        <w:jc w:val="left"/>
        <w:rPr>
          <w:rFonts w:ascii="黑体" w:hAnsi="黑体" w:eastAsia="黑体" w:cs="楷体_GB2312"/>
          <w:b/>
          <w:bCs/>
          <w:color w:val="auto"/>
          <w:sz w:val="28"/>
          <w:szCs w:val="28"/>
          <w:lang w:val="zh-CN"/>
        </w:rPr>
      </w:pPr>
    </w:p>
    <w:p w14:paraId="79D4E308">
      <w:pPr>
        <w:pStyle w:val="49"/>
        <w:snapToGrid w:val="0"/>
        <w:spacing w:before="120"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38" w:name="_Toc1676"/>
      <w:r>
        <w:rPr>
          <w:rFonts w:ascii="黑体" w:hAnsi="黑体" w:eastAsia="黑体" w:cs="楷体_GB2312"/>
          <w:b/>
          <w:bCs/>
          <w:color w:val="auto"/>
          <w:sz w:val="28"/>
          <w:szCs w:val="28"/>
          <w:u w:color="000000"/>
          <w:lang w:val="zh-CN"/>
        </w:rPr>
        <w:t xml:space="preserve">1. </w:t>
      </w:r>
      <w:r>
        <w:rPr>
          <w:rFonts w:hint="eastAsia" w:ascii="黑体" w:hAnsi="黑体" w:eastAsia="黑体" w:cs="楷体_GB2312"/>
          <w:b/>
          <w:bCs/>
          <w:color w:val="auto"/>
          <w:sz w:val="28"/>
          <w:szCs w:val="28"/>
          <w:u w:color="000000"/>
          <w:lang w:val="zh-CN"/>
        </w:rPr>
        <w:t>评审方法（评定成交的标准）</w:t>
      </w:r>
      <w:bookmarkEnd w:id="38"/>
    </w:p>
    <w:p w14:paraId="112CA6DF">
      <w:pPr>
        <w:autoSpaceDE w:val="0"/>
        <w:autoSpaceDN w:val="0"/>
        <w:adjustRightInd w:val="0"/>
        <w:snapToGrid w:val="0"/>
        <w:spacing w:before="120" w:beforeLines="50" w:line="300" w:lineRule="auto"/>
        <w:ind w:firstLine="619" w:firstLineChars="257"/>
        <w:jc w:val="left"/>
        <w:rPr>
          <w:rFonts w:ascii="宋体"/>
          <w:b/>
          <w:color w:val="auto"/>
          <w:sz w:val="24"/>
        </w:rPr>
      </w:pPr>
      <w:r>
        <w:rPr>
          <w:rFonts w:hint="eastAsia"/>
          <w:b/>
          <w:color w:val="auto"/>
          <w:sz w:val="24"/>
          <w:szCs w:val="24"/>
        </w:rPr>
        <w:t>本次政府采购项目（标段&lt;包&gt;）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该项目（标段&lt;包&gt;）成交候选供应商。</w:t>
      </w:r>
    </w:p>
    <w:p w14:paraId="100CFDED">
      <w:pPr>
        <w:pStyle w:val="49"/>
        <w:snapToGrid w:val="0"/>
        <w:spacing w:before="120" w:beforeLines="50" w:line="300" w:lineRule="auto"/>
        <w:ind w:firstLine="422" w:firstLineChars="150"/>
        <w:jc w:val="both"/>
        <w:outlineLvl w:val="1"/>
        <w:rPr>
          <w:rFonts w:ascii="黑体" w:hAnsi="黑体" w:eastAsia="黑体" w:cs="楷体_GB2312"/>
          <w:b/>
          <w:bCs/>
          <w:color w:val="auto"/>
          <w:sz w:val="28"/>
          <w:szCs w:val="28"/>
          <w:u w:color="000000"/>
          <w:lang w:val="zh-CN"/>
        </w:rPr>
      </w:pPr>
    </w:p>
    <w:p w14:paraId="5F12E130">
      <w:pPr>
        <w:pStyle w:val="49"/>
        <w:snapToGrid w:val="0"/>
        <w:spacing w:before="120"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39" w:name="_Toc1158"/>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39"/>
    </w:p>
    <w:p w14:paraId="569AB9A4">
      <w:pPr>
        <w:autoSpaceDE w:val="0"/>
        <w:autoSpaceDN w:val="0"/>
        <w:adjustRightInd w:val="0"/>
        <w:snapToGrid w:val="0"/>
        <w:spacing w:before="120"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2.1 初步评审标准</w:t>
      </w:r>
    </w:p>
    <w:p w14:paraId="3E37744B">
      <w:pPr>
        <w:pStyle w:val="49"/>
        <w:snapToGrid w:val="0"/>
        <w:spacing w:before="120" w:beforeLines="50" w:line="300" w:lineRule="auto"/>
        <w:ind w:firstLine="480" w:firstLineChars="200"/>
        <w:jc w:val="both"/>
        <w:rPr>
          <w:rFonts w:hAnsi="宋体"/>
          <w:color w:val="auto"/>
        </w:rPr>
      </w:pPr>
      <w:r>
        <w:rPr>
          <w:rFonts w:hAnsi="宋体"/>
          <w:color w:val="auto"/>
        </w:rPr>
        <w:t xml:space="preserve">2.1.1 </w:t>
      </w:r>
      <w:r>
        <w:rPr>
          <w:rFonts w:hint="eastAsia" w:hAnsi="宋体"/>
          <w:color w:val="auto"/>
        </w:rPr>
        <w:t>资格性审查标准：见评审办法前附表。</w:t>
      </w:r>
    </w:p>
    <w:p w14:paraId="48B3B9DD">
      <w:pPr>
        <w:pStyle w:val="49"/>
        <w:snapToGrid w:val="0"/>
        <w:spacing w:before="120" w:beforeLines="50" w:line="300" w:lineRule="auto"/>
        <w:ind w:firstLine="480" w:firstLineChars="200"/>
        <w:jc w:val="both"/>
        <w:rPr>
          <w:rFonts w:hAnsi="宋体"/>
          <w:color w:val="auto"/>
        </w:rPr>
      </w:pPr>
      <w:r>
        <w:rPr>
          <w:rFonts w:hAnsi="宋体"/>
          <w:color w:val="auto"/>
        </w:rPr>
        <w:t xml:space="preserve">2.1.2 </w:t>
      </w:r>
      <w:r>
        <w:rPr>
          <w:rFonts w:hint="eastAsia" w:hAnsi="宋体"/>
          <w:color w:val="auto"/>
        </w:rPr>
        <w:t>符合性审查标准：见评审办法前附表。</w:t>
      </w:r>
    </w:p>
    <w:p w14:paraId="684E3E2A">
      <w:pPr>
        <w:autoSpaceDE w:val="0"/>
        <w:autoSpaceDN w:val="0"/>
        <w:adjustRightInd w:val="0"/>
        <w:snapToGrid w:val="0"/>
        <w:spacing w:before="120"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2.2 详细评审标准</w:t>
      </w:r>
    </w:p>
    <w:p w14:paraId="6E76CFA6">
      <w:pPr>
        <w:pStyle w:val="49"/>
        <w:snapToGrid w:val="0"/>
        <w:spacing w:before="120" w:beforeLines="50" w:line="300" w:lineRule="auto"/>
        <w:ind w:firstLine="480" w:firstLineChars="200"/>
        <w:jc w:val="both"/>
        <w:rPr>
          <w:rFonts w:hAnsi="宋体"/>
          <w:color w:val="auto"/>
        </w:rPr>
      </w:pPr>
      <w:r>
        <w:rPr>
          <w:rFonts w:hAnsi="宋体"/>
          <w:color w:val="auto"/>
        </w:rPr>
        <w:t xml:space="preserve">2.2.1 </w:t>
      </w:r>
      <w:r>
        <w:rPr>
          <w:rFonts w:hint="eastAsia" w:hAnsi="宋体"/>
          <w:color w:val="auto"/>
        </w:rPr>
        <w:t>分值构成：见评审办法前附表。</w:t>
      </w:r>
    </w:p>
    <w:p w14:paraId="4993F8CB">
      <w:pPr>
        <w:pStyle w:val="49"/>
        <w:snapToGrid w:val="0"/>
        <w:spacing w:before="120" w:beforeLines="50" w:line="300" w:lineRule="auto"/>
        <w:ind w:firstLine="480" w:firstLineChars="200"/>
        <w:jc w:val="both"/>
        <w:rPr>
          <w:rFonts w:hAnsi="宋体"/>
          <w:color w:val="auto"/>
        </w:rPr>
      </w:pPr>
      <w:r>
        <w:rPr>
          <w:rFonts w:hAnsi="宋体"/>
          <w:color w:val="auto"/>
        </w:rPr>
        <w:t xml:space="preserve">2.2.2 </w:t>
      </w:r>
      <w:r>
        <w:rPr>
          <w:rFonts w:hint="eastAsia" w:hAnsi="宋体"/>
          <w:color w:val="auto"/>
        </w:rPr>
        <w:t>评分标准：见评审办法前附表。</w:t>
      </w:r>
    </w:p>
    <w:p w14:paraId="6BA48D09">
      <w:pPr>
        <w:autoSpaceDE w:val="0"/>
        <w:autoSpaceDN w:val="0"/>
        <w:adjustRightInd w:val="0"/>
        <w:snapToGrid w:val="0"/>
        <w:spacing w:before="120" w:beforeLines="50" w:line="300" w:lineRule="auto"/>
        <w:ind w:left="540" w:leftChars="257"/>
        <w:jc w:val="left"/>
        <w:rPr>
          <w:rFonts w:ascii="宋体"/>
          <w:color w:val="auto"/>
          <w:sz w:val="24"/>
        </w:rPr>
      </w:pPr>
    </w:p>
    <w:p w14:paraId="039962CD">
      <w:pPr>
        <w:pStyle w:val="49"/>
        <w:snapToGrid w:val="0"/>
        <w:spacing w:before="120"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40" w:name="_Toc2717"/>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40"/>
    </w:p>
    <w:p w14:paraId="1B5F416C">
      <w:pPr>
        <w:autoSpaceDE w:val="0"/>
        <w:autoSpaceDN w:val="0"/>
        <w:adjustRightInd w:val="0"/>
        <w:snapToGrid w:val="0"/>
        <w:spacing w:before="120"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磋商小组按标段（包）进行评审</w:t>
      </w:r>
    </w:p>
    <w:p w14:paraId="1F58B207">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确认《磋商文件》</w:t>
      </w:r>
    </w:p>
    <w:p w14:paraId="1CF310B2">
      <w:pPr>
        <w:pStyle w:val="49"/>
        <w:snapToGrid w:val="0"/>
        <w:spacing w:before="120" w:beforeLines="50" w:line="300" w:lineRule="auto"/>
        <w:ind w:firstLine="480" w:firstLineChars="200"/>
        <w:jc w:val="both"/>
        <w:rPr>
          <w:rFonts w:hAnsi="宋体"/>
          <w:color w:val="auto"/>
        </w:rPr>
      </w:pPr>
      <w:r>
        <w:rPr>
          <w:rFonts w:hAnsi="宋体"/>
          <w:color w:val="auto"/>
        </w:rPr>
        <w:t xml:space="preserve">3.1.1 </w:t>
      </w:r>
      <w:r>
        <w:rPr>
          <w:rFonts w:hint="eastAsia" w:hAnsi="宋体"/>
          <w:color w:val="auto"/>
        </w:rPr>
        <w:t>磋商小组确认《磋商文件》，《磋商文件》内容违反国家有关强制性规定的，磋商小组应当停止评审并向采购人或者采购代理机构书面说明情况。</w:t>
      </w:r>
    </w:p>
    <w:p w14:paraId="214F71C2">
      <w:pPr>
        <w:pStyle w:val="49"/>
        <w:snapToGrid w:val="0"/>
        <w:spacing w:before="120" w:beforeLines="50" w:line="300" w:lineRule="auto"/>
        <w:ind w:firstLine="480" w:firstLineChars="200"/>
        <w:jc w:val="both"/>
        <w:rPr>
          <w:rFonts w:hAnsi="宋体"/>
          <w:color w:val="auto"/>
        </w:rPr>
      </w:pPr>
      <w:r>
        <w:rPr>
          <w:rFonts w:hAnsi="宋体"/>
          <w:color w:val="auto"/>
        </w:rPr>
        <w:t xml:space="preserve">3.1.2 </w:t>
      </w:r>
      <w:r>
        <w:rPr>
          <w:rFonts w:hint="eastAsia" w:hAnsi="宋体"/>
          <w:color w:val="auto"/>
        </w:rPr>
        <w:t>磋商小组</w:t>
      </w:r>
      <w:r>
        <w:rPr>
          <w:rFonts w:hint="eastAsia" w:ascii="??" w:hAnsi="??" w:cs="宋体"/>
          <w:color w:val="auto"/>
          <w:szCs w:val="21"/>
        </w:rPr>
        <w:t>要求解释</w:t>
      </w:r>
      <w:r>
        <w:rPr>
          <w:rFonts w:hint="eastAsia" w:hAnsi="宋体"/>
          <w:color w:val="auto"/>
        </w:rPr>
        <w:t>《磋商文件》的，书面提出需解释的相关《磋商文件》的具体内容后、由采购代理机构或者采购人进行书面解释。</w:t>
      </w:r>
    </w:p>
    <w:p w14:paraId="51455FDF">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r>
        <w:rPr>
          <w:rFonts w:hint="eastAsia" w:ascii="黑体" w:hAnsi="黑体" w:eastAsia="黑体"/>
          <w:b/>
          <w:color w:val="auto"/>
          <w:sz w:val="24"/>
        </w:rPr>
        <w:t>3.2 初步评审</w:t>
      </w:r>
    </w:p>
    <w:p w14:paraId="3B7B849D">
      <w:pPr>
        <w:pStyle w:val="49"/>
        <w:snapToGrid w:val="0"/>
        <w:spacing w:before="120" w:beforeLines="50" w:line="300" w:lineRule="auto"/>
        <w:ind w:firstLine="480" w:firstLineChars="200"/>
        <w:jc w:val="both"/>
        <w:rPr>
          <w:rFonts w:hAnsi="宋体"/>
          <w:color w:val="auto"/>
        </w:rPr>
      </w:pPr>
      <w:r>
        <w:rPr>
          <w:rFonts w:hAnsi="宋体"/>
          <w:color w:val="auto"/>
        </w:rPr>
        <w:t>3.2.1</w:t>
      </w:r>
      <w:r>
        <w:rPr>
          <w:rFonts w:hint="eastAsia" w:hAnsi="宋体"/>
          <w:color w:val="auto"/>
        </w:rPr>
        <w:t xml:space="preserve"> 磋商小组依据本章第2.</w:t>
      </w:r>
      <w:r>
        <w:rPr>
          <w:rFonts w:hAnsi="宋体"/>
          <w:color w:val="auto"/>
        </w:rPr>
        <w:t>1.1</w:t>
      </w:r>
      <w:r>
        <w:rPr>
          <w:rFonts w:hint="eastAsia" w:hAnsi="宋体"/>
          <w:color w:val="auto"/>
        </w:rPr>
        <w:t>、2.</w:t>
      </w:r>
      <w:r>
        <w:rPr>
          <w:rFonts w:hAnsi="宋体"/>
          <w:color w:val="auto"/>
        </w:rPr>
        <w:t>1.2</w:t>
      </w:r>
      <w:r>
        <w:rPr>
          <w:rFonts w:hint="eastAsia" w:hAnsi="宋体"/>
          <w:color w:val="auto"/>
        </w:rPr>
        <w:t>款规定的标准对《响应文件》进行资格性、符合性评审。有一项不符合评审标准的，作无效响应处理。</w:t>
      </w:r>
    </w:p>
    <w:p w14:paraId="01A81B17">
      <w:pPr>
        <w:pStyle w:val="49"/>
        <w:snapToGrid w:val="0"/>
        <w:spacing w:before="120" w:beforeLines="50" w:line="300" w:lineRule="auto"/>
        <w:ind w:firstLine="480" w:firstLineChars="200"/>
        <w:jc w:val="both"/>
        <w:rPr>
          <w:rFonts w:hAnsi="宋体"/>
          <w:color w:val="auto"/>
        </w:rPr>
      </w:pPr>
      <w:r>
        <w:rPr>
          <w:rFonts w:hAnsi="宋体"/>
          <w:color w:val="auto"/>
        </w:rPr>
        <w:t xml:space="preserve">3.2.2 </w:t>
      </w:r>
      <w:r>
        <w:rPr>
          <w:rFonts w:hint="eastAsia" w:hAnsi="宋体"/>
          <w:color w:val="auto"/>
        </w:rPr>
        <w:t>供应商有以下情形之一的，其投标作无效响应处理：</w:t>
      </w:r>
    </w:p>
    <w:p w14:paraId="6C26C734">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）供应商不符合国家或者《磋商文件》规定的资格条件；</w:t>
      </w:r>
    </w:p>
    <w:p w14:paraId="4FBD85C8">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）供应商没有按照《磋商文件》要求提供投标承诺函；</w:t>
      </w:r>
    </w:p>
    <w:p w14:paraId="44B62E46">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）投标联合体不符合《磋商文件》规定；</w:t>
      </w:r>
    </w:p>
    <w:p w14:paraId="3955CC15">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）《响应文件》的签字盖章不符合《磋商文件》规定；</w:t>
      </w:r>
    </w:p>
    <w:p w14:paraId="2EBE8638">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）磋商报价高于竞争性磋商公告公布的预算金额；</w:t>
      </w:r>
    </w:p>
    <w:p w14:paraId="78B9AB77">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（6）同一供应商提交两个以上不同的《响应文件》或者磋商报价，《响应文件》的每种报价有两个报价或其他选择性报价的；</w:t>
      </w:r>
    </w:p>
    <w:p w14:paraId="515D0F5A">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（7）《响应文件》没有对《磋商文件》的实质性要求和条件作出实质性响应，或不符合《磋商文件》的实质性要求和条件；</w:t>
      </w:r>
    </w:p>
    <w:p w14:paraId="254560DE">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（8）《响应文件》附有采购项目不能接受的条件或不符合国家强制性规定的；</w:t>
      </w:r>
    </w:p>
    <w:p w14:paraId="19BB8D10">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（9）单位负责人为同一人或者存在控股、管理关系的不同单位，参加同一项目（标段&lt;包&gt;）投标的；</w:t>
      </w:r>
    </w:p>
    <w:p w14:paraId="3CC0F11C">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（10）为采购项目提供整体设计、规范编制或者项目管理、监理、检测等服务的供应商，不得再参加该采购项目的其他采购活动；</w:t>
      </w:r>
    </w:p>
    <w:p w14:paraId="160A72D6">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（11）组成联合体或者接受分包的小微企业与联合体内其他企业、分包企业之间存在直接控股、管理关系的。</w:t>
      </w:r>
    </w:p>
    <w:p w14:paraId="67C8D0E5">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（12）提供虚假材料谋取成交的；</w:t>
      </w:r>
    </w:p>
    <w:p w14:paraId="7F1F08E7">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（13）供应商有串通投标、行贿等违法行为。其中，有下列情形之一的，视为供应商相互串通投标：</w:t>
      </w:r>
    </w:p>
    <w:p w14:paraId="72FE92B5">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◆不同供应商的《响应文件》由同一单位或者个人编制；</w:t>
      </w:r>
    </w:p>
    <w:p w14:paraId="1747D569">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◆不同供应商委托同一单位或者个人办理投标事宜；</w:t>
      </w:r>
    </w:p>
    <w:p w14:paraId="7036C17C">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◆不同供应商的《响应文件》载明的项目管理成员为同一人；</w:t>
      </w:r>
    </w:p>
    <w:p w14:paraId="3828CE74">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◆不同供应商的《响应文件》异常一致或者磋商报价呈规律性差异；</w:t>
      </w:r>
    </w:p>
    <w:p w14:paraId="45C50ECF">
      <w:pPr>
        <w:autoSpaceDE w:val="0"/>
        <w:autoSpaceDN w:val="0"/>
        <w:adjustRightInd w:val="0"/>
        <w:snapToGrid w:val="0"/>
        <w:spacing w:line="300" w:lineRule="auto"/>
        <w:ind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◆不同供应商的《响应文件》相互混装。</w:t>
      </w:r>
    </w:p>
    <w:p w14:paraId="239D4AC8">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（14）根据豫财购〔2021〕6号文件，参与同一个标段(包)的供应商存在下列情形之一的，其《响应文件》无效：</w:t>
      </w:r>
    </w:p>
    <w:p w14:paraId="6E11BB32">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◆不同供应商的电子《响应文件》上传计算机的网卡MAC地址、CPU序列号和硬盘序列号等硬件信息相同的；</w:t>
      </w:r>
    </w:p>
    <w:p w14:paraId="011F050C">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◆不同供应商的《响应文件》由同一电子设备编制、打印加密或者上传；</w:t>
      </w:r>
    </w:p>
    <w:p w14:paraId="11423DA8">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◆不同供应商的《响应文件》由同一电子设备打印、复印；</w:t>
      </w:r>
    </w:p>
    <w:p w14:paraId="3327E364">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◆不同供应商的《响应文件》由同一人送达或者分发，或者不同供应商联系人为同一人或不同联系人的联系电话一致的；</w:t>
      </w:r>
    </w:p>
    <w:p w14:paraId="01BFD28E">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◆不同供应商的《响应文件》的内容存在两处以上细节错误一致；</w:t>
      </w:r>
    </w:p>
    <w:p w14:paraId="6F74AEC1">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◆不同供应商的法定代表人、委托代理人、项目经理、项目负责人等由同一个单位缴纳社会保险或者领取报酬的；</w:t>
      </w:r>
    </w:p>
    <w:p w14:paraId="20BDCC33">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◆不同供应商《响应文件》中法定代表人或者负责人签字出自同一人之手；</w:t>
      </w:r>
    </w:p>
    <w:p w14:paraId="2E1C870E">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◆其它涉嫌串通的情形。</w:t>
      </w:r>
    </w:p>
    <w:p w14:paraId="1D5937A4">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(15)不同供应商上传电子《响应文件》的IP地址相同，该供应商《响应文件》无效。</w:t>
      </w:r>
    </w:p>
    <w:p w14:paraId="1A4E7A7D">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(16)据豫财购〔2021〕6号文件精神，工程领域招标投标行政主管部门对供应商串通投标等予以市场禁入的，在本次政府采购活动中，该供应商《响应文件》无效。</w:t>
      </w:r>
    </w:p>
    <w:p w14:paraId="58A1AB83">
      <w:pPr>
        <w:pStyle w:val="49"/>
        <w:snapToGrid w:val="0"/>
        <w:spacing w:before="120" w:beforeLines="50" w:line="300" w:lineRule="auto"/>
        <w:ind w:firstLine="480" w:firstLineChars="200"/>
        <w:jc w:val="both"/>
        <w:rPr>
          <w:color w:val="auto"/>
        </w:rPr>
      </w:pPr>
      <w:r>
        <w:rPr>
          <w:rFonts w:hAnsi="宋体"/>
          <w:color w:val="auto"/>
        </w:rPr>
        <w:t>3.2.3</w:t>
      </w:r>
      <w:r>
        <w:rPr>
          <w:rFonts w:hint="eastAsia" w:hAnsi="宋体"/>
          <w:color w:val="auto"/>
        </w:rPr>
        <w:t xml:space="preserve"> </w:t>
      </w:r>
      <w:r>
        <w:rPr>
          <w:rFonts w:hint="eastAsia" w:hAnsi="宋体"/>
          <w:b/>
          <w:color w:val="auto"/>
        </w:rPr>
        <w:t>未实质性响应《磋商文件》的《响应文件》按无效处理，磋商小组应当通过评审界面的对话框告知有关供应商。</w:t>
      </w:r>
    </w:p>
    <w:p w14:paraId="1E6954E9">
      <w:pPr>
        <w:pStyle w:val="49"/>
        <w:snapToGrid w:val="0"/>
        <w:spacing w:before="120" w:beforeLines="50" w:line="300" w:lineRule="auto"/>
        <w:ind w:firstLine="480" w:firstLineChars="200"/>
        <w:jc w:val="both"/>
        <w:rPr>
          <w:color w:val="auto"/>
        </w:rPr>
      </w:pPr>
      <w:r>
        <w:rPr>
          <w:rFonts w:hAnsi="宋体"/>
          <w:color w:val="auto"/>
        </w:rPr>
        <w:t>3.2</w:t>
      </w:r>
      <w:r>
        <w:rPr>
          <w:color w:val="auto"/>
        </w:rPr>
        <w:t>.</w:t>
      </w:r>
      <w:r>
        <w:rPr>
          <w:rFonts w:hAnsi="宋体"/>
          <w:color w:val="auto"/>
        </w:rPr>
        <w:t>4</w:t>
      </w:r>
      <w:r>
        <w:rPr>
          <w:rFonts w:hint="eastAsia" w:hAnsi="宋体"/>
          <w:color w:val="auto"/>
        </w:rPr>
        <w:t xml:space="preserve"> 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供应商拒绝接受上述意见，其</w:t>
      </w:r>
      <w:r>
        <w:rPr>
          <w:rFonts w:hint="eastAsia" w:hAnsi="宋体"/>
          <w:b/>
          <w:color w:val="auto"/>
        </w:rPr>
        <w:t>投标将被拒绝。</w:t>
      </w:r>
    </w:p>
    <w:p w14:paraId="7F43A547">
      <w:pPr>
        <w:pStyle w:val="49"/>
        <w:snapToGrid w:val="0"/>
        <w:spacing w:before="120" w:beforeLines="50" w:line="300" w:lineRule="auto"/>
        <w:ind w:firstLine="480" w:firstLineChars="200"/>
        <w:jc w:val="both"/>
        <w:rPr>
          <w:rFonts w:hAnsi="宋体"/>
          <w:color w:val="auto"/>
        </w:rPr>
      </w:pPr>
      <w:r>
        <w:rPr>
          <w:rFonts w:hAnsi="宋体"/>
          <w:color w:val="auto"/>
        </w:rPr>
        <w:t xml:space="preserve">3.2.5 </w:t>
      </w:r>
      <w:r>
        <w:rPr>
          <w:rFonts w:hint="eastAsia" w:hAnsi="宋体"/>
          <w:color w:val="auto"/>
        </w:rPr>
        <w:t>磋商小组负责审查确定每一响应项目（标段&lt;包&gt;）是否对《磋商文件》的实质性要求作出了实质性的响应，而没有重大偏离和保留。实质性响应的《响应文件》是指《响应文件》符合《磋商文件》的所有条款、条件和规定且没有重大偏离和保留（重大偏离和保留是指影响到《磋商文件》和供应商的义务的规定，而纠正这些偏离将影响到其他提交实质性响应供应商的公平竞争地位）。</w:t>
      </w:r>
    </w:p>
    <w:p w14:paraId="5843848A">
      <w:pPr>
        <w:pStyle w:val="49"/>
        <w:snapToGrid w:val="0"/>
        <w:spacing w:before="120" w:beforeLines="50" w:line="300" w:lineRule="auto"/>
        <w:ind w:firstLine="480" w:firstLineChars="200"/>
        <w:jc w:val="both"/>
        <w:rPr>
          <w:rFonts w:hAnsi="宋体"/>
          <w:color w:val="auto"/>
        </w:rPr>
      </w:pPr>
      <w:r>
        <w:rPr>
          <w:rFonts w:hAnsi="宋体"/>
          <w:color w:val="auto"/>
        </w:rPr>
        <w:t xml:space="preserve">3.2.6 </w:t>
      </w:r>
      <w:r>
        <w:rPr>
          <w:rFonts w:hint="eastAsia" w:hAnsi="宋体"/>
          <w:color w:val="auto"/>
        </w:rPr>
        <w:t>磋商小组判断《响应文件》的响应性仅基于《响应文件》本身而不靠外部证据。</w:t>
      </w:r>
    </w:p>
    <w:p w14:paraId="27E0DB20">
      <w:pPr>
        <w:pStyle w:val="49"/>
        <w:snapToGrid w:val="0"/>
        <w:spacing w:before="120" w:beforeLines="50" w:line="300" w:lineRule="auto"/>
        <w:ind w:firstLine="480" w:firstLineChars="200"/>
        <w:jc w:val="both"/>
        <w:rPr>
          <w:rFonts w:hAnsi="宋体"/>
          <w:color w:val="auto"/>
        </w:rPr>
      </w:pPr>
      <w:r>
        <w:rPr>
          <w:rFonts w:hAnsi="宋体"/>
          <w:color w:val="auto"/>
        </w:rPr>
        <w:t xml:space="preserve">3.2.7 </w:t>
      </w:r>
      <w:r>
        <w:rPr>
          <w:rFonts w:hint="eastAsia" w:hAnsi="宋体"/>
          <w:color w:val="auto"/>
        </w:rPr>
        <w:t>磋商小组拒绝被确定为非实质性响应的供应商，供应商不得通过修正或撤销不符之处而使其《响应文件》成为实质性响应的《响应文件》。</w:t>
      </w:r>
    </w:p>
    <w:p w14:paraId="10A7739D">
      <w:pPr>
        <w:pStyle w:val="49"/>
        <w:snapToGrid w:val="0"/>
        <w:spacing w:before="120" w:beforeLines="50" w:line="300" w:lineRule="auto"/>
        <w:ind w:firstLine="480" w:firstLineChars="200"/>
        <w:jc w:val="both"/>
        <w:rPr>
          <w:rFonts w:hAnsi="宋体"/>
          <w:color w:val="auto"/>
        </w:rPr>
      </w:pPr>
      <w:r>
        <w:rPr>
          <w:rFonts w:hAnsi="宋体"/>
          <w:color w:val="auto"/>
        </w:rPr>
        <w:t xml:space="preserve">3.2.8 </w:t>
      </w:r>
      <w:r>
        <w:rPr>
          <w:rFonts w:hint="eastAsia" w:hAnsi="宋体"/>
          <w:color w:val="auto"/>
        </w:rPr>
        <w:t>允许供应商修改《响应文件》中不构成重大偏离的、微小的、非正规、不一致或不规则的地方。</w:t>
      </w:r>
    </w:p>
    <w:p w14:paraId="6F86CFCF">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r>
        <w:rPr>
          <w:rFonts w:hint="eastAsia" w:ascii="黑体" w:hAnsi="黑体" w:eastAsia="黑体"/>
          <w:b/>
          <w:color w:val="auto"/>
          <w:sz w:val="24"/>
        </w:rPr>
        <w:t>3.3 《响应文件》的澄清</w:t>
      </w:r>
    </w:p>
    <w:p w14:paraId="1D3EA29F">
      <w:pPr>
        <w:pStyle w:val="49"/>
        <w:snapToGrid w:val="0"/>
        <w:spacing w:before="120" w:beforeLines="50" w:line="300" w:lineRule="auto"/>
        <w:ind w:firstLine="482" w:firstLineChars="200"/>
        <w:jc w:val="both"/>
        <w:rPr>
          <w:rFonts w:hAnsi="宋体"/>
          <w:b/>
          <w:bCs/>
          <w:color w:val="auto"/>
        </w:rPr>
      </w:pPr>
      <w:r>
        <w:rPr>
          <w:rFonts w:hint="eastAsia" w:hAnsi="宋体"/>
          <w:b/>
          <w:bCs/>
          <w:color w:val="auto"/>
        </w:rPr>
        <w:t>《响应文件》的澄清在“竞争性磋商公告”</w:t>
      </w:r>
      <w:r>
        <w:rPr>
          <w:rFonts w:hAnsi="宋体"/>
          <w:b/>
          <w:bCs/>
          <w:color w:val="auto"/>
        </w:rPr>
        <w:t>所述</w:t>
      </w:r>
      <w:r>
        <w:rPr>
          <w:rFonts w:hint="eastAsia" w:hAnsi="宋体"/>
          <w:b/>
          <w:bCs/>
          <w:color w:val="auto"/>
        </w:rPr>
        <w:t>网</w:t>
      </w:r>
      <w:r>
        <w:rPr>
          <w:rFonts w:hAnsi="宋体"/>
          <w:b/>
          <w:bCs/>
          <w:color w:val="auto"/>
        </w:rPr>
        <w:t>上</w:t>
      </w:r>
      <w:r>
        <w:rPr>
          <w:rFonts w:hint="eastAsia" w:hAnsi="宋体"/>
          <w:b/>
          <w:bCs/>
          <w:color w:val="auto"/>
        </w:rPr>
        <w:t>电子交易系统</w:t>
      </w:r>
      <w:r>
        <w:rPr>
          <w:rFonts w:hAnsi="宋体"/>
          <w:b/>
          <w:bCs/>
          <w:color w:val="auto"/>
        </w:rPr>
        <w:t>进行。</w:t>
      </w:r>
    </w:p>
    <w:p w14:paraId="5473AFA5">
      <w:pPr>
        <w:pStyle w:val="49"/>
        <w:snapToGrid w:val="0"/>
        <w:spacing w:before="120" w:beforeLines="50" w:line="300" w:lineRule="auto"/>
        <w:ind w:firstLine="482" w:firstLineChars="200"/>
        <w:jc w:val="both"/>
        <w:rPr>
          <w:rFonts w:hAnsi="宋体"/>
          <w:b/>
          <w:bCs/>
          <w:color w:val="auto"/>
        </w:rPr>
      </w:pPr>
      <w:r>
        <w:rPr>
          <w:rFonts w:hAnsi="宋体"/>
          <w:b/>
          <w:bCs/>
          <w:color w:val="auto"/>
        </w:rPr>
        <w:t>3.</w:t>
      </w:r>
      <w:r>
        <w:rPr>
          <w:rFonts w:hint="eastAsia" w:hAnsi="宋体"/>
          <w:b/>
          <w:bCs/>
          <w:color w:val="auto"/>
        </w:rPr>
        <w:t>3</w:t>
      </w:r>
      <w:r>
        <w:rPr>
          <w:rFonts w:hAnsi="宋体"/>
          <w:b/>
          <w:bCs/>
          <w:color w:val="auto"/>
        </w:rPr>
        <w:t>.1</w:t>
      </w:r>
      <w:r>
        <w:rPr>
          <w:rFonts w:hint="eastAsia" w:hAnsi="宋体"/>
          <w:b/>
          <w:bCs/>
          <w:color w:val="auto"/>
        </w:rPr>
        <w:t xml:space="preserve"> 评审期间，供应商法定代表人须时刻关注电子开标室并保持通讯畅通。如因通讯不畅导致供应商无法及时澄清而被认定为无效响应等后果的</w:t>
      </w:r>
      <w:r>
        <w:rPr>
          <w:rFonts w:hAnsi="宋体"/>
          <w:b/>
          <w:bCs/>
          <w:color w:val="auto"/>
        </w:rPr>
        <w:t>，</w:t>
      </w:r>
      <w:r>
        <w:rPr>
          <w:rFonts w:hint="eastAsia" w:hAnsi="宋体"/>
          <w:b/>
          <w:bCs/>
          <w:color w:val="auto"/>
        </w:rPr>
        <w:t>由供应商自行承担。</w:t>
      </w:r>
    </w:p>
    <w:p w14:paraId="2D5B9931">
      <w:pPr>
        <w:pStyle w:val="49"/>
        <w:snapToGrid w:val="0"/>
        <w:spacing w:before="120" w:beforeLines="50" w:line="300" w:lineRule="auto"/>
        <w:ind w:firstLine="480" w:firstLineChars="200"/>
        <w:jc w:val="both"/>
        <w:rPr>
          <w:rFonts w:hAnsi="宋体"/>
          <w:color w:val="auto"/>
        </w:rPr>
      </w:pPr>
      <w:r>
        <w:rPr>
          <w:rFonts w:hAnsi="宋体"/>
          <w:color w:val="auto"/>
        </w:rPr>
        <w:t>3.3.2</w:t>
      </w:r>
      <w:r>
        <w:rPr>
          <w:rFonts w:hint="eastAsia" w:hAnsi="宋体"/>
          <w:color w:val="auto"/>
        </w:rPr>
        <w:t xml:space="preserve"> 为有助于对《响应文件》进行审查、评估和比较，磋商小组有权个别的向供应商提出质疑，请供应商澄清其投标内容。</w:t>
      </w:r>
    </w:p>
    <w:p w14:paraId="04C95D15">
      <w:pPr>
        <w:pStyle w:val="49"/>
        <w:snapToGrid w:val="0"/>
        <w:spacing w:before="120" w:beforeLines="50" w:line="300" w:lineRule="auto"/>
        <w:ind w:firstLine="480" w:firstLineChars="200"/>
        <w:jc w:val="both"/>
        <w:rPr>
          <w:rFonts w:hAnsi="宋体"/>
          <w:color w:val="auto"/>
        </w:rPr>
      </w:pPr>
      <w:r>
        <w:rPr>
          <w:rFonts w:hAnsi="宋体"/>
          <w:color w:val="auto"/>
        </w:rPr>
        <w:t>3.3.3</w:t>
      </w:r>
      <w:r>
        <w:rPr>
          <w:rFonts w:hint="eastAsia" w:hAnsi="宋体"/>
          <w:color w:val="auto"/>
        </w:rPr>
        <w:t xml:space="preserve">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00BE00">
      <w:pPr>
        <w:pStyle w:val="49"/>
        <w:snapToGrid w:val="0"/>
        <w:spacing w:before="120" w:beforeLines="50" w:line="300" w:lineRule="auto"/>
        <w:ind w:firstLine="480" w:firstLineChars="200"/>
        <w:jc w:val="both"/>
        <w:rPr>
          <w:rFonts w:hAnsi="宋体"/>
          <w:b/>
          <w:color w:val="auto"/>
        </w:rPr>
      </w:pPr>
      <w:r>
        <w:rPr>
          <w:rFonts w:hAnsi="宋体"/>
          <w:color w:val="auto"/>
        </w:rPr>
        <w:t>3.3.4</w:t>
      </w:r>
      <w:r>
        <w:rPr>
          <w:rFonts w:hint="eastAsia" w:hAnsi="宋体"/>
          <w:color w:val="auto"/>
        </w:rPr>
        <w:t xml:space="preserve"> 供应商的澄清、说明或者更正</w:t>
      </w:r>
      <w:r>
        <w:rPr>
          <w:rFonts w:hint="eastAsia" w:hAnsi="宋体"/>
          <w:b/>
          <w:color w:val="auto"/>
        </w:rPr>
        <w:t>应当采用书面形式，应加</w:t>
      </w:r>
      <w:r>
        <w:rPr>
          <w:rFonts w:hAnsi="宋体"/>
          <w:b/>
          <w:color w:val="auto"/>
        </w:rPr>
        <w:t>盖</w:t>
      </w:r>
      <w:r>
        <w:rPr>
          <w:rFonts w:hint="eastAsia" w:hAnsi="宋体"/>
          <w:b/>
          <w:color w:val="auto"/>
        </w:rPr>
        <w:t>供应商电子签章或其法定代表人电子签名</w:t>
      </w:r>
      <w:r>
        <w:rPr>
          <w:rFonts w:hint="eastAsia" w:hAnsi="宋体" w:cs="楷体_GB2312"/>
          <w:b/>
          <w:color w:val="auto"/>
        </w:rPr>
        <w:t>（签章）</w:t>
      </w:r>
      <w:r>
        <w:rPr>
          <w:rFonts w:hint="eastAsia" w:hAnsi="宋体"/>
          <w:b/>
          <w:color w:val="auto"/>
        </w:rPr>
        <w:t>。并将澄清等内容作为附件上传至系统中。</w:t>
      </w:r>
    </w:p>
    <w:p w14:paraId="07A2C563">
      <w:pPr>
        <w:pStyle w:val="49"/>
        <w:snapToGrid w:val="0"/>
        <w:spacing w:before="120" w:beforeLines="50" w:line="300" w:lineRule="auto"/>
        <w:ind w:firstLine="480" w:firstLineChars="200"/>
        <w:jc w:val="both"/>
        <w:rPr>
          <w:rFonts w:hAnsi="宋体"/>
          <w:color w:val="auto"/>
        </w:rPr>
      </w:pPr>
      <w:r>
        <w:rPr>
          <w:rFonts w:hAnsi="宋体"/>
          <w:color w:val="auto"/>
        </w:rPr>
        <w:t>3.3.5</w:t>
      </w:r>
      <w:r>
        <w:rPr>
          <w:rFonts w:hint="eastAsia" w:hAnsi="宋体"/>
          <w:color w:val="auto"/>
        </w:rPr>
        <w:t xml:space="preserve"> 供应商的澄清文件是《响应文件》的组成部分，并取代《响应文件》中被澄清的部分。</w:t>
      </w:r>
    </w:p>
    <w:p w14:paraId="0966DBEF">
      <w:pPr>
        <w:pStyle w:val="49"/>
        <w:snapToGrid w:val="0"/>
        <w:spacing w:before="120" w:beforeLines="50" w:line="300" w:lineRule="auto"/>
        <w:ind w:firstLine="480" w:firstLineChars="200"/>
        <w:jc w:val="both"/>
        <w:rPr>
          <w:color w:val="auto"/>
        </w:rPr>
      </w:pPr>
      <w:r>
        <w:rPr>
          <w:rFonts w:hAnsi="宋体"/>
          <w:color w:val="auto"/>
        </w:rPr>
        <w:t>3.3.6</w:t>
      </w:r>
      <w:r>
        <w:rPr>
          <w:rFonts w:hint="eastAsia" w:hAnsi="宋体"/>
          <w:color w:val="auto"/>
        </w:rPr>
        <w:t xml:space="preserve"> 澄清文件应按磋商小组规定的时间提交。</w:t>
      </w:r>
      <w:r>
        <w:rPr>
          <w:rFonts w:hAnsi="宋体"/>
          <w:color w:val="auto"/>
        </w:rPr>
        <w:tab/>
      </w:r>
    </w:p>
    <w:p w14:paraId="2BA99936">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r>
        <w:rPr>
          <w:rFonts w:hint="eastAsia" w:ascii="黑体" w:hAnsi="黑体" w:eastAsia="黑体"/>
          <w:b/>
          <w:color w:val="auto"/>
          <w:sz w:val="24"/>
        </w:rPr>
        <w:t>3.4 磋商规则</w:t>
      </w:r>
    </w:p>
    <w:p w14:paraId="6DE06438">
      <w:pPr>
        <w:pStyle w:val="49"/>
        <w:snapToGrid w:val="0"/>
        <w:spacing w:before="120" w:beforeLines="50" w:line="300" w:lineRule="auto"/>
        <w:ind w:firstLine="482" w:firstLineChars="200"/>
        <w:jc w:val="both"/>
        <w:rPr>
          <w:rFonts w:hAnsi="宋体"/>
          <w:b/>
          <w:bCs/>
          <w:color w:val="auto"/>
        </w:rPr>
      </w:pPr>
      <w:r>
        <w:rPr>
          <w:rFonts w:hint="eastAsia" w:hAnsi="宋体"/>
          <w:b/>
          <w:bCs/>
          <w:color w:val="auto"/>
        </w:rPr>
        <w:t>评</w:t>
      </w:r>
      <w:r>
        <w:rPr>
          <w:rFonts w:hAnsi="宋体"/>
          <w:b/>
          <w:bCs/>
          <w:color w:val="auto"/>
        </w:rPr>
        <w:t>审</w:t>
      </w:r>
      <w:r>
        <w:rPr>
          <w:rFonts w:hint="eastAsia" w:hAnsi="宋体"/>
          <w:b/>
          <w:bCs/>
          <w:color w:val="auto"/>
        </w:rPr>
        <w:t>磋商在“竞争性磋商公告”</w:t>
      </w:r>
      <w:r>
        <w:rPr>
          <w:rFonts w:hAnsi="宋体"/>
          <w:b/>
          <w:bCs/>
          <w:color w:val="auto"/>
        </w:rPr>
        <w:t>所述</w:t>
      </w:r>
      <w:r>
        <w:rPr>
          <w:rFonts w:hint="eastAsia" w:hAnsi="宋体"/>
          <w:b/>
          <w:bCs/>
          <w:color w:val="auto"/>
        </w:rPr>
        <w:t>网</w:t>
      </w:r>
      <w:r>
        <w:rPr>
          <w:rFonts w:hAnsi="宋体"/>
          <w:b/>
          <w:bCs/>
          <w:color w:val="auto"/>
        </w:rPr>
        <w:t>上</w:t>
      </w:r>
      <w:r>
        <w:rPr>
          <w:rFonts w:hint="eastAsia" w:hAnsi="宋体"/>
          <w:b/>
          <w:bCs/>
          <w:color w:val="auto"/>
        </w:rPr>
        <w:t>电子交易系统</w:t>
      </w:r>
      <w:r>
        <w:rPr>
          <w:rFonts w:hAnsi="宋体"/>
          <w:b/>
          <w:bCs/>
          <w:color w:val="auto"/>
        </w:rPr>
        <w:t>进行。</w:t>
      </w:r>
    </w:p>
    <w:p w14:paraId="0C299737">
      <w:pPr>
        <w:pStyle w:val="49"/>
        <w:snapToGrid w:val="0"/>
        <w:spacing w:before="120" w:beforeLines="50" w:line="300" w:lineRule="auto"/>
        <w:ind w:firstLine="480" w:firstLineChars="200"/>
        <w:jc w:val="both"/>
        <w:rPr>
          <w:rFonts w:hAnsi="宋体"/>
          <w:color w:val="auto"/>
        </w:rPr>
      </w:pPr>
      <w:r>
        <w:rPr>
          <w:rFonts w:hAnsi="宋体"/>
          <w:color w:val="auto"/>
        </w:rPr>
        <w:t xml:space="preserve">3.4.1 </w:t>
      </w:r>
      <w:r>
        <w:rPr>
          <w:rFonts w:hint="eastAsia" w:hAnsi="宋体"/>
          <w:color w:val="auto"/>
        </w:rPr>
        <w:t>本次政府采购采取竞争性磋商方式。磋商小组将据评审情况就所报项目的技术、服务、价格等事项与有关供应商分别进行磋商。磋商的任何一方不得将与磋商有关的技术资料、价格和其他信息透露给其他供应商。</w:t>
      </w:r>
    </w:p>
    <w:p w14:paraId="1C949BF0">
      <w:pPr>
        <w:pStyle w:val="49"/>
        <w:snapToGrid w:val="0"/>
        <w:spacing w:before="120" w:beforeLines="50" w:line="300" w:lineRule="auto"/>
        <w:ind w:firstLine="480" w:firstLineChars="200"/>
        <w:jc w:val="both"/>
        <w:rPr>
          <w:rFonts w:hAnsi="宋体"/>
          <w:color w:val="auto"/>
        </w:rPr>
      </w:pPr>
      <w:r>
        <w:rPr>
          <w:rFonts w:hAnsi="宋体"/>
          <w:color w:val="auto"/>
        </w:rPr>
        <w:t>3.4.2</w:t>
      </w:r>
      <w:r>
        <w:rPr>
          <w:rFonts w:hint="eastAsia" w:hAnsi="宋体"/>
          <w:color w:val="auto"/>
        </w:rPr>
        <w:t xml:space="preserve"> 磋商小组根据《磋商文件》规定的程序、评定成交的标准等事项与实质性响应《磋商文件》实质性要求的供应商进行磋商。</w:t>
      </w:r>
    </w:p>
    <w:p w14:paraId="1E956379">
      <w:pPr>
        <w:pStyle w:val="49"/>
        <w:snapToGrid w:val="0"/>
        <w:spacing w:before="120" w:beforeLines="50" w:line="300" w:lineRule="auto"/>
        <w:ind w:firstLine="480" w:firstLineChars="200"/>
        <w:jc w:val="both"/>
        <w:rPr>
          <w:rFonts w:hAnsi="宋体"/>
          <w:color w:val="auto"/>
        </w:rPr>
      </w:pPr>
      <w:r>
        <w:rPr>
          <w:rFonts w:hAnsi="宋体"/>
          <w:color w:val="auto"/>
        </w:rPr>
        <w:t xml:space="preserve">3.4.3 </w:t>
      </w:r>
      <w:r>
        <w:rPr>
          <w:rFonts w:hint="eastAsia" w:hAnsi="宋体"/>
          <w:color w:val="auto"/>
        </w:rPr>
        <w:t>磋商小组所有成员集中与单一供应商分别进行磋商，并给予所有参加磋商的供应商平等的磋商机会。</w:t>
      </w:r>
    </w:p>
    <w:p w14:paraId="2DC9E967">
      <w:pPr>
        <w:pStyle w:val="49"/>
        <w:snapToGrid w:val="0"/>
        <w:spacing w:before="120" w:beforeLines="50" w:line="300" w:lineRule="auto"/>
        <w:ind w:firstLine="480" w:firstLineChars="200"/>
        <w:jc w:val="both"/>
        <w:rPr>
          <w:color w:val="auto"/>
        </w:rPr>
      </w:pPr>
      <w:r>
        <w:rPr>
          <w:rFonts w:hAnsi="宋体"/>
          <w:color w:val="auto"/>
        </w:rPr>
        <w:t>3.4</w:t>
      </w:r>
      <w:r>
        <w:rPr>
          <w:color w:val="auto"/>
        </w:rPr>
        <w:t>.</w:t>
      </w:r>
      <w:r>
        <w:rPr>
          <w:rFonts w:hAnsi="宋体"/>
          <w:color w:val="auto"/>
        </w:rPr>
        <w:t xml:space="preserve">4 </w:t>
      </w:r>
      <w:r>
        <w:rPr>
          <w:rFonts w:hint="eastAsia" w:hAnsi="宋体"/>
          <w:color w:val="auto"/>
        </w:rPr>
        <w:t>在磋商过程中，磋商小组可以根据《磋商文件》和磋商情况实质性变动采购需求中的技术、服务要求以及合同草案条款，《磋商文件》中的其他内容将不再变动。实质性变动的内容，经采购人代表确认后，</w:t>
      </w:r>
      <w:r>
        <w:rPr>
          <w:rFonts w:hint="eastAsia" w:hAnsi="宋体"/>
          <w:b/>
          <w:color w:val="auto"/>
        </w:rPr>
        <w:t>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14:paraId="2033201F">
      <w:pPr>
        <w:pStyle w:val="49"/>
        <w:snapToGrid w:val="0"/>
        <w:spacing w:before="120" w:beforeLines="50" w:line="300" w:lineRule="auto"/>
        <w:ind w:firstLine="480" w:firstLineChars="200"/>
        <w:jc w:val="both"/>
        <w:rPr>
          <w:color w:val="auto"/>
        </w:rPr>
      </w:pPr>
      <w:r>
        <w:rPr>
          <w:rFonts w:hAnsi="宋体"/>
          <w:color w:val="auto"/>
        </w:rPr>
        <w:t>3.4</w:t>
      </w:r>
      <w:r>
        <w:rPr>
          <w:color w:val="auto"/>
        </w:rPr>
        <w:t>.</w:t>
      </w:r>
      <w:r>
        <w:rPr>
          <w:rFonts w:hAnsi="宋体"/>
          <w:color w:val="auto"/>
        </w:rPr>
        <w:t>5</w:t>
      </w:r>
      <w:r>
        <w:rPr>
          <w:rFonts w:hint="eastAsia" w:hAnsi="宋体"/>
          <w:color w:val="auto"/>
        </w:rPr>
        <w:t xml:space="preserve"> 对《磋商文件》作出的实质性变动是《磋商文件》的有效组成部分。</w:t>
      </w:r>
    </w:p>
    <w:p w14:paraId="616EB275">
      <w:pPr>
        <w:pStyle w:val="49"/>
        <w:snapToGrid w:val="0"/>
        <w:spacing w:before="120" w:beforeLines="50" w:line="300" w:lineRule="auto"/>
        <w:ind w:firstLine="480" w:firstLineChars="200"/>
        <w:jc w:val="both"/>
        <w:rPr>
          <w:color w:val="auto"/>
        </w:rPr>
      </w:pPr>
      <w:r>
        <w:rPr>
          <w:rFonts w:hAnsi="宋体"/>
          <w:color w:val="auto"/>
        </w:rPr>
        <w:t>3.4</w:t>
      </w:r>
      <w:r>
        <w:rPr>
          <w:color w:val="auto"/>
        </w:rPr>
        <w:t>.</w:t>
      </w:r>
      <w:r>
        <w:rPr>
          <w:rFonts w:hAnsi="宋体"/>
          <w:color w:val="auto"/>
        </w:rPr>
        <w:t xml:space="preserve">6 </w:t>
      </w:r>
      <w:r>
        <w:rPr>
          <w:rFonts w:hint="eastAsia" w:hAnsi="宋体"/>
          <w:color w:val="auto"/>
        </w:rPr>
        <w:t>供应商应当按照《磋商文件》的变动情况和磋商小组的要求重新提交《响应文件》或修订《响应文件》相应条款，</w:t>
      </w:r>
      <w:r>
        <w:rPr>
          <w:rFonts w:hint="eastAsia" w:hAnsi="宋体"/>
          <w:b/>
          <w:color w:val="auto"/>
        </w:rPr>
        <w:t>并应加</w:t>
      </w:r>
      <w:r>
        <w:rPr>
          <w:rFonts w:hAnsi="宋体"/>
          <w:b/>
          <w:color w:val="auto"/>
        </w:rPr>
        <w:t>盖</w:t>
      </w:r>
      <w:r>
        <w:rPr>
          <w:rFonts w:hint="eastAsia" w:hAnsi="宋体"/>
          <w:b/>
          <w:color w:val="auto"/>
        </w:rPr>
        <w:t>供应商或其法定代表人的电子签名</w:t>
      </w:r>
      <w:r>
        <w:rPr>
          <w:rFonts w:hint="eastAsia" w:hAnsi="宋体" w:cs="楷体_GB2312"/>
          <w:b/>
          <w:color w:val="auto"/>
        </w:rPr>
        <w:t>（签章）</w:t>
      </w:r>
      <w:r>
        <w:rPr>
          <w:rFonts w:hint="eastAsia" w:hAnsi="宋体"/>
          <w:b/>
          <w:color w:val="auto"/>
        </w:rPr>
        <w:t>。</w:t>
      </w:r>
    </w:p>
    <w:p w14:paraId="64EE445C">
      <w:pPr>
        <w:pStyle w:val="49"/>
        <w:snapToGrid w:val="0"/>
        <w:spacing w:before="120" w:beforeLines="50" w:line="300" w:lineRule="auto"/>
        <w:ind w:firstLine="480" w:firstLineChars="200"/>
        <w:jc w:val="both"/>
        <w:rPr>
          <w:rFonts w:hAnsi="宋体"/>
          <w:color w:val="auto"/>
        </w:rPr>
      </w:pPr>
      <w:r>
        <w:rPr>
          <w:rFonts w:hAnsi="宋体"/>
          <w:color w:val="auto"/>
        </w:rPr>
        <w:t xml:space="preserve">3.4.7 </w:t>
      </w:r>
      <w:r>
        <w:rPr>
          <w:rFonts w:hint="eastAsia" w:hAnsi="宋体"/>
          <w:color w:val="auto"/>
        </w:rPr>
        <w:t>价格磋商：</w:t>
      </w:r>
    </w:p>
    <w:p w14:paraId="58ACD175">
      <w:pPr>
        <w:pStyle w:val="49"/>
        <w:snapToGrid w:val="0"/>
        <w:spacing w:before="120" w:beforeLines="50" w:line="300" w:lineRule="auto"/>
        <w:ind w:firstLine="480" w:firstLineChars="200"/>
        <w:jc w:val="both"/>
        <w:rPr>
          <w:rFonts w:hAnsi="宋体"/>
          <w:color w:val="auto"/>
        </w:rPr>
      </w:pPr>
      <w:r>
        <w:rPr>
          <w:rFonts w:hAnsi="宋体"/>
          <w:color w:val="auto"/>
        </w:rPr>
        <w:t xml:space="preserve">3.4.7.1 </w:t>
      </w:r>
      <w:r>
        <w:rPr>
          <w:rFonts w:hint="eastAsia" w:hAnsi="宋体"/>
          <w:color w:val="auto"/>
        </w:rPr>
        <w:t>见第二章“采购项目及技术服务要求”</w:t>
      </w:r>
      <w:r>
        <w:rPr>
          <w:rFonts w:hAnsi="宋体"/>
          <w:color w:val="auto"/>
        </w:rPr>
        <w:t>1.3.2</w:t>
      </w:r>
      <w:r>
        <w:rPr>
          <w:rFonts w:hint="eastAsia" w:hAnsi="宋体"/>
          <w:color w:val="auto"/>
        </w:rPr>
        <w:t>项规定。</w:t>
      </w:r>
    </w:p>
    <w:p w14:paraId="3529665A">
      <w:pPr>
        <w:pStyle w:val="49"/>
        <w:snapToGrid w:val="0"/>
        <w:spacing w:before="120" w:beforeLines="50" w:line="300" w:lineRule="auto"/>
        <w:ind w:firstLine="480" w:firstLineChars="200"/>
        <w:jc w:val="both"/>
        <w:rPr>
          <w:rFonts w:hAnsi="宋体"/>
          <w:color w:val="auto"/>
        </w:rPr>
      </w:pPr>
      <w:r>
        <w:rPr>
          <w:rFonts w:hAnsi="宋体"/>
          <w:color w:val="auto"/>
        </w:rPr>
        <w:t xml:space="preserve">3.4.7.2 </w:t>
      </w:r>
      <w:r>
        <w:rPr>
          <w:rFonts w:hint="eastAsia" w:hAnsi="宋体"/>
          <w:color w:val="auto"/>
        </w:rPr>
        <w:t>磋商小组应当要求所有继续参加磋商的供应商在规定时间内提交最后报价，提交最后报价的供应商不得少于</w:t>
      </w:r>
      <w:r>
        <w:rPr>
          <w:rFonts w:hAnsi="宋体"/>
          <w:color w:val="auto"/>
        </w:rPr>
        <w:t>3</w:t>
      </w:r>
      <w:r>
        <w:rPr>
          <w:rFonts w:hint="eastAsia" w:hAnsi="宋体"/>
          <w:color w:val="auto"/>
        </w:rPr>
        <w:t>家。最后报价是《响应文件》的有效组成部分。</w:t>
      </w:r>
    </w:p>
    <w:p w14:paraId="49A0854E">
      <w:pPr>
        <w:pStyle w:val="49"/>
        <w:snapToGrid w:val="0"/>
        <w:spacing w:before="120" w:beforeLines="50" w:line="300" w:lineRule="auto"/>
        <w:ind w:firstLine="480" w:firstLineChars="200"/>
        <w:jc w:val="both"/>
        <w:rPr>
          <w:rFonts w:hAnsi="宋体"/>
          <w:color w:val="auto"/>
        </w:rPr>
      </w:pPr>
      <w:r>
        <w:rPr>
          <w:rFonts w:hAnsi="宋体"/>
          <w:color w:val="auto"/>
        </w:rPr>
        <w:t>3.4.8</w:t>
      </w:r>
      <w:r>
        <w:rPr>
          <w:rFonts w:hint="eastAsia" w:hAnsi="宋体"/>
          <w:color w:val="auto"/>
        </w:rPr>
        <w:t xml:space="preserve"> 《磋商文件》的实质性变动影响到供应商因此无法继续参加磋商的，供应商可以在提交最后报价之前退出磋商。其《响应文件》按无效处理的供应商，所提交的最后报价也按无效处理。</w:t>
      </w:r>
    </w:p>
    <w:p w14:paraId="00B49E86">
      <w:pPr>
        <w:pStyle w:val="49"/>
        <w:snapToGrid w:val="0"/>
        <w:spacing w:before="120" w:beforeLines="50" w:line="300" w:lineRule="auto"/>
        <w:ind w:firstLine="482" w:firstLineChars="200"/>
        <w:jc w:val="both"/>
        <w:rPr>
          <w:rFonts w:hAnsi="宋体"/>
          <w:b/>
          <w:bCs/>
          <w:color w:val="auto"/>
        </w:rPr>
      </w:pPr>
      <w:r>
        <w:rPr>
          <w:rFonts w:hAnsi="宋体"/>
          <w:b/>
          <w:bCs/>
          <w:color w:val="auto"/>
        </w:rPr>
        <w:t>3.</w:t>
      </w:r>
      <w:r>
        <w:rPr>
          <w:rFonts w:hint="eastAsia" w:hAnsi="宋体"/>
          <w:b/>
          <w:bCs/>
          <w:color w:val="auto"/>
        </w:rPr>
        <w:t>4</w:t>
      </w:r>
      <w:r>
        <w:rPr>
          <w:rFonts w:hAnsi="宋体"/>
          <w:b/>
          <w:bCs/>
          <w:color w:val="auto"/>
        </w:rPr>
        <w:t>.9</w:t>
      </w:r>
      <w:r>
        <w:rPr>
          <w:rFonts w:hint="eastAsia" w:hAnsi="宋体"/>
          <w:b/>
          <w:bCs/>
          <w:color w:val="auto"/>
        </w:rPr>
        <w:t xml:space="preserve"> 供应商提交最后报价应在系统中填列。</w:t>
      </w:r>
    </w:p>
    <w:p w14:paraId="69AE95B5">
      <w:pPr>
        <w:pStyle w:val="49"/>
        <w:snapToGrid w:val="0"/>
        <w:spacing w:before="120" w:beforeLines="50" w:line="300" w:lineRule="auto"/>
        <w:ind w:firstLine="482" w:firstLineChars="200"/>
        <w:jc w:val="both"/>
        <w:rPr>
          <w:rFonts w:hAnsi="宋体"/>
          <w:b/>
          <w:bCs/>
          <w:color w:val="auto"/>
        </w:rPr>
      </w:pPr>
      <w:r>
        <w:rPr>
          <w:rFonts w:hAnsi="宋体"/>
          <w:b/>
          <w:bCs/>
          <w:color w:val="auto"/>
        </w:rPr>
        <w:t>3.</w:t>
      </w:r>
      <w:r>
        <w:rPr>
          <w:rFonts w:hint="eastAsia" w:hAnsi="宋体"/>
          <w:b/>
          <w:bCs/>
          <w:color w:val="auto"/>
        </w:rPr>
        <w:t>4</w:t>
      </w:r>
      <w:r>
        <w:rPr>
          <w:rFonts w:hAnsi="宋体"/>
          <w:b/>
          <w:bCs/>
          <w:color w:val="auto"/>
        </w:rPr>
        <w:t xml:space="preserve">.10 </w:t>
      </w:r>
      <w:r>
        <w:rPr>
          <w:rFonts w:hint="eastAsia" w:hAnsi="宋体"/>
          <w:b/>
          <w:bCs/>
          <w:color w:val="auto"/>
        </w:rPr>
        <w:t>本项目在开标后只进行一轮报价，即最后报价。网</w:t>
      </w:r>
      <w:r>
        <w:rPr>
          <w:rFonts w:hAnsi="宋体"/>
          <w:b/>
          <w:bCs/>
          <w:color w:val="auto"/>
        </w:rPr>
        <w:t>上交易系统中</w:t>
      </w:r>
      <w:r>
        <w:rPr>
          <w:rFonts w:hint="eastAsia" w:hAnsi="宋体"/>
          <w:b/>
          <w:bCs/>
          <w:color w:val="auto"/>
        </w:rPr>
        <w:t>管理员发起最后报价后，如供应商未在指定时限内提交最后报价，视为该供应商根据磋商情况退出磋商。</w:t>
      </w:r>
    </w:p>
    <w:p w14:paraId="29013DCF">
      <w:pPr>
        <w:pStyle w:val="49"/>
        <w:snapToGrid w:val="0"/>
        <w:spacing w:before="120" w:beforeLines="50" w:line="300" w:lineRule="auto"/>
        <w:ind w:firstLine="482" w:firstLineChars="200"/>
        <w:jc w:val="both"/>
        <w:rPr>
          <w:rFonts w:hAnsi="宋体"/>
          <w:b/>
          <w:bCs/>
          <w:color w:val="auto"/>
        </w:rPr>
      </w:pPr>
      <w:r>
        <w:rPr>
          <w:rFonts w:hAnsi="宋体"/>
          <w:b/>
          <w:bCs/>
          <w:color w:val="auto"/>
        </w:rPr>
        <w:t>3.</w:t>
      </w:r>
      <w:r>
        <w:rPr>
          <w:rFonts w:hint="eastAsia" w:hAnsi="宋体"/>
          <w:b/>
          <w:bCs/>
          <w:color w:val="auto"/>
        </w:rPr>
        <w:t>4</w:t>
      </w:r>
      <w:r>
        <w:rPr>
          <w:rFonts w:hAnsi="宋体"/>
          <w:b/>
          <w:bCs/>
          <w:color w:val="auto"/>
        </w:rPr>
        <w:t xml:space="preserve">.11 </w:t>
      </w:r>
      <w:r>
        <w:rPr>
          <w:rFonts w:hint="eastAsia" w:hAnsi="宋体"/>
          <w:b/>
          <w:bCs/>
          <w:color w:val="auto"/>
        </w:rPr>
        <w:t>供应商在网上报价过程中，如遇到网上投标系统的操作问题，可通过网上预留的咨询电话进行咨询。供应商因未按照要求进行操作、供应商办理的数字证书失效等其他自身原因导致《响应文件》错误或无效的，磋商小组将认定其为无效投</w:t>
      </w:r>
      <w:r>
        <w:rPr>
          <w:rFonts w:hAnsi="宋体"/>
          <w:b/>
          <w:bCs/>
          <w:color w:val="auto"/>
        </w:rPr>
        <w:t>标</w:t>
      </w:r>
      <w:r>
        <w:rPr>
          <w:rFonts w:hint="eastAsia" w:hAnsi="宋体"/>
          <w:b/>
          <w:bCs/>
          <w:color w:val="auto"/>
        </w:rPr>
        <w:t>。</w:t>
      </w:r>
    </w:p>
    <w:p w14:paraId="03A0C7D8">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r>
        <w:rPr>
          <w:rFonts w:hint="eastAsia" w:ascii="黑体" w:hAnsi="黑体" w:eastAsia="黑体"/>
          <w:b/>
          <w:color w:val="auto"/>
          <w:sz w:val="24"/>
        </w:rPr>
        <w:t>3.5 详细评审</w:t>
      </w:r>
    </w:p>
    <w:p w14:paraId="3FCA6E23">
      <w:pPr>
        <w:pStyle w:val="49"/>
        <w:snapToGrid w:val="0"/>
        <w:spacing w:before="120" w:beforeLines="50" w:line="300" w:lineRule="auto"/>
        <w:ind w:firstLine="480" w:firstLineChars="200"/>
        <w:jc w:val="both"/>
        <w:rPr>
          <w:rFonts w:hAnsi="宋体"/>
          <w:color w:val="auto"/>
        </w:rPr>
      </w:pPr>
      <w:r>
        <w:rPr>
          <w:rFonts w:hAnsi="宋体"/>
          <w:color w:val="auto"/>
        </w:rPr>
        <w:t xml:space="preserve">3.5.1 </w:t>
      </w:r>
      <w:r>
        <w:rPr>
          <w:rFonts w:hint="eastAsia" w:hAnsi="宋体"/>
          <w:color w:val="auto"/>
        </w:rPr>
        <w:t>经磋商确定最终采购需求和提交最后报价的供应商后，由磋商小组采用综合评分法对提交最后报价的供应商的《响应文件》和最后报价进行综合评分。</w:t>
      </w:r>
    </w:p>
    <w:p w14:paraId="758428F9">
      <w:pPr>
        <w:pStyle w:val="49"/>
        <w:snapToGrid w:val="0"/>
        <w:spacing w:before="120" w:beforeLines="50" w:line="300" w:lineRule="auto"/>
        <w:ind w:firstLine="480" w:firstLineChars="200"/>
        <w:jc w:val="both"/>
        <w:rPr>
          <w:rFonts w:hAnsi="宋体"/>
          <w:color w:val="auto"/>
        </w:rPr>
      </w:pPr>
      <w:r>
        <w:rPr>
          <w:rFonts w:hAnsi="宋体"/>
          <w:color w:val="auto"/>
        </w:rPr>
        <w:t xml:space="preserve">3.5.2 </w:t>
      </w:r>
      <w:r>
        <w:rPr>
          <w:rFonts w:hint="eastAsia" w:hAnsi="宋体"/>
          <w:color w:val="auto"/>
        </w:rPr>
        <w:t>按本章第</w:t>
      </w:r>
      <w:r>
        <w:rPr>
          <w:rFonts w:hAnsi="宋体"/>
          <w:color w:val="auto"/>
        </w:rPr>
        <w:t>4</w:t>
      </w:r>
      <w:r>
        <w:rPr>
          <w:rFonts w:hint="eastAsia" w:hAnsi="宋体"/>
          <w:color w:val="auto"/>
        </w:rPr>
        <w:t>条规定执行促进中小企业发展扶持政策，用扣除后的价格参与评审。</w:t>
      </w:r>
    </w:p>
    <w:p w14:paraId="332B1AC9">
      <w:pPr>
        <w:pStyle w:val="49"/>
        <w:snapToGrid w:val="0"/>
        <w:spacing w:before="120" w:beforeLines="50" w:line="300" w:lineRule="auto"/>
        <w:ind w:firstLine="480" w:firstLineChars="200"/>
        <w:jc w:val="both"/>
        <w:rPr>
          <w:rFonts w:hAnsi="宋体"/>
          <w:color w:val="auto"/>
        </w:rPr>
      </w:pPr>
      <w:r>
        <w:rPr>
          <w:rFonts w:hAnsi="宋体"/>
          <w:color w:val="auto"/>
        </w:rPr>
        <w:t xml:space="preserve">3.5.3 </w:t>
      </w:r>
      <w:r>
        <w:rPr>
          <w:rFonts w:hint="eastAsia" w:hAnsi="宋体"/>
          <w:color w:val="auto"/>
        </w:rPr>
        <w:t>磋商小组按本章第</w:t>
      </w:r>
      <w:r>
        <w:rPr>
          <w:rFonts w:hAnsi="宋体"/>
          <w:color w:val="auto"/>
        </w:rPr>
        <w:t>2.2</w:t>
      </w:r>
      <w:r>
        <w:rPr>
          <w:rFonts w:hint="eastAsia" w:hAnsi="宋体"/>
          <w:color w:val="auto"/>
        </w:rPr>
        <w:t>款规定的量化因素和分值进行打分，并计算出综合评标得分。</w:t>
      </w:r>
    </w:p>
    <w:p w14:paraId="7542357B">
      <w:pPr>
        <w:pStyle w:val="49"/>
        <w:snapToGrid w:val="0"/>
        <w:spacing w:before="120" w:beforeLines="50" w:line="300" w:lineRule="auto"/>
        <w:ind w:firstLine="480" w:firstLineChars="200"/>
        <w:jc w:val="both"/>
        <w:rPr>
          <w:rFonts w:hAnsi="宋体"/>
          <w:color w:val="auto"/>
        </w:rPr>
      </w:pPr>
      <w:r>
        <w:rPr>
          <w:rFonts w:hAnsi="宋体"/>
          <w:color w:val="auto"/>
        </w:rPr>
        <w:t>3.5.4</w:t>
      </w:r>
      <w:r>
        <w:rPr>
          <w:rFonts w:hint="eastAsia" w:hAnsi="宋体"/>
          <w:color w:val="auto"/>
        </w:rPr>
        <w:t xml:space="preserve"> 评分计算保留</w:t>
      </w:r>
      <w:r>
        <w:rPr>
          <w:rFonts w:hAnsi="宋体"/>
          <w:color w:val="auto"/>
        </w:rPr>
        <w:t>2</w:t>
      </w:r>
      <w:r>
        <w:rPr>
          <w:rFonts w:hint="eastAsia" w:hAnsi="宋体"/>
          <w:color w:val="auto"/>
        </w:rPr>
        <w:t>位小数，第三位小数四舍五入。评分计算中出现中间值时按插入法计算得分。</w:t>
      </w:r>
    </w:p>
    <w:p w14:paraId="59964FEE">
      <w:pPr>
        <w:pStyle w:val="49"/>
        <w:snapToGrid w:val="0"/>
        <w:spacing w:before="120" w:beforeLines="50" w:line="300" w:lineRule="auto"/>
        <w:ind w:firstLine="480" w:firstLineChars="200"/>
        <w:jc w:val="both"/>
        <w:rPr>
          <w:rFonts w:hAnsi="宋体"/>
          <w:color w:val="auto"/>
        </w:rPr>
      </w:pPr>
      <w:r>
        <w:rPr>
          <w:rFonts w:hAnsi="宋体"/>
          <w:color w:val="auto"/>
        </w:rPr>
        <w:t>3.5.5</w:t>
      </w:r>
      <w:r>
        <w:rPr>
          <w:rFonts w:hint="eastAsia" w:hAnsi="宋体"/>
          <w:color w:val="auto"/>
        </w:rPr>
        <w:t xml:space="preserve"> 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投标处理。</w:t>
      </w:r>
    </w:p>
    <w:p w14:paraId="1E3FAA44">
      <w:pPr>
        <w:pStyle w:val="49"/>
        <w:snapToGrid w:val="0"/>
        <w:spacing w:before="120" w:beforeLines="50" w:line="300" w:lineRule="auto"/>
        <w:ind w:firstLine="480" w:firstLineChars="200"/>
        <w:jc w:val="both"/>
        <w:rPr>
          <w:rFonts w:hAnsi="宋体"/>
          <w:color w:val="auto"/>
        </w:rPr>
      </w:pPr>
      <w:r>
        <w:rPr>
          <w:rFonts w:hAnsi="宋体"/>
          <w:color w:val="auto"/>
        </w:rPr>
        <w:t>3.5.6</w:t>
      </w:r>
      <w:r>
        <w:rPr>
          <w:rFonts w:hint="eastAsia" w:hAnsi="宋体"/>
          <w:color w:val="auto"/>
        </w:rPr>
        <w:t xml:space="preserve"> 在评审过程中，凡遇到《磋商文件》中无界定或界定不清，前后不一致，使磋商小组成员意见有分歧且又难于协商一致的问题，均由磋商小组予以表决。</w:t>
      </w:r>
    </w:p>
    <w:p w14:paraId="72F828DA">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r>
        <w:rPr>
          <w:rFonts w:hint="eastAsia" w:ascii="黑体" w:hAnsi="黑体" w:eastAsia="黑体"/>
          <w:b/>
          <w:color w:val="auto"/>
          <w:sz w:val="24"/>
        </w:rPr>
        <w:t>3.6 复核</w:t>
      </w:r>
    </w:p>
    <w:p w14:paraId="6CD0B8A6">
      <w:pPr>
        <w:pStyle w:val="49"/>
        <w:snapToGrid w:val="0"/>
        <w:spacing w:before="120" w:beforeLines="50" w:line="300" w:lineRule="auto"/>
        <w:ind w:firstLine="480" w:firstLineChars="200"/>
        <w:jc w:val="both"/>
        <w:rPr>
          <w:rFonts w:hAnsi="宋体"/>
          <w:color w:val="auto"/>
        </w:rPr>
      </w:pPr>
      <w:r>
        <w:rPr>
          <w:rFonts w:hAnsi="宋体"/>
          <w:color w:val="auto"/>
        </w:rPr>
        <w:t xml:space="preserve">3.6.1 </w:t>
      </w:r>
      <w:r>
        <w:rPr>
          <w:rFonts w:hint="eastAsia" w:hAnsi="宋体"/>
          <w:color w:val="auto"/>
        </w:rPr>
        <w:t>磋商小组要对评分汇总情况进行复核，对评审数据进行校对、核对，特别是对排名第一的、报价最低的、被认定为无效的情形进行重点复核。</w:t>
      </w:r>
    </w:p>
    <w:p w14:paraId="53C80EFA">
      <w:pPr>
        <w:pStyle w:val="49"/>
        <w:snapToGrid w:val="0"/>
        <w:spacing w:before="120" w:beforeLines="50" w:line="300" w:lineRule="auto"/>
        <w:ind w:firstLine="480" w:firstLineChars="200"/>
        <w:jc w:val="both"/>
        <w:rPr>
          <w:rFonts w:hAnsi="宋体"/>
          <w:color w:val="auto"/>
        </w:rPr>
      </w:pPr>
      <w:r>
        <w:rPr>
          <w:rFonts w:hAnsi="宋体"/>
          <w:color w:val="auto"/>
        </w:rPr>
        <w:t xml:space="preserve">3.6.2 </w:t>
      </w:r>
      <w:r>
        <w:rPr>
          <w:rFonts w:hint="eastAsia" w:hAnsi="宋体"/>
          <w:color w:val="auto"/>
        </w:rPr>
        <w:t>磋商小组对供应商的价格分等客观评分项的评分应当一致，对其他需要借助专业知识评判的主观评分项，应当严格按照评分细则公正评分，不得超出评分标准范围，对畸高、畸低的重大差异评分书面说明理由。</w:t>
      </w:r>
    </w:p>
    <w:p w14:paraId="0FF784EB">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r>
        <w:rPr>
          <w:rFonts w:hint="eastAsia" w:ascii="黑体" w:hAnsi="黑体" w:eastAsia="黑体"/>
          <w:b/>
          <w:color w:val="auto"/>
          <w:sz w:val="24"/>
        </w:rPr>
        <w:t>3.7 评审结果</w:t>
      </w:r>
    </w:p>
    <w:p w14:paraId="738D59E4">
      <w:pPr>
        <w:pStyle w:val="49"/>
        <w:snapToGrid w:val="0"/>
        <w:spacing w:before="120" w:beforeLines="50" w:line="300" w:lineRule="auto"/>
        <w:ind w:firstLine="480" w:firstLineChars="200"/>
        <w:jc w:val="both"/>
        <w:rPr>
          <w:rFonts w:hAnsi="宋体"/>
          <w:color w:val="auto"/>
        </w:rPr>
      </w:pPr>
      <w:r>
        <w:rPr>
          <w:rFonts w:hAnsi="宋体"/>
          <w:color w:val="auto"/>
        </w:rPr>
        <w:t>3.7.1</w:t>
      </w:r>
      <w:r>
        <w:rPr>
          <w:rFonts w:hint="eastAsia" w:hAnsi="宋体"/>
          <w:color w:val="auto"/>
        </w:rPr>
        <w:t xml:space="preserve"> 磋商小组应当根据综合评分情况，按照评审得分由高到低顺序推荐</w:t>
      </w:r>
      <w:r>
        <w:rPr>
          <w:rFonts w:hAnsi="宋体"/>
          <w:color w:val="auto"/>
        </w:rPr>
        <w:t>3</w:t>
      </w:r>
      <w:r>
        <w:rPr>
          <w:rFonts w:hint="eastAsia" w:hAnsi="宋体"/>
          <w:color w:val="auto"/>
        </w:rPr>
        <w:t>名以上成交候选供应商，并编写评审报告。符合本《政府采购竞争性磋商采购方式管理暂行办法》第二十一条第三款情形的，可以推荐</w:t>
      </w:r>
      <w:r>
        <w:rPr>
          <w:rFonts w:hAnsi="宋体"/>
          <w:color w:val="auto"/>
        </w:rPr>
        <w:t>2</w:t>
      </w:r>
      <w:r>
        <w:rPr>
          <w:rFonts w:hint="eastAsia" w:hAnsi="宋体"/>
          <w:color w:val="auto"/>
        </w:rPr>
        <w:t>家成交候选供应商。评审得分相同的，按照最后报价由低到高的顺序推荐。评审得分且最后报价相同的，按照技术指标优劣顺序推荐。</w:t>
      </w:r>
    </w:p>
    <w:p w14:paraId="6C92A852">
      <w:pPr>
        <w:pStyle w:val="49"/>
        <w:snapToGrid w:val="0"/>
        <w:spacing w:before="120" w:beforeLines="50" w:line="300" w:lineRule="auto"/>
        <w:ind w:firstLine="480" w:firstLineChars="200"/>
        <w:jc w:val="both"/>
        <w:rPr>
          <w:rFonts w:hAnsi="宋体"/>
          <w:color w:val="auto"/>
        </w:rPr>
      </w:pPr>
      <w:r>
        <w:rPr>
          <w:rFonts w:hAnsi="宋体"/>
          <w:color w:val="auto"/>
        </w:rPr>
        <w:t xml:space="preserve">3.7.2 </w:t>
      </w:r>
      <w:r>
        <w:rPr>
          <w:rFonts w:hint="eastAsia" w:hAnsi="宋体"/>
          <w:color w:val="auto"/>
        </w:rPr>
        <w:t>确定成交供应商：按第三章“供应商须知前附表”</w:t>
      </w:r>
      <w:r>
        <w:rPr>
          <w:rFonts w:hAnsi="宋体"/>
          <w:color w:val="auto"/>
        </w:rPr>
        <w:t>7.1</w:t>
      </w:r>
      <w:r>
        <w:rPr>
          <w:rFonts w:hint="eastAsia" w:hAnsi="宋体"/>
          <w:color w:val="auto"/>
        </w:rPr>
        <w:t>款规定及本章第</w:t>
      </w:r>
      <w:r>
        <w:rPr>
          <w:rFonts w:hAnsi="宋体"/>
          <w:color w:val="auto"/>
        </w:rPr>
        <w:t>1</w:t>
      </w:r>
      <w:r>
        <w:rPr>
          <w:rFonts w:hint="eastAsia" w:hAnsi="宋体"/>
          <w:color w:val="auto"/>
        </w:rPr>
        <w:t>条规定。</w:t>
      </w:r>
    </w:p>
    <w:p w14:paraId="2468B103">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r>
        <w:rPr>
          <w:rFonts w:hint="eastAsia" w:ascii="黑体" w:hAnsi="黑体" w:eastAsia="黑体"/>
          <w:b/>
          <w:color w:val="auto"/>
          <w:sz w:val="24"/>
        </w:rPr>
        <w:t>3.8 磋商终止</w:t>
      </w:r>
    </w:p>
    <w:p w14:paraId="62109716">
      <w:pPr>
        <w:pStyle w:val="49"/>
        <w:snapToGrid w:val="0"/>
        <w:spacing w:before="120" w:beforeLines="50" w:line="300" w:lineRule="auto"/>
        <w:ind w:firstLine="480" w:firstLineChars="200"/>
        <w:jc w:val="both"/>
        <w:rPr>
          <w:rFonts w:hAnsi="宋体"/>
          <w:color w:val="auto"/>
        </w:rPr>
      </w:pPr>
      <w:r>
        <w:rPr>
          <w:rFonts w:hAnsi="宋体"/>
          <w:color w:val="auto"/>
        </w:rPr>
        <w:t>3.</w:t>
      </w:r>
      <w:r>
        <w:rPr>
          <w:rFonts w:hint="eastAsia" w:hAnsi="宋体"/>
          <w:color w:val="auto"/>
        </w:rPr>
        <w:t>8</w:t>
      </w:r>
      <w:r>
        <w:rPr>
          <w:rFonts w:hAnsi="宋体"/>
          <w:color w:val="auto"/>
        </w:rPr>
        <w:t xml:space="preserve">.1 </w:t>
      </w:r>
      <w:r>
        <w:rPr>
          <w:rFonts w:hint="eastAsia" w:hAnsi="宋体"/>
          <w:color w:val="auto"/>
        </w:rPr>
        <w:t>出现下列情形之一的，终止竞争性磋商活动：</w:t>
      </w:r>
    </w:p>
    <w:p w14:paraId="56ACAE9A">
      <w:pPr>
        <w:pStyle w:val="49"/>
        <w:snapToGrid w:val="0"/>
        <w:spacing w:before="120" w:beforeLines="50" w:line="300" w:lineRule="auto"/>
        <w:ind w:firstLine="480" w:firstLineChars="200"/>
        <w:jc w:val="both"/>
        <w:rPr>
          <w:rFonts w:hAnsi="宋体"/>
          <w:color w:val="auto"/>
        </w:rPr>
      </w:pPr>
      <w:r>
        <w:rPr>
          <w:rFonts w:hint="eastAsia" w:hAnsi="宋体"/>
          <w:color w:val="auto"/>
        </w:rPr>
        <w:t>（</w:t>
      </w:r>
      <w:r>
        <w:rPr>
          <w:rFonts w:hAnsi="宋体"/>
          <w:color w:val="auto"/>
        </w:rPr>
        <w:t>1</w:t>
      </w:r>
      <w:r>
        <w:rPr>
          <w:rFonts w:hint="eastAsia" w:hAnsi="宋体"/>
          <w:color w:val="auto"/>
        </w:rPr>
        <w:t>）因情况变化，不再符合规定的竞争性磋商采购方式适用情形的；</w:t>
      </w:r>
    </w:p>
    <w:p w14:paraId="0EC7731A">
      <w:pPr>
        <w:pStyle w:val="49"/>
        <w:snapToGrid w:val="0"/>
        <w:spacing w:before="120" w:beforeLines="50" w:line="300" w:lineRule="auto"/>
        <w:ind w:firstLine="480" w:firstLineChars="200"/>
        <w:jc w:val="both"/>
        <w:rPr>
          <w:rFonts w:hAnsi="宋体"/>
          <w:color w:val="auto"/>
        </w:rPr>
      </w:pPr>
      <w:r>
        <w:rPr>
          <w:rFonts w:hint="eastAsia" w:hAnsi="宋体"/>
          <w:color w:val="auto"/>
        </w:rPr>
        <w:t>（</w:t>
      </w:r>
      <w:r>
        <w:rPr>
          <w:rFonts w:hAnsi="宋体"/>
          <w:color w:val="auto"/>
        </w:rPr>
        <w:t>2</w:t>
      </w:r>
      <w:r>
        <w:rPr>
          <w:rFonts w:hint="eastAsia" w:hAnsi="宋体"/>
          <w:color w:val="auto"/>
        </w:rPr>
        <w:t>）出现影响采购公正的违法、违规行为的；</w:t>
      </w:r>
    </w:p>
    <w:p w14:paraId="29C743EE">
      <w:pPr>
        <w:pStyle w:val="49"/>
        <w:snapToGrid w:val="0"/>
        <w:spacing w:before="120" w:beforeLines="50" w:line="300" w:lineRule="auto"/>
        <w:ind w:firstLine="480" w:firstLineChars="200"/>
        <w:jc w:val="both"/>
        <w:rPr>
          <w:rFonts w:hAnsi="宋体"/>
          <w:color w:val="auto"/>
        </w:rPr>
      </w:pPr>
      <w:r>
        <w:rPr>
          <w:rFonts w:hint="eastAsia" w:hAnsi="宋体"/>
          <w:color w:val="auto"/>
        </w:rPr>
        <w:t>（</w:t>
      </w:r>
      <w:r>
        <w:rPr>
          <w:rFonts w:hAnsi="宋体"/>
          <w:color w:val="auto"/>
        </w:rPr>
        <w:t>3</w:t>
      </w:r>
      <w:r>
        <w:rPr>
          <w:rFonts w:hint="eastAsia" w:hAnsi="宋体"/>
          <w:color w:val="auto"/>
        </w:rPr>
        <w:t>）除《政府采购竞争性磋商采购方式管理暂行办法》第二十一条第三款规定的情形外，在采购过程中符合竞争要求的供应商或者报价未超过预算金额的供应商不足</w:t>
      </w:r>
      <w:r>
        <w:rPr>
          <w:rFonts w:hAnsi="宋体"/>
          <w:color w:val="auto"/>
        </w:rPr>
        <w:t>3</w:t>
      </w:r>
      <w:r>
        <w:rPr>
          <w:rFonts w:hint="eastAsia" w:hAnsi="宋体"/>
          <w:color w:val="auto"/>
        </w:rPr>
        <w:t>家的；</w:t>
      </w:r>
    </w:p>
    <w:p w14:paraId="1F637FD8">
      <w:pPr>
        <w:pStyle w:val="49"/>
        <w:snapToGrid w:val="0"/>
        <w:spacing w:before="120" w:beforeLines="50" w:line="300" w:lineRule="auto"/>
        <w:ind w:firstLine="480" w:firstLineChars="200"/>
        <w:jc w:val="both"/>
        <w:rPr>
          <w:rFonts w:hAnsi="宋体"/>
          <w:color w:val="auto"/>
        </w:rPr>
      </w:pPr>
      <w:r>
        <w:rPr>
          <w:rFonts w:hint="eastAsia" w:hAnsi="宋体"/>
          <w:color w:val="auto"/>
        </w:rPr>
        <w:t>（</w:t>
      </w:r>
      <w:r>
        <w:rPr>
          <w:rFonts w:hAnsi="宋体"/>
          <w:color w:val="auto"/>
        </w:rPr>
        <w:t>4</w:t>
      </w:r>
      <w:r>
        <w:rPr>
          <w:rFonts w:hint="eastAsia" w:hAnsi="宋体"/>
          <w:color w:val="auto"/>
        </w:rPr>
        <w:t>）在采购活动中因重大变故，采购任务取消的。</w:t>
      </w:r>
    </w:p>
    <w:p w14:paraId="731E9C41">
      <w:pPr>
        <w:pStyle w:val="49"/>
        <w:snapToGrid w:val="0"/>
        <w:spacing w:before="120" w:beforeLines="50" w:line="300" w:lineRule="auto"/>
        <w:ind w:firstLine="480" w:firstLineChars="200"/>
        <w:jc w:val="both"/>
        <w:rPr>
          <w:rFonts w:hAnsi="宋体"/>
          <w:color w:val="auto"/>
        </w:rPr>
      </w:pPr>
      <w:r>
        <w:rPr>
          <w:rFonts w:hAnsi="宋体"/>
          <w:color w:val="auto"/>
        </w:rPr>
        <w:t>3.</w:t>
      </w:r>
      <w:r>
        <w:rPr>
          <w:rFonts w:hint="eastAsia" w:hAnsi="宋体"/>
          <w:color w:val="auto"/>
        </w:rPr>
        <w:t>8</w:t>
      </w:r>
      <w:r>
        <w:rPr>
          <w:rFonts w:hAnsi="宋体"/>
          <w:color w:val="auto"/>
        </w:rPr>
        <w:t xml:space="preserve">.2 </w:t>
      </w:r>
      <w:r>
        <w:rPr>
          <w:rFonts w:hint="eastAsia" w:hAnsi="宋体"/>
          <w:color w:val="auto"/>
        </w:rPr>
        <w:t>磋商小组要在采购项目（标段&lt;包&gt;）磋商失败时，出具《磋商文件》是否存在不合理条款的论证意见，要协助采购人、采购代理机构、财政部门答复质疑或处理投诉事项。　</w:t>
      </w:r>
    </w:p>
    <w:p w14:paraId="6DA41289">
      <w:pPr>
        <w:widowControl w:val="0"/>
        <w:adjustRightInd w:val="0"/>
        <w:snapToGrid w:val="0"/>
        <w:spacing w:before="120" w:beforeLines="50" w:line="300" w:lineRule="auto"/>
        <w:ind w:firstLine="555"/>
        <w:rPr>
          <w:color w:val="auto"/>
          <w:sz w:val="24"/>
          <w:szCs w:val="24"/>
        </w:rPr>
      </w:pPr>
    </w:p>
    <w:p w14:paraId="7631B0D3">
      <w:pPr>
        <w:pStyle w:val="49"/>
        <w:snapToGrid w:val="0"/>
        <w:spacing w:before="120"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41" w:name="_Toc23544"/>
      <w:bookmarkStart w:id="42" w:name="_Toc59432651"/>
      <w:r>
        <w:rPr>
          <w:rFonts w:ascii="黑体" w:hAnsi="黑体" w:eastAsia="黑体" w:cs="楷体_GB2312"/>
          <w:b/>
          <w:bCs/>
          <w:color w:val="auto"/>
          <w:sz w:val="28"/>
          <w:szCs w:val="28"/>
          <w:u w:color="000000"/>
          <w:lang w:val="zh-CN"/>
        </w:rPr>
        <w:t xml:space="preserve">4. </w:t>
      </w:r>
      <w:r>
        <w:rPr>
          <w:rFonts w:hint="eastAsia" w:ascii="黑体" w:hAnsi="黑体" w:eastAsia="黑体" w:cs="楷体_GB2312"/>
          <w:b/>
          <w:bCs/>
          <w:color w:val="auto"/>
          <w:sz w:val="28"/>
          <w:szCs w:val="28"/>
          <w:u w:color="000000"/>
          <w:lang w:val="zh-CN"/>
        </w:rPr>
        <w:t>政府采购促进中小企业发展扶持政策</w:t>
      </w:r>
      <w:bookmarkEnd w:id="41"/>
      <w:bookmarkEnd w:id="42"/>
    </w:p>
    <w:p w14:paraId="7F6EEF32">
      <w:pPr>
        <w:pStyle w:val="49"/>
        <w:snapToGrid w:val="0"/>
        <w:spacing w:before="120" w:beforeLines="50" w:line="300" w:lineRule="auto"/>
        <w:ind w:firstLine="480" w:firstLineChars="200"/>
        <w:jc w:val="both"/>
        <w:rPr>
          <w:rFonts w:hAnsi="宋体"/>
          <w:color w:val="auto"/>
        </w:rPr>
      </w:pPr>
      <w:r>
        <w:rPr>
          <w:rFonts w:hint="eastAsia" w:hAnsi="宋体"/>
          <w:color w:val="auto"/>
        </w:rPr>
        <w:t>4.1 在政府采购活动中，供应商提供的货物、工程或者服务符合下列情形的， 享受《政府采购促进中小企业发展管理办法》规定的中小企业扶持政策：</w:t>
      </w:r>
      <w:r>
        <w:rPr>
          <w:rFonts w:hint="eastAsia" w:hAnsi="宋体"/>
          <w:color w:val="auto"/>
        </w:rPr>
        <w:br w:type="textWrapping"/>
      </w:r>
      <w:r>
        <w:rPr>
          <w:rFonts w:hint="eastAsia" w:hAnsi="宋体"/>
          <w:color w:val="auto"/>
        </w:rPr>
        <w:t xml:space="preserve">   （一）在货物采购项目中，货物由中小企业制造，即货物由中小企业生产且使用该中小企业商号或者注册商标；</w:t>
      </w:r>
      <w:r>
        <w:rPr>
          <w:rFonts w:hint="eastAsia" w:hAnsi="宋体"/>
          <w:color w:val="auto"/>
        </w:rPr>
        <w:br w:type="textWrapping"/>
      </w:r>
      <w:r>
        <w:rPr>
          <w:rFonts w:hint="eastAsia" w:hAnsi="宋体"/>
          <w:color w:val="auto"/>
        </w:rPr>
        <w:t xml:space="preserve">   （二）在工程采购项目中，工程由中小企业承建，即工程施工单位为中小企业；</w:t>
      </w:r>
      <w:r>
        <w:rPr>
          <w:rFonts w:hint="eastAsia" w:hAnsi="宋体"/>
          <w:color w:val="auto"/>
        </w:rPr>
        <w:br w:type="textWrapping"/>
      </w:r>
      <w:r>
        <w:rPr>
          <w:rFonts w:hint="eastAsia" w:hAnsi="宋体"/>
          <w:color w:val="auto"/>
        </w:rPr>
        <w:t xml:space="preserve">   （三）在服务采购项目中，服务由中小企业承接，即提供服务的人员为中小企业依照《中华人民共和国劳动合同法》订立劳动合同的从业人员。</w:t>
      </w:r>
    </w:p>
    <w:p w14:paraId="63CD9095">
      <w:pPr>
        <w:pStyle w:val="49"/>
        <w:snapToGrid w:val="0"/>
        <w:spacing w:before="120" w:beforeLines="50" w:line="300" w:lineRule="auto"/>
        <w:ind w:firstLine="480" w:firstLineChars="200"/>
        <w:jc w:val="both"/>
        <w:rPr>
          <w:rFonts w:hAnsi="宋体"/>
          <w:color w:val="auto"/>
        </w:rPr>
      </w:pPr>
      <w:r>
        <w:rPr>
          <w:rFonts w:hint="eastAsia" w:hAnsi="宋体"/>
          <w:color w:val="auto"/>
        </w:rPr>
        <w:t>在货物采购项目中，供应商提供的货物既有中小企业制造货物，也有大型企业制造货物的，不享受中小企业扶持政策。</w:t>
      </w:r>
      <w:r>
        <w:rPr>
          <w:rFonts w:hint="eastAsia" w:hAnsi="宋体"/>
          <w:color w:val="auto"/>
        </w:rPr>
        <w:br w:type="textWrapping"/>
      </w:r>
      <w:r>
        <w:rPr>
          <w:rFonts w:hint="eastAsia" w:hAnsi="宋体"/>
          <w:color w:val="auto"/>
        </w:rPr>
        <w:t xml:space="preserve">    以联合体形式参加政府采购活动，联合体各方均为中小企业的，联合体视同中小企业。其中，联合体各方均为小微企业的，联合体视同小微企业。</w:t>
      </w:r>
    </w:p>
    <w:p w14:paraId="4FA3D878">
      <w:pPr>
        <w:pStyle w:val="49"/>
        <w:snapToGrid w:val="0"/>
        <w:spacing w:before="120" w:beforeLines="50" w:line="300" w:lineRule="auto"/>
        <w:ind w:firstLine="480" w:firstLineChars="200"/>
        <w:jc w:val="both"/>
        <w:rPr>
          <w:rFonts w:hAnsi="宋体"/>
          <w:color w:val="auto"/>
        </w:rPr>
      </w:pPr>
      <w:r>
        <w:rPr>
          <w:rFonts w:hint="eastAsia" w:hAnsi="宋体"/>
          <w:color w:val="auto"/>
        </w:rPr>
        <w:t>4.2 符合中小企业划分标准的个体工商户，在政府采购活动中视同中小企业。</w:t>
      </w:r>
    </w:p>
    <w:p w14:paraId="49B2FC40">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4.3 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73085AAA">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4.3.1 享受政府采购支持政策的残疾人福利性单位应当同时满足以下条件：</w:t>
      </w:r>
    </w:p>
    <w:p w14:paraId="1C29C15C">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（1）安置的残疾人占本单位在职职工人数的比例不低于25%（含25%），并且安置的残疾人人数不少于10人（含10人）；</w:t>
      </w:r>
    </w:p>
    <w:p w14:paraId="5A57697E">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（2）依法与安置的每位残疾人签订了一年以上（含一年）的劳动合同或服务协议；</w:t>
      </w:r>
    </w:p>
    <w:p w14:paraId="75E62D79">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（3）为安置的每位残疾人按月足额缴纳了基本养老保险、基本医疗保险、失业保险、工伤保险和生育保险等社会保险费；</w:t>
      </w:r>
    </w:p>
    <w:p w14:paraId="298502A8">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（4）通过银行等金融机构向安置的每位残疾人，按月支付了不低于单位所在区县适用的经省级人民政府批准的月最低工资标准的工资；</w:t>
      </w:r>
    </w:p>
    <w:p w14:paraId="355CB07B">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（5）提供本单位制造的货物、承担的工程或者服务（以下简称产品），或者提供其他残疾人福利性单位制造的货物（不包括使用非残疾人福利性单位注册商标的货物）。</w:t>
      </w:r>
    </w:p>
    <w:p w14:paraId="1F8B6758">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116E4D">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4.4 参加本次政府采购项目的中小企业应按附件格式提供《中小企业声明函》。如《磋商文件》接受以联合体形式参加投标的，联合体各方均应按附件格式提供《中小企业声明函》。</w:t>
      </w:r>
    </w:p>
    <w:p w14:paraId="52F2333F">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供应商按照财库〔2020〕46号规定及《磋商文件》要求提供声明函内容不实的，属于提供虚假材料谋取中标、成交，依照《中华人民共和国政府采购法》等国家有关规定追究相应责任。</w:t>
      </w:r>
    </w:p>
    <w:p w14:paraId="7A184C83">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4.5 《政府采购促进中小企业发展管理办法》各项中小企业扶持政策中，价格扣除扶持政策仅小型、微型企业适用。</w:t>
      </w:r>
    </w:p>
    <w:p w14:paraId="43EEF047">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4.6 小微企业价格扣除扶持政策：</w:t>
      </w:r>
    </w:p>
    <w:p w14:paraId="3DF3446A">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4.6.1</w:t>
      </w:r>
      <w:r>
        <w:rPr>
          <w:rFonts w:hint="eastAsia" w:hAnsi="宋体"/>
          <w:color w:val="auto"/>
        </w:rPr>
        <w:t xml:space="preserve"> </w:t>
      </w:r>
      <w:r>
        <w:rPr>
          <w:rFonts w:hint="eastAsia" w:hAnsi="宋体"/>
          <w:color w:val="auto"/>
          <w:lang w:val="zh-CN"/>
        </w:rPr>
        <w:t>本次政府采购项目对符合《政府采购促进中小企业发展管理办法》小型和微型企业的报价给予20%的扣除，用扣除后的价格参与评审。</w:t>
      </w:r>
    </w:p>
    <w:p w14:paraId="5B365795">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4.6.2</w:t>
      </w:r>
      <w:r>
        <w:rPr>
          <w:rFonts w:hint="eastAsia" w:hAnsi="宋体"/>
          <w:color w:val="auto"/>
        </w:rPr>
        <w:t xml:space="preserve"> </w:t>
      </w:r>
      <w:r>
        <w:rPr>
          <w:rFonts w:hint="eastAsia" w:hAnsi="宋体"/>
          <w:color w:val="auto"/>
          <w:lang w:val="zh-CN"/>
        </w:rPr>
        <w:t>如《磋商文件》接受大中型企业与小微企业组成联合体或者允许大中型企业向一家或者多家小微企业分包时，联合协议或分包意向协议约定小微型企业的合同份额占到合同总金额30%以上的，给予联合体或大中型企业6%的价格扣除，用扣除后的价格参加评审。</w:t>
      </w:r>
    </w:p>
    <w:p w14:paraId="76504A52">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组成联合体或者接受分包合同的中小企业与联合体内其他企业、分包企业之间不得存在直接控股、管理关系。</w:t>
      </w:r>
    </w:p>
    <w:p w14:paraId="73C5BA7F">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4.6.3</w:t>
      </w:r>
      <w:r>
        <w:rPr>
          <w:rFonts w:hint="eastAsia" w:hAnsi="宋体"/>
          <w:color w:val="auto"/>
        </w:rPr>
        <w:t xml:space="preserve"> </w:t>
      </w:r>
      <w:r>
        <w:rPr>
          <w:rFonts w:hint="eastAsia" w:hAnsi="宋体"/>
          <w:color w:val="auto"/>
          <w:lang w:val="zh-CN"/>
        </w:rPr>
        <w:t>价格扣除比例或者价格分加分比例对小型企业和微型企业同等对待，不作区分。</w:t>
      </w:r>
    </w:p>
    <w:p w14:paraId="3EF44159">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4.7 磋商小组对供应商申报的小型和微型企业价格扣除事项进行评审。鉴于小微企业价格扣除政策与合同执行价格无关，为避免供应商申报价格扣除事项的随意性，故特别规定：</w:t>
      </w:r>
    </w:p>
    <w:p w14:paraId="19122F4F">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（1）磋商小组对供应商申报的小型和微型企业价格扣除事项的评审结论，分为合格与不合格。</w:t>
      </w:r>
    </w:p>
    <w:p w14:paraId="16E29621">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2）经评审，申报的小微价格扣除事项缺失中小企业声明函、联合协议或分包意向协议不符合中小企业价格扣除规定等任一不符合政策要求及不准确的事项，磋商小组均将评审为不合格，该供应商申报的价格扣除事项不予接受、为0。</w:t>
      </w:r>
    </w:p>
    <w:p w14:paraId="7474A9D0">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提供虚假材料的为无效投标、并承担相应的法律责任。</w:t>
      </w:r>
    </w:p>
    <w:p w14:paraId="7D83905C">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（3）评审合格的，接受其申报的小型和微型企业价格扣除（最后报价的价格扣除），用扣除后的价格参与评审。</w:t>
      </w:r>
    </w:p>
    <w:p w14:paraId="300FCDAA">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（4）评审不合格的，不接受其小微企业价格扣除，但将不作为无效投标。</w:t>
      </w:r>
    </w:p>
    <w:p w14:paraId="1FA38EA6">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注：小微企业价格扣除，仅作为价格评审的依据，并不影响合同执行价格，合同执行价格为成交供应商的最后报价。</w:t>
      </w:r>
    </w:p>
    <w:p w14:paraId="708117B4">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4.8</w:t>
      </w:r>
      <w:r>
        <w:rPr>
          <w:rFonts w:hint="eastAsia" w:hAnsi="宋体"/>
          <w:color w:val="auto"/>
        </w:rPr>
        <w:t xml:space="preserve"> </w:t>
      </w:r>
      <w:r>
        <w:rPr>
          <w:rFonts w:hint="eastAsia" w:hAnsi="宋体"/>
          <w:color w:val="auto"/>
          <w:lang w:val="zh-CN"/>
        </w:rPr>
        <w:t>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3BEA28A0">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4.9 中标、成交供应商享受中小企业扶持政策的，中标、成交供应商的《中小企业声明函》将随中标、成交结果公开。</w:t>
      </w:r>
    </w:p>
    <w:p w14:paraId="35CB2839">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4.10 依法享受扶持政策获得政府采购合同的，小微企业不得将合同分包给大中型企业，中型企业不得将合同分包给大型企业。</w:t>
      </w:r>
    </w:p>
    <w:p w14:paraId="72E2E033">
      <w:pPr>
        <w:pStyle w:val="49"/>
        <w:snapToGrid w:val="0"/>
        <w:spacing w:before="120" w:beforeLines="50" w:line="300" w:lineRule="auto"/>
        <w:ind w:firstLine="480" w:firstLineChars="200"/>
        <w:jc w:val="both"/>
        <w:rPr>
          <w:rFonts w:hAnsi="宋体"/>
          <w:color w:val="auto"/>
          <w:lang w:val="zh-CN"/>
        </w:rPr>
      </w:pPr>
      <w:r>
        <w:rPr>
          <w:rFonts w:hint="eastAsia" w:hAnsi="宋体"/>
          <w:color w:val="auto"/>
          <w:lang w:val="zh-CN"/>
        </w:rPr>
        <w:t>4.11</w:t>
      </w:r>
      <w:r>
        <w:rPr>
          <w:rFonts w:hint="eastAsia" w:hAnsi="宋体"/>
          <w:color w:val="auto"/>
        </w:rPr>
        <w:t xml:space="preserve"> </w:t>
      </w:r>
      <w:r>
        <w:rPr>
          <w:rFonts w:hint="eastAsia" w:hAnsi="宋体"/>
          <w:color w:val="auto"/>
          <w:lang w:val="zh-CN"/>
        </w:rPr>
        <w:t>政府采购监督检查、投诉处理及政府采购行政处罚中对中小企业的认定，由货物制造商或者工程、服务供应商注册登记所在地的县级以上人民政府中小企业主管部门负责。</w:t>
      </w:r>
    </w:p>
    <w:p w14:paraId="7F84850E">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rPr>
      </w:pPr>
    </w:p>
    <w:p w14:paraId="69A848A9">
      <w:pPr>
        <w:widowControl w:val="0"/>
        <w:adjustRightInd w:val="0"/>
        <w:snapToGrid w:val="0"/>
        <w:spacing w:line="276" w:lineRule="auto"/>
        <w:ind w:firstLine="556"/>
        <w:rPr>
          <w:rFonts w:asciiTheme="minorEastAsia" w:hAnsiTheme="minorEastAsia" w:eastAsiaTheme="minorEastAsia" w:cstheme="minorEastAsia"/>
          <w:color w:val="auto"/>
          <w:sz w:val="24"/>
          <w:szCs w:val="24"/>
        </w:rPr>
      </w:pPr>
      <w:r>
        <w:rPr>
          <w:rFonts w:ascii="宋体" w:hAnsi="宋体" w:cs="宋体"/>
          <w:color w:val="auto"/>
          <w:sz w:val="24"/>
          <w:szCs w:val="24"/>
        </w:rPr>
        <w:br w:type="page"/>
      </w:r>
    </w:p>
    <w:p w14:paraId="5A0CE656">
      <w:pPr>
        <w:widowControl w:val="0"/>
        <w:snapToGrid w:val="0"/>
        <w:spacing w:line="560" w:lineRule="exact"/>
        <w:jc w:val="center"/>
        <w:outlineLvl w:val="0"/>
        <w:rPr>
          <w:rFonts w:eastAsia="黑体"/>
          <w:b/>
          <w:color w:val="auto"/>
          <w:sz w:val="36"/>
          <w:szCs w:val="36"/>
          <w:lang w:val="zh-CN"/>
        </w:rPr>
      </w:pPr>
      <w:bookmarkStart w:id="43" w:name="_Toc20981"/>
      <w:r>
        <w:rPr>
          <w:rFonts w:hint="eastAsia" w:eastAsia="黑体"/>
          <w:b/>
          <w:color w:val="auto"/>
          <w:sz w:val="36"/>
          <w:szCs w:val="36"/>
          <w:lang w:val="zh-CN"/>
        </w:rPr>
        <w:t>第五章  合同主要条款</w:t>
      </w:r>
      <w:bookmarkEnd w:id="43"/>
    </w:p>
    <w:p w14:paraId="49076D74">
      <w:pPr>
        <w:widowControl w:val="0"/>
        <w:snapToGrid w:val="0"/>
        <w:spacing w:line="657" w:lineRule="atLeast"/>
        <w:jc w:val="center"/>
        <w:rPr>
          <w:rFonts w:ascii="黑体" w:eastAsia="黑体"/>
          <w:b/>
          <w:color w:val="auto"/>
          <w:spacing w:val="20"/>
          <w:sz w:val="36"/>
          <w:szCs w:val="36"/>
        </w:rPr>
      </w:pPr>
    </w:p>
    <w:p w14:paraId="4B712FA2">
      <w:pPr>
        <w:widowControl w:val="0"/>
        <w:snapToGrid w:val="0"/>
        <w:spacing w:line="657" w:lineRule="atLeast"/>
        <w:jc w:val="center"/>
        <w:rPr>
          <w:rFonts w:ascii="黑体" w:eastAsia="黑体"/>
          <w:b/>
          <w:color w:val="auto"/>
          <w:spacing w:val="20"/>
          <w:sz w:val="36"/>
          <w:szCs w:val="36"/>
        </w:rPr>
      </w:pPr>
      <w:r>
        <w:rPr>
          <w:rFonts w:hint="eastAsia" w:ascii="黑体" w:eastAsia="黑体"/>
          <w:b/>
          <w:color w:val="auto"/>
          <w:spacing w:val="20"/>
          <w:sz w:val="36"/>
          <w:szCs w:val="36"/>
        </w:rPr>
        <w:t>服</w:t>
      </w:r>
      <w:r>
        <w:rPr>
          <w:rFonts w:ascii="黑体" w:eastAsia="黑体"/>
          <w:b/>
          <w:color w:val="auto"/>
          <w:spacing w:val="20"/>
          <w:sz w:val="36"/>
          <w:szCs w:val="36"/>
        </w:rPr>
        <w:t xml:space="preserve"> </w:t>
      </w:r>
      <w:r>
        <w:rPr>
          <w:rFonts w:hint="eastAsia" w:ascii="黑体" w:eastAsia="黑体"/>
          <w:b/>
          <w:color w:val="auto"/>
          <w:spacing w:val="20"/>
          <w:sz w:val="36"/>
          <w:szCs w:val="36"/>
        </w:rPr>
        <w:t>务</w:t>
      </w:r>
      <w:r>
        <w:rPr>
          <w:rFonts w:ascii="黑体" w:eastAsia="黑体"/>
          <w:b/>
          <w:color w:val="auto"/>
          <w:spacing w:val="20"/>
          <w:sz w:val="36"/>
          <w:szCs w:val="36"/>
        </w:rPr>
        <w:t xml:space="preserve"> </w:t>
      </w:r>
      <w:r>
        <w:rPr>
          <w:rFonts w:hint="eastAsia" w:ascii="黑体" w:eastAsia="黑体"/>
          <w:b/>
          <w:color w:val="auto"/>
          <w:spacing w:val="20"/>
          <w:sz w:val="36"/>
          <w:szCs w:val="36"/>
        </w:rPr>
        <w:t>合</w:t>
      </w:r>
      <w:r>
        <w:rPr>
          <w:rFonts w:ascii="黑体" w:eastAsia="黑体"/>
          <w:b/>
          <w:color w:val="auto"/>
          <w:spacing w:val="20"/>
          <w:sz w:val="36"/>
          <w:szCs w:val="36"/>
        </w:rPr>
        <w:t xml:space="preserve"> </w:t>
      </w:r>
      <w:r>
        <w:rPr>
          <w:rFonts w:hint="eastAsia" w:ascii="黑体" w:eastAsia="黑体"/>
          <w:b/>
          <w:color w:val="auto"/>
          <w:spacing w:val="20"/>
          <w:sz w:val="36"/>
          <w:szCs w:val="36"/>
        </w:rPr>
        <w:t>同</w:t>
      </w:r>
    </w:p>
    <w:p w14:paraId="1235DE51">
      <w:pPr>
        <w:widowControl w:val="0"/>
        <w:snapToGrid w:val="0"/>
        <w:spacing w:before="56" w:after="56" w:line="360" w:lineRule="auto"/>
        <w:ind w:right="85"/>
        <w:jc w:val="left"/>
        <w:textAlignment w:val="top"/>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合同编号：</w:t>
      </w:r>
    </w:p>
    <w:p w14:paraId="673337D0">
      <w:pPr>
        <w:widowControl w:val="0"/>
        <w:snapToGrid w:val="0"/>
        <w:spacing w:before="56" w:after="56" w:line="360" w:lineRule="auto"/>
        <w:ind w:right="85"/>
        <w:jc w:val="left"/>
        <w:textAlignment w:val="top"/>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甲方：（采购人）</w:t>
      </w:r>
    </w:p>
    <w:p w14:paraId="484AB052">
      <w:pPr>
        <w:widowControl w:val="0"/>
        <w:snapToGrid w:val="0"/>
        <w:spacing w:before="56" w:after="56" w:line="360" w:lineRule="auto"/>
        <w:ind w:right="85"/>
        <w:jc w:val="left"/>
        <w:textAlignment w:val="top"/>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乙方：（供应商）</w:t>
      </w:r>
    </w:p>
    <w:p w14:paraId="7CD44108">
      <w:pPr>
        <w:widowControl w:val="0"/>
        <w:snapToGrid w:val="0"/>
        <w:spacing w:line="360" w:lineRule="auto"/>
        <w:ind w:right="85" w:firstLine="460" w:firstLineChars="192"/>
        <w:rPr>
          <w:rFonts w:asciiTheme="minorEastAsia" w:hAnsiTheme="minorEastAsia" w:eastAsiaTheme="minorEastAsia" w:cstheme="minorEastAsia"/>
          <w:color w:val="auto"/>
          <w:spacing w:val="20"/>
          <w:sz w:val="24"/>
          <w:szCs w:val="24"/>
        </w:rPr>
      </w:pPr>
      <w:r>
        <w:rPr>
          <w:rFonts w:hint="eastAsia" w:asciiTheme="minorEastAsia" w:hAnsiTheme="minorEastAsia" w:eastAsiaTheme="minorEastAsia" w:cstheme="minorEastAsia"/>
          <w:color w:val="auto"/>
          <w:sz w:val="24"/>
          <w:szCs w:val="24"/>
        </w:rPr>
        <w:t>甲、乙双方持安阳市方正招标采购服务有限责任公司2025年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日签发的</w:t>
      </w:r>
      <w:r>
        <w:rPr>
          <w:rFonts w:hint="eastAsia" w:asciiTheme="minorEastAsia" w:hAnsiTheme="minorEastAsia" w:eastAsiaTheme="minorEastAsia" w:cstheme="minorEastAsia"/>
          <w:color w:val="auto"/>
          <w:sz w:val="24"/>
          <w:szCs w:val="24"/>
          <w:u w:val="single"/>
        </w:rPr>
        <w:t>（采购人及项目名称）</w:t>
      </w:r>
      <w:r>
        <w:rPr>
          <w:rFonts w:hint="eastAsia" w:asciiTheme="minorEastAsia" w:hAnsiTheme="minorEastAsia" w:eastAsiaTheme="minorEastAsia" w:cstheme="minorEastAsia"/>
          <w:color w:val="auto"/>
          <w:sz w:val="24"/>
          <w:szCs w:val="24"/>
        </w:rPr>
        <w:t>〔项目编号：      〕成交通知书，根据《磋商文件》</w:t>
      </w:r>
      <w:r>
        <w:rPr>
          <w:rFonts w:hint="eastAsia" w:asciiTheme="minorEastAsia" w:hAnsiTheme="minorEastAsia" w:eastAsiaTheme="minorEastAsia" w:cstheme="minorEastAsia"/>
          <w:color w:val="auto"/>
          <w:spacing w:val="20"/>
          <w:sz w:val="24"/>
          <w:szCs w:val="24"/>
        </w:rPr>
        <w:t>及其修改补充澄清、</w:t>
      </w: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pacing w:val="20"/>
          <w:sz w:val="24"/>
          <w:szCs w:val="24"/>
        </w:rPr>
        <w:t>及其修改补充澄清的内容，经双方平等协商一致，达成以下合同条款：</w:t>
      </w:r>
    </w:p>
    <w:p w14:paraId="6ACDD1CF">
      <w:pPr>
        <w:widowControl w:val="0"/>
        <w:snapToGrid w:val="0"/>
        <w:spacing w:line="360" w:lineRule="auto"/>
        <w:ind w:right="85" w:firstLine="460" w:firstLineChars="19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一、本合同所指服务为此次竞争性磋商的服务，包括</w:t>
      </w:r>
      <w:r>
        <w:rPr>
          <w:rFonts w:hint="eastAsia" w:asciiTheme="minorEastAsia" w:hAnsiTheme="minorEastAsia" w:eastAsiaTheme="minorEastAsia" w:cstheme="minorEastAsia"/>
          <w:color w:val="auto"/>
          <w:sz w:val="24"/>
          <w:szCs w:val="24"/>
          <w:u w:val="single"/>
        </w:rPr>
        <w:t>（详细注明内容）</w:t>
      </w:r>
      <w:r>
        <w:rPr>
          <w:rFonts w:hint="eastAsia" w:asciiTheme="minorEastAsia" w:hAnsiTheme="minorEastAsia" w:eastAsiaTheme="minorEastAsia" w:cstheme="minorEastAsia"/>
          <w:color w:val="auto"/>
          <w:sz w:val="24"/>
          <w:szCs w:val="24"/>
        </w:rPr>
        <w:t>，合同总价款为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4D909341">
      <w:pPr>
        <w:widowControl w:val="0"/>
        <w:snapToGrid w:val="0"/>
        <w:spacing w:line="360" w:lineRule="auto"/>
        <w:ind w:right="85" w:firstLine="537" w:firstLineChars="19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0"/>
          <w:sz w:val="24"/>
          <w:szCs w:val="24"/>
        </w:rPr>
        <w:t>本合同为固定总价合同，不因人工、费用、材料和设备等价格的波动而影响合同价格。</w:t>
      </w:r>
    </w:p>
    <w:p w14:paraId="7B4A08A4">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二、服务质量要求及乙方对质量负责条件和期限：</w:t>
      </w:r>
    </w:p>
    <w:p w14:paraId="24162F6E">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按国家及行业标准、《磋商文件》及《响应文件》等相应条款制订</w:t>
      </w:r>
    </w:p>
    <w:p w14:paraId="49187D4E">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三、服务时间、地点、方式：</w:t>
      </w:r>
    </w:p>
    <w:p w14:paraId="2EE4DF55">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按国家及行业标准、《磋商文件》及《响应文件》等相应条款制订</w:t>
      </w:r>
    </w:p>
    <w:p w14:paraId="17AE6E6C">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四、验收程序和要求</w:t>
      </w:r>
    </w:p>
    <w:p w14:paraId="74802832">
      <w:pPr>
        <w:widowControl w:val="0"/>
        <w:snapToGrid w:val="0"/>
        <w:spacing w:before="56" w:after="56" w:line="360" w:lineRule="auto"/>
        <w:ind w:right="85" w:firstLine="555"/>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1、验收时间：项目具备验收条件时，由采购</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z w:val="24"/>
          <w:szCs w:val="24"/>
          <w:lang w:val="zh-CN"/>
        </w:rPr>
        <w:t>成立验收工作组负责验收。</w:t>
      </w:r>
      <w:r>
        <w:rPr>
          <w:rFonts w:hint="eastAsia" w:asciiTheme="minorEastAsia" w:hAnsiTheme="minorEastAsia" w:eastAsiaTheme="minorEastAsia" w:cstheme="minorEastAsia"/>
          <w:color w:val="auto"/>
          <w:sz w:val="24"/>
          <w:szCs w:val="24"/>
        </w:rPr>
        <w:t>技术复杂、社会影响较大的货物类项目，可以根据需要设置出厂检验、到货检验、安装调试检验、配套服务检验等多重验收环节；服务类项目，可根据项目特点对交验期内的服务实施情况进行分期考核，结合考核情况和服务效果进行验收。</w:t>
      </w:r>
    </w:p>
    <w:p w14:paraId="4293AC9F">
      <w:pPr>
        <w:widowControl w:val="0"/>
        <w:snapToGrid w:val="0"/>
        <w:spacing w:before="56" w:after="56" w:line="360" w:lineRule="auto"/>
        <w:ind w:right="85" w:firstLine="555"/>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2、验收工作组：合同履约验收工作应成立验收工作组专门负责。</w:t>
      </w:r>
    </w:p>
    <w:p w14:paraId="2BA17F43">
      <w:pPr>
        <w:widowControl w:val="0"/>
        <w:snapToGrid w:val="0"/>
        <w:spacing w:before="56" w:after="56" w:line="360" w:lineRule="auto"/>
        <w:ind w:right="85" w:firstLine="555"/>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直接参与该项目政府采购活动的主要负责人不得作为验收工作的主要负责人。</w:t>
      </w:r>
      <w:r>
        <w:rPr>
          <w:rFonts w:hint="eastAsia" w:asciiTheme="minorEastAsia" w:hAnsiTheme="minorEastAsia" w:eastAsiaTheme="minorEastAsia" w:cstheme="minorEastAsia"/>
          <w:color w:val="auto"/>
          <w:sz w:val="24"/>
          <w:szCs w:val="24"/>
        </w:rPr>
        <w:t>对于采购人和使用人分离的采购项目，应当邀请实际使用人参与验收；政府向社会公众提供的公共服务项目，验收时应当邀请服务对象参与并出具意见，验收结果应当向社会公告。</w:t>
      </w:r>
    </w:p>
    <w:p w14:paraId="5825C146">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r>
        <w:rPr>
          <w:rFonts w:hint="eastAsia" w:asciiTheme="minorEastAsia" w:hAnsiTheme="minorEastAsia" w:eastAsiaTheme="minorEastAsia" w:cstheme="minorEastAsia"/>
          <w:color w:val="auto"/>
          <w:sz w:val="24"/>
          <w:szCs w:val="24"/>
          <w:lang w:val="zh-CN"/>
        </w:rPr>
        <w:t>政府采购合同金额</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val="zh-CN"/>
        </w:rPr>
        <w:t>10万元以下（</w:t>
      </w:r>
      <w:r>
        <w:rPr>
          <w:rFonts w:hint="eastAsia" w:asciiTheme="minorEastAsia" w:hAnsiTheme="minorEastAsia" w:eastAsiaTheme="minorEastAsia" w:cstheme="minorEastAsia"/>
          <w:color w:val="auto"/>
          <w:sz w:val="24"/>
          <w:szCs w:val="24"/>
        </w:rPr>
        <w:t>含10万元</w:t>
      </w:r>
      <w:r>
        <w:rPr>
          <w:rFonts w:hint="eastAsia" w:asciiTheme="minorEastAsia" w:hAnsiTheme="minorEastAsia" w:eastAsiaTheme="minorEastAsia" w:cstheme="minorEastAsia"/>
          <w:color w:val="auto"/>
          <w:sz w:val="24"/>
          <w:szCs w:val="24"/>
          <w:lang w:val="zh-CN"/>
        </w:rPr>
        <w:t>）的项目，原则上可以不邀请评审专家参加，组织方成立验收小组自行验收。</w:t>
      </w:r>
      <w:r>
        <w:rPr>
          <w:rFonts w:hint="eastAsia" w:asciiTheme="minorEastAsia" w:hAnsiTheme="minorEastAsia" w:eastAsiaTheme="minorEastAsia" w:cstheme="minorEastAsia"/>
          <w:color w:val="auto"/>
          <w:sz w:val="24"/>
          <w:szCs w:val="24"/>
        </w:rPr>
        <w:t>自行验收时，验收小组应仔细对照《磋商文件》及合同，对标的物的数量、质量、规格、型号等参数逐一核对，并编制验收报告。组织方认为不能独立完成验收任务的，可以邀请评审专家参与验收。</w:t>
      </w:r>
    </w:p>
    <w:p w14:paraId="7FE244E9">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r>
        <w:rPr>
          <w:rFonts w:hint="eastAsia" w:asciiTheme="minorEastAsia" w:hAnsiTheme="minorEastAsia" w:eastAsiaTheme="minorEastAsia" w:cstheme="minorEastAsia"/>
          <w:color w:val="auto"/>
          <w:sz w:val="24"/>
          <w:szCs w:val="24"/>
          <w:lang w:val="zh-CN"/>
        </w:rPr>
        <w:t>政府采购合同金额50万元以下的（含50万元）的项目，验收工作组应不少于三人；政府采购合同金额50万元以上的项目，验收工作组应由</w:t>
      </w:r>
      <w:r>
        <w:rPr>
          <w:rFonts w:hint="eastAsia" w:asciiTheme="minorEastAsia" w:hAnsiTheme="minorEastAsia" w:eastAsiaTheme="minorEastAsia" w:cstheme="minorEastAsia"/>
          <w:color w:val="auto"/>
          <w:sz w:val="24"/>
          <w:szCs w:val="24"/>
        </w:rPr>
        <w:t>采购人</w:t>
      </w:r>
      <w:r>
        <w:rPr>
          <w:rFonts w:hint="eastAsia" w:asciiTheme="minorEastAsia" w:hAnsiTheme="minorEastAsia" w:eastAsiaTheme="minorEastAsia" w:cstheme="minorEastAsia"/>
          <w:color w:val="auto"/>
          <w:sz w:val="24"/>
          <w:szCs w:val="24"/>
          <w:lang w:val="zh-CN"/>
        </w:rPr>
        <w:t>领导牵头，财务、审计、监察、资产管理、技术等部门人员参与，成员不少于五人。验收工作</w:t>
      </w:r>
      <w:r>
        <w:rPr>
          <w:rFonts w:hint="eastAsia" w:asciiTheme="minorEastAsia" w:hAnsiTheme="minorEastAsia" w:eastAsiaTheme="minorEastAsia" w:cstheme="minorEastAsia"/>
          <w:color w:val="auto"/>
          <w:sz w:val="24"/>
          <w:szCs w:val="24"/>
        </w:rPr>
        <w:t>原则上</w:t>
      </w:r>
      <w:r>
        <w:rPr>
          <w:rFonts w:hint="eastAsia" w:asciiTheme="minorEastAsia" w:hAnsiTheme="minorEastAsia" w:eastAsiaTheme="minorEastAsia" w:cstheme="minorEastAsia"/>
          <w:color w:val="auto"/>
          <w:sz w:val="24"/>
          <w:szCs w:val="24"/>
          <w:lang w:val="zh-CN"/>
        </w:rPr>
        <w:t>应当邀请采购评审专家参加验收；大型、复杂或者技术性很强的政府采购项目，应当邀请国家认可的质量检测机构参加验收工作；国家规定强制性检测的采购项目，</w:t>
      </w:r>
      <w:r>
        <w:rPr>
          <w:rFonts w:hint="eastAsia" w:asciiTheme="minorEastAsia" w:hAnsiTheme="minorEastAsia" w:eastAsiaTheme="minorEastAsia" w:cstheme="minorEastAsia"/>
          <w:color w:val="auto"/>
          <w:sz w:val="24"/>
          <w:szCs w:val="24"/>
        </w:rPr>
        <w:t>采购人</w:t>
      </w:r>
      <w:r>
        <w:rPr>
          <w:rFonts w:hint="eastAsia" w:asciiTheme="minorEastAsia" w:hAnsiTheme="minorEastAsia" w:eastAsiaTheme="minorEastAsia" w:cstheme="minorEastAsia"/>
          <w:color w:val="auto"/>
          <w:sz w:val="24"/>
          <w:szCs w:val="24"/>
          <w:lang w:val="zh-CN"/>
        </w:rPr>
        <w:t>必须委托国家认可专业检测机构进行验收。</w:t>
      </w:r>
    </w:p>
    <w:p w14:paraId="5B6B43E7">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3、验收时，验收小组按照采购合同的约定对每一项技术、服务、安全标准的履约情况进行确认。</w:t>
      </w:r>
      <w:r>
        <w:rPr>
          <w:rFonts w:hint="eastAsia" w:asciiTheme="minorEastAsia" w:hAnsiTheme="minorEastAsia" w:eastAsiaTheme="minorEastAsia" w:cstheme="minorEastAsia"/>
          <w:color w:val="auto"/>
          <w:sz w:val="24"/>
          <w:szCs w:val="24"/>
          <w:lang w:val="zh-CN"/>
        </w:rPr>
        <w:t>验收时需要进行破坏性试验的，供应商应进行充分的配合并提供备品备件。</w:t>
      </w:r>
    </w:p>
    <w:p w14:paraId="47D82A0D">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zh-CN"/>
        </w:rPr>
        <w:t>、验收报告：验收后，由采购</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z w:val="24"/>
          <w:szCs w:val="24"/>
          <w:lang w:val="zh-CN"/>
        </w:rPr>
        <w:t>及专家等出具验收报告（</w:t>
      </w:r>
      <w:r>
        <w:rPr>
          <w:rFonts w:hint="eastAsia" w:asciiTheme="minorEastAsia" w:hAnsiTheme="minorEastAsia" w:eastAsiaTheme="minorEastAsia" w:cstheme="minorEastAsia"/>
          <w:color w:val="auto"/>
          <w:sz w:val="24"/>
          <w:szCs w:val="24"/>
        </w:rPr>
        <w:t>自行验收的，由采购人出具</w:t>
      </w:r>
      <w:r>
        <w:rPr>
          <w:rFonts w:hint="eastAsia" w:asciiTheme="minorEastAsia" w:hAnsiTheme="minorEastAsia" w:eastAsiaTheme="minorEastAsia" w:cstheme="minorEastAsia"/>
          <w:color w:val="auto"/>
          <w:sz w:val="24"/>
          <w:szCs w:val="24"/>
          <w:lang w:val="zh-CN"/>
        </w:rPr>
        <w:t>），国家规定强制性检测的采购项目应附国家认可的专业检测机构出具的验收报告。</w:t>
      </w:r>
    </w:p>
    <w:p w14:paraId="719ADC95">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2FE76C08">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五、履约保证金：</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2CB25C30">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六、付款程序：按供应商须知相关条款编列。</w:t>
      </w:r>
    </w:p>
    <w:p w14:paraId="2A3C8796">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七、合同遵行《保障中小企业款项支付条例》。</w:t>
      </w:r>
    </w:p>
    <w:p w14:paraId="02D3E51A">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八、责任和义务</w:t>
      </w:r>
    </w:p>
    <w:p w14:paraId="34993505">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1、甲方的责任和义务</w:t>
      </w:r>
    </w:p>
    <w:p w14:paraId="0E16C242">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（1）对乙方给予必要的协助。</w:t>
      </w:r>
    </w:p>
    <w:p w14:paraId="16021553">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（2）按时验收、及时支付资金。</w:t>
      </w:r>
    </w:p>
    <w:p w14:paraId="165A77EF">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（3）遵守国家法律法规，不得要求乙方虚开发票，不得向乙方索要“好处”、“回扣”、“礼品”，或要求乙方提供合同以外的其他物品或服务。</w:t>
      </w:r>
    </w:p>
    <w:p w14:paraId="28BC8773">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（4）对乙方未按合同约定履约在验收报告中注明违约情形和事项，并应及时通知财政部门。违反相关法规的向相关行政执法部门举报。</w:t>
      </w:r>
    </w:p>
    <w:p w14:paraId="5483672A">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（5）其他法律法规规定应尽的义务。</w:t>
      </w:r>
    </w:p>
    <w:p w14:paraId="700AA31E">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2、乙方的责任和义务</w:t>
      </w:r>
    </w:p>
    <w:p w14:paraId="549516F0">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（1）严格按《磋商文件》要求与《响应文件》的质量及服务承诺执行，保质、按期履行。</w:t>
      </w:r>
    </w:p>
    <w:p w14:paraId="5F633F81">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（2）不得将合同权利义务全部或部分转让给第三人。</w:t>
      </w:r>
    </w:p>
    <w:p w14:paraId="19BA8413">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（3）验收合格前，对货物和人员的安全负责，应采取安全措施，确保人员、材料、设备和设施的安全，防止货物验收合格前的人身伤害和财产损失；应对其履行合同所雇佣的全部人员的工伤事故承担责任。</w:t>
      </w:r>
    </w:p>
    <w:p w14:paraId="3859AE34">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（4）遵守法律、依法纳税。</w:t>
      </w:r>
    </w:p>
    <w:p w14:paraId="6F35F194">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（5）遵守职业道德和行业规范，坚决杜绝送礼、回扣、报销费用等一切不正当竞争行为和商业贿赂行为；对甲方索要回扣、礼品等违规行为，向同级财政局政府采购监督管理科及相关执法机关举报。</w:t>
      </w:r>
    </w:p>
    <w:p w14:paraId="70681AAF">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（6）其他法律法规规定应尽的义务。</w:t>
      </w:r>
    </w:p>
    <w:p w14:paraId="60AEE138">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九、违约责任：</w:t>
      </w:r>
    </w:p>
    <w:p w14:paraId="31A511A2">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1、甲方无正当理由拒付款项的，向乙方偿付拒收拒付部分款项总额  %的违约金。</w:t>
      </w:r>
    </w:p>
    <w:p w14:paraId="613D61E0">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2、乙方提供服务不符合合同规定，甲方有权拒付相关款项。</w:t>
      </w:r>
    </w:p>
    <w:p w14:paraId="3225B88B">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3、乙方逾期，乙方向甲方每日偿付  %赔偿费。</w:t>
      </w:r>
    </w:p>
    <w:p w14:paraId="4B593532">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十、《磋商文件》及其修改补充、《响应文件》及其修改补充澄清均为本合同的组成部分。</w:t>
      </w:r>
    </w:p>
    <w:p w14:paraId="171E26B3">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十一、本合同发生争议时双方应按合同条款协商解决。双方协商不成的，可以根据仲裁协议向当地仲裁机构申请仲裁。当事人没有订立仲裁协议或者仲裁协议无效的，可以向当地人民法院起诉。</w:t>
      </w:r>
    </w:p>
    <w:p w14:paraId="72795FA8">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十二、合同生效及其它：</w:t>
      </w:r>
    </w:p>
    <w:p w14:paraId="2D5938D3">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本合同经甲乙双方代表签字、加盖公章和骑缝章后生效。本合同一式</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份，甲乙双方各持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份。</w:t>
      </w:r>
    </w:p>
    <w:p w14:paraId="45D2066B">
      <w:pPr>
        <w:widowControl w:val="0"/>
        <w:adjustRightInd w:val="0"/>
        <w:snapToGrid w:val="0"/>
        <w:spacing w:before="120" w:beforeLines="50" w:line="300" w:lineRule="auto"/>
        <w:ind w:firstLine="56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甲方要在合同签订后1个工作日内登陆安阳市政府采购网进行备案并公告。</w:t>
      </w:r>
    </w:p>
    <w:p w14:paraId="6726573E">
      <w:pPr>
        <w:widowControl w:val="0"/>
        <w:adjustRightInd w:val="0"/>
        <w:snapToGrid w:val="0"/>
        <w:spacing w:before="120" w:beforeLines="50" w:line="300" w:lineRule="auto"/>
        <w:ind w:firstLine="566"/>
        <w:rPr>
          <w:rFonts w:asciiTheme="minorEastAsia" w:hAnsiTheme="minorEastAsia" w:eastAsiaTheme="minorEastAsia" w:cstheme="minorEastAsia"/>
          <w:color w:val="auto"/>
          <w:sz w:val="24"/>
          <w:szCs w:val="24"/>
        </w:rPr>
      </w:pPr>
    </w:p>
    <w:p w14:paraId="2BC393A3">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乙方：</w:t>
      </w:r>
    </w:p>
    <w:p w14:paraId="1CC2FC78">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地址：</w:t>
      </w:r>
    </w:p>
    <w:p w14:paraId="39BBAB4D">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法定代表人：</w:t>
      </w:r>
    </w:p>
    <w:p w14:paraId="4DD444B9">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委托代理人：</w:t>
      </w:r>
    </w:p>
    <w:p w14:paraId="3D7BAAA6">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电话：</w:t>
      </w:r>
    </w:p>
    <w:p w14:paraId="1343220F">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开户银行：</w:t>
      </w:r>
    </w:p>
    <w:p w14:paraId="5CAB59BE">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银行账号：</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银行账号：</w:t>
      </w:r>
    </w:p>
    <w:p w14:paraId="6D0FBD7A">
      <w:pPr>
        <w:widowControl w:val="0"/>
        <w:snapToGrid w:val="0"/>
        <w:spacing w:before="56" w:after="56" w:line="360" w:lineRule="auto"/>
        <w:ind w:right="85" w:firstLine="555"/>
        <w:rPr>
          <w:rFonts w:asciiTheme="minorEastAsia" w:hAnsiTheme="minorEastAsia" w:eastAsiaTheme="minorEastAsia" w:cstheme="minorEastAsia"/>
          <w:color w:val="auto"/>
          <w:sz w:val="24"/>
          <w:szCs w:val="24"/>
        </w:rPr>
      </w:pPr>
    </w:p>
    <w:p w14:paraId="34F03275">
      <w:pPr>
        <w:widowControl w:val="0"/>
        <w:tabs>
          <w:tab w:val="left" w:pos="4678"/>
        </w:tabs>
        <w:snapToGrid w:val="0"/>
        <w:spacing w:before="56" w:after="56" w:line="360" w:lineRule="auto"/>
        <w:ind w:right="85"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签约时间：          签约地点：</w:t>
      </w:r>
    </w:p>
    <w:p w14:paraId="79D28323">
      <w:pPr>
        <w:spacing w:line="240" w:lineRule="auto"/>
        <w:jc w:val="left"/>
        <w:textAlignment w:val="auto"/>
        <w:rPr>
          <w:rFonts w:ascii="宋体"/>
          <w:b/>
          <w:color w:val="auto"/>
          <w:sz w:val="36"/>
          <w:szCs w:val="36"/>
          <w:lang w:val="zh-CN"/>
        </w:rPr>
      </w:pPr>
    </w:p>
    <w:p w14:paraId="5DA7DBAD">
      <w:pPr>
        <w:widowControl w:val="0"/>
        <w:tabs>
          <w:tab w:val="left" w:pos="4678"/>
        </w:tabs>
        <w:snapToGrid w:val="0"/>
        <w:spacing w:before="56" w:after="56" w:line="360" w:lineRule="auto"/>
        <w:ind w:right="85" w:firstLine="555"/>
        <w:rPr>
          <w:rFonts w:ascii="宋体"/>
          <w:b/>
          <w:color w:val="auto"/>
          <w:sz w:val="36"/>
          <w:szCs w:val="36"/>
          <w:lang w:val="zh-CN"/>
        </w:rPr>
      </w:pPr>
      <w:r>
        <w:rPr>
          <w:rFonts w:hint="eastAsia" w:ascii="宋体"/>
          <w:b/>
          <w:color w:val="auto"/>
          <w:szCs w:val="21"/>
        </w:rPr>
        <w:t>此合同格式仅供参考，但双方签订的正式合同不得背离《磋商文件》、《响应文件》及其补充文件的实质性要求。</w:t>
      </w:r>
    </w:p>
    <w:p w14:paraId="3E6BE726">
      <w:pPr>
        <w:autoSpaceDE w:val="0"/>
        <w:autoSpaceDN w:val="0"/>
        <w:adjustRightInd w:val="0"/>
        <w:spacing w:line="360" w:lineRule="auto"/>
        <w:jc w:val="center"/>
        <w:outlineLvl w:val="0"/>
        <w:rPr>
          <w:rFonts w:ascii="黑体" w:hAnsi="黑体" w:eastAsia="黑体" w:cs="楷体_GB2312"/>
          <w:b/>
          <w:bCs/>
          <w:color w:val="auto"/>
          <w:sz w:val="36"/>
          <w:szCs w:val="36"/>
          <w:lang w:val="zh-CN"/>
        </w:rPr>
      </w:pPr>
      <w:r>
        <w:rPr>
          <w:rFonts w:ascii="黑体" w:hAnsi="黑体" w:eastAsia="黑体" w:cs="楷体_GB2312"/>
          <w:b/>
          <w:bCs/>
          <w:color w:val="auto"/>
          <w:sz w:val="28"/>
          <w:szCs w:val="28"/>
          <w:lang w:val="zh-CN"/>
        </w:rPr>
        <w:br w:type="page"/>
      </w:r>
    </w:p>
    <w:p w14:paraId="13054865">
      <w:pPr>
        <w:widowControl w:val="0"/>
        <w:snapToGrid w:val="0"/>
        <w:spacing w:line="560" w:lineRule="exact"/>
        <w:jc w:val="center"/>
        <w:outlineLvl w:val="0"/>
        <w:rPr>
          <w:rFonts w:eastAsia="黑体"/>
          <w:b/>
          <w:color w:val="auto"/>
          <w:sz w:val="36"/>
          <w:szCs w:val="36"/>
          <w:lang w:val="zh-CN"/>
        </w:rPr>
      </w:pPr>
      <w:r>
        <w:rPr>
          <w:rFonts w:hint="eastAsia" w:eastAsia="黑体"/>
          <w:b/>
          <w:color w:val="auto"/>
          <w:sz w:val="36"/>
          <w:szCs w:val="36"/>
          <w:lang w:val="zh-CN"/>
        </w:rPr>
        <w:t xml:space="preserve"> </w:t>
      </w:r>
      <w:bookmarkStart w:id="44" w:name="_Toc13059"/>
      <w:r>
        <w:rPr>
          <w:rFonts w:hint="eastAsia" w:eastAsia="黑体"/>
          <w:b/>
          <w:color w:val="auto"/>
          <w:sz w:val="36"/>
          <w:szCs w:val="36"/>
        </w:rPr>
        <w:t xml:space="preserve">第六章  </w:t>
      </w:r>
      <w:r>
        <w:rPr>
          <w:rFonts w:hint="eastAsia" w:eastAsia="黑体"/>
          <w:b/>
          <w:color w:val="auto"/>
          <w:sz w:val="36"/>
          <w:szCs w:val="36"/>
          <w:lang w:val="zh-CN"/>
        </w:rPr>
        <w:t>《响应文件》格式</w:t>
      </w:r>
      <w:bookmarkEnd w:id="44"/>
    </w:p>
    <w:p w14:paraId="3662DA11">
      <w:pPr>
        <w:autoSpaceDE w:val="0"/>
        <w:autoSpaceDN w:val="0"/>
        <w:adjustRightInd w:val="0"/>
        <w:spacing w:line="360" w:lineRule="auto"/>
        <w:jc w:val="center"/>
        <w:outlineLvl w:val="0"/>
        <w:rPr>
          <w:rFonts w:ascii="黑体" w:hAnsi="黑体" w:eastAsia="黑体"/>
          <w:b/>
          <w:color w:val="auto"/>
          <w:sz w:val="36"/>
          <w:szCs w:val="36"/>
          <w:lang w:val="zh-CN"/>
        </w:rPr>
      </w:pPr>
    </w:p>
    <w:p w14:paraId="22749E3D">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供应商应按“供应商须知</w:t>
      </w:r>
      <w:r>
        <w:rPr>
          <w:rFonts w:ascii="宋体"/>
          <w:color w:val="auto"/>
          <w:szCs w:val="21"/>
          <w:lang w:val="zh-CN"/>
        </w:rPr>
        <w:t>--</w:t>
      </w:r>
      <w:r>
        <w:rPr>
          <w:rFonts w:hint="eastAsia" w:ascii="宋体" w:hAnsi="宋体"/>
          <w:color w:val="auto"/>
          <w:szCs w:val="21"/>
          <w:lang w:val="zh-CN"/>
        </w:rPr>
        <w:t>《响应文件》的组成”列示内容编制《响应文件》，本章“《响应文件》格式”仅为对《响应文件》部分内容的格式化规范，并非《响应文件》所应具备的全部内容</w:t>
      </w:r>
      <w:r>
        <w:rPr>
          <w:rFonts w:hint="eastAsia" w:ascii="宋体" w:hAnsi="宋体"/>
          <w:color w:val="auto"/>
          <w:sz w:val="36"/>
          <w:szCs w:val="36"/>
          <w:lang w:val="zh-CN"/>
        </w:rPr>
        <w:t>。</w:t>
      </w:r>
    </w:p>
    <w:p w14:paraId="323CFF8C">
      <w:pPr>
        <w:autoSpaceDE w:val="0"/>
        <w:autoSpaceDN w:val="0"/>
        <w:adjustRightInd w:val="0"/>
        <w:spacing w:line="276" w:lineRule="auto"/>
        <w:ind w:firstLine="882" w:firstLineChars="245"/>
        <w:jc w:val="left"/>
        <w:rPr>
          <w:rFonts w:ascii="宋体"/>
          <w:color w:val="auto"/>
          <w:sz w:val="36"/>
          <w:szCs w:val="36"/>
          <w:lang w:val="zh-CN"/>
        </w:rPr>
      </w:pPr>
    </w:p>
    <w:p w14:paraId="4A3BB89D">
      <w:pPr>
        <w:autoSpaceDE w:val="0"/>
        <w:autoSpaceDN w:val="0"/>
        <w:adjustRightInd w:val="0"/>
        <w:spacing w:line="360" w:lineRule="auto"/>
        <w:ind w:right="-817"/>
        <w:rPr>
          <w:rFonts w:ascii="宋体"/>
          <w:color w:val="auto"/>
          <w:sz w:val="24"/>
          <w:u w:val="single"/>
        </w:rPr>
      </w:pPr>
    </w:p>
    <w:p w14:paraId="7EA3BC7B">
      <w:pPr>
        <w:autoSpaceDE w:val="0"/>
        <w:autoSpaceDN w:val="0"/>
        <w:adjustRightInd w:val="0"/>
        <w:spacing w:line="360" w:lineRule="auto"/>
        <w:ind w:firstLine="480" w:firstLineChars="200"/>
        <w:jc w:val="left"/>
        <w:rPr>
          <w:rFonts w:ascii="宋体"/>
          <w:color w:val="auto"/>
          <w:sz w:val="24"/>
          <w:u w:val="single"/>
        </w:rPr>
      </w:pPr>
    </w:p>
    <w:p w14:paraId="7CC1EE8A">
      <w:pPr>
        <w:autoSpaceDE w:val="0"/>
        <w:autoSpaceDN w:val="0"/>
        <w:adjustRightInd w:val="0"/>
        <w:spacing w:line="360" w:lineRule="auto"/>
        <w:jc w:val="left"/>
        <w:rPr>
          <w:rFonts w:ascii="宋体"/>
          <w:color w:val="auto"/>
          <w:sz w:val="44"/>
          <w:szCs w:val="44"/>
          <w:u w:val="single"/>
        </w:rPr>
      </w:pPr>
      <w:r>
        <w:rPr>
          <w:rFonts w:hint="eastAsia" w:ascii="宋体" w:hAnsi="宋体"/>
          <w:color w:val="auto"/>
          <w:sz w:val="44"/>
          <w:szCs w:val="44"/>
        </w:rPr>
        <w:t>项目名称：</w:t>
      </w:r>
      <w:r>
        <w:rPr>
          <w:rFonts w:ascii="宋体" w:hAnsi="宋体"/>
          <w:color w:val="auto"/>
          <w:sz w:val="44"/>
          <w:szCs w:val="44"/>
          <w:u w:val="single"/>
        </w:rPr>
        <w:t xml:space="preserve">                                </w:t>
      </w:r>
    </w:p>
    <w:p w14:paraId="522FE974">
      <w:pPr>
        <w:autoSpaceDE w:val="0"/>
        <w:autoSpaceDN w:val="0"/>
        <w:adjustRightInd w:val="0"/>
        <w:spacing w:line="360" w:lineRule="auto"/>
        <w:rPr>
          <w:rFonts w:ascii="宋体" w:hAnsi="宋体"/>
          <w:color w:val="auto"/>
          <w:sz w:val="44"/>
          <w:szCs w:val="44"/>
          <w:u w:val="single"/>
        </w:rPr>
      </w:pPr>
      <w:r>
        <w:rPr>
          <w:rFonts w:hint="eastAsia" w:ascii="宋体" w:hAnsi="宋体"/>
          <w:color w:val="auto"/>
          <w:sz w:val="44"/>
          <w:szCs w:val="44"/>
        </w:rPr>
        <w:t>项目编号：</w:t>
      </w:r>
      <w:r>
        <w:rPr>
          <w:rFonts w:ascii="宋体" w:hAnsi="宋体"/>
          <w:color w:val="auto"/>
          <w:sz w:val="44"/>
          <w:szCs w:val="44"/>
          <w:u w:val="single"/>
        </w:rPr>
        <w:t xml:space="preserve">                                </w:t>
      </w:r>
    </w:p>
    <w:p w14:paraId="30421A00">
      <w:pPr>
        <w:autoSpaceDE w:val="0"/>
        <w:autoSpaceDN w:val="0"/>
        <w:adjustRightInd w:val="0"/>
        <w:spacing w:line="360" w:lineRule="auto"/>
        <w:rPr>
          <w:rFonts w:ascii="宋体"/>
          <w:color w:val="auto"/>
          <w:sz w:val="84"/>
          <w:szCs w:val="84"/>
        </w:rPr>
      </w:pPr>
    </w:p>
    <w:p w14:paraId="303787C5">
      <w:pPr>
        <w:autoSpaceDE w:val="0"/>
        <w:autoSpaceDN w:val="0"/>
        <w:adjustRightInd w:val="0"/>
        <w:spacing w:line="360" w:lineRule="auto"/>
        <w:jc w:val="center"/>
        <w:rPr>
          <w:rFonts w:ascii="黑体" w:hAnsi="黑体" w:eastAsia="黑体"/>
          <w:b/>
          <w:color w:val="auto"/>
          <w:spacing w:val="60"/>
          <w:sz w:val="84"/>
          <w:szCs w:val="84"/>
        </w:rPr>
      </w:pPr>
      <w:r>
        <w:rPr>
          <w:rFonts w:hint="eastAsia" w:ascii="黑体" w:hAnsi="黑体" w:eastAsia="黑体"/>
          <w:b/>
          <w:color w:val="auto"/>
          <w:spacing w:val="60"/>
          <w:sz w:val="84"/>
          <w:szCs w:val="84"/>
        </w:rPr>
        <w:t>响</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应</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件</w:t>
      </w:r>
    </w:p>
    <w:p w14:paraId="1DBB85F2">
      <w:pPr>
        <w:autoSpaceDE w:val="0"/>
        <w:autoSpaceDN w:val="0"/>
        <w:adjustRightInd w:val="0"/>
        <w:spacing w:line="360" w:lineRule="auto"/>
        <w:jc w:val="center"/>
        <w:rPr>
          <w:rFonts w:ascii="宋体"/>
          <w:color w:val="auto"/>
          <w:sz w:val="24"/>
        </w:rPr>
      </w:pPr>
    </w:p>
    <w:p w14:paraId="0C6BE45C">
      <w:pPr>
        <w:autoSpaceDE w:val="0"/>
        <w:autoSpaceDN w:val="0"/>
        <w:adjustRightInd w:val="0"/>
        <w:spacing w:line="360" w:lineRule="auto"/>
        <w:jc w:val="center"/>
        <w:rPr>
          <w:rFonts w:ascii="宋体"/>
          <w:color w:val="auto"/>
          <w:sz w:val="24"/>
        </w:rPr>
      </w:pPr>
    </w:p>
    <w:p w14:paraId="3C34534E">
      <w:pPr>
        <w:autoSpaceDE w:val="0"/>
        <w:autoSpaceDN w:val="0"/>
        <w:adjustRightInd w:val="0"/>
        <w:spacing w:line="360" w:lineRule="auto"/>
        <w:jc w:val="center"/>
        <w:rPr>
          <w:rFonts w:ascii="宋体"/>
          <w:color w:val="auto"/>
          <w:sz w:val="24"/>
        </w:rPr>
      </w:pPr>
    </w:p>
    <w:p w14:paraId="09BC61E1">
      <w:pPr>
        <w:autoSpaceDE w:val="0"/>
        <w:autoSpaceDN w:val="0"/>
        <w:adjustRightInd w:val="0"/>
        <w:spacing w:line="360" w:lineRule="auto"/>
        <w:jc w:val="center"/>
        <w:rPr>
          <w:rFonts w:ascii="宋体"/>
          <w:color w:val="auto"/>
          <w:sz w:val="24"/>
        </w:rPr>
      </w:pPr>
    </w:p>
    <w:p w14:paraId="229DC4D9">
      <w:pPr>
        <w:pStyle w:val="49"/>
        <w:spacing w:line="360" w:lineRule="auto"/>
        <w:rPr>
          <w:rFonts w:hAnsi="宋体"/>
          <w:color w:val="auto"/>
          <w:szCs w:val="24"/>
          <w:u w:val="single"/>
        </w:rPr>
      </w:pPr>
    </w:p>
    <w:p w14:paraId="23B97F52">
      <w:pPr>
        <w:pStyle w:val="49"/>
        <w:spacing w:line="360" w:lineRule="auto"/>
        <w:jc w:val="both"/>
        <w:rPr>
          <w:rFonts w:hAnsi="宋体"/>
          <w:color w:val="auto"/>
          <w:sz w:val="28"/>
          <w:szCs w:val="28"/>
          <w:u w:val="single"/>
        </w:rPr>
      </w:pPr>
      <w:r>
        <w:rPr>
          <w:rFonts w:hAnsi="宋体"/>
          <w:color w:val="auto"/>
          <w:sz w:val="28"/>
          <w:szCs w:val="28"/>
        </w:rPr>
        <w:t xml:space="preserve">  </w:t>
      </w:r>
      <w:r>
        <w:rPr>
          <w:rFonts w:hint="eastAsia" w:hAnsi="宋体"/>
          <w:color w:val="auto"/>
          <w:sz w:val="28"/>
          <w:szCs w:val="28"/>
        </w:rPr>
        <w:t>供应商（电子签章）：</w:t>
      </w:r>
      <w:r>
        <w:rPr>
          <w:rFonts w:hAnsi="宋体"/>
          <w:color w:val="auto"/>
          <w:sz w:val="28"/>
          <w:szCs w:val="28"/>
          <w:u w:val="single"/>
        </w:rPr>
        <w:t xml:space="preserve">                                    </w:t>
      </w:r>
      <w:r>
        <w:rPr>
          <w:rFonts w:hint="eastAsia" w:hAnsi="宋体"/>
          <w:color w:val="auto"/>
          <w:sz w:val="28"/>
          <w:szCs w:val="28"/>
          <w:u w:val="single"/>
        </w:rPr>
        <w:t xml:space="preserve">   </w:t>
      </w:r>
    </w:p>
    <w:p w14:paraId="00F265F9">
      <w:pPr>
        <w:pStyle w:val="49"/>
        <w:spacing w:line="360" w:lineRule="auto"/>
        <w:ind w:firstLine="280" w:firstLineChars="100"/>
        <w:rPr>
          <w:rFonts w:hAnsi="宋体"/>
          <w:color w:val="auto"/>
          <w:sz w:val="28"/>
          <w:szCs w:val="28"/>
        </w:rPr>
      </w:pPr>
    </w:p>
    <w:p w14:paraId="4041A50D">
      <w:pPr>
        <w:pStyle w:val="49"/>
        <w:spacing w:line="360" w:lineRule="auto"/>
        <w:ind w:firstLine="280" w:firstLineChars="100"/>
        <w:rPr>
          <w:rFonts w:hAnsi="宋体"/>
          <w:color w:val="auto"/>
          <w:sz w:val="28"/>
          <w:szCs w:val="28"/>
          <w:u w:val="single"/>
        </w:rPr>
      </w:pPr>
      <w:r>
        <w:rPr>
          <w:rFonts w:hint="eastAsia" w:hAnsi="宋体"/>
          <w:color w:val="auto"/>
          <w:sz w:val="28"/>
          <w:szCs w:val="28"/>
        </w:rPr>
        <w:t>法定代表人（电子签名或签章）：</w:t>
      </w:r>
      <w:r>
        <w:rPr>
          <w:rFonts w:hAnsi="宋体"/>
          <w:color w:val="auto"/>
          <w:sz w:val="28"/>
          <w:szCs w:val="28"/>
          <w:u w:val="single"/>
        </w:rPr>
        <w:t xml:space="preserve">                              </w:t>
      </w:r>
    </w:p>
    <w:p w14:paraId="6FC9BEFD">
      <w:pPr>
        <w:pStyle w:val="49"/>
        <w:spacing w:line="360" w:lineRule="auto"/>
        <w:jc w:val="center"/>
        <w:rPr>
          <w:rFonts w:hAnsi="宋体"/>
          <w:color w:val="auto"/>
          <w:sz w:val="28"/>
          <w:szCs w:val="28"/>
        </w:rPr>
      </w:pPr>
    </w:p>
    <w:p w14:paraId="3D60167E">
      <w:pPr>
        <w:pStyle w:val="49"/>
        <w:spacing w:line="360" w:lineRule="auto"/>
        <w:jc w:val="both"/>
        <w:rPr>
          <w:rFonts w:hAnsi="宋体"/>
          <w:color w:val="auto"/>
          <w:sz w:val="28"/>
          <w:szCs w:val="28"/>
        </w:rPr>
      </w:pPr>
    </w:p>
    <w:p w14:paraId="1879F4BB">
      <w:pPr>
        <w:widowControl w:val="0"/>
        <w:snapToGrid w:val="0"/>
        <w:spacing w:line="560" w:lineRule="exact"/>
        <w:rPr>
          <w:color w:val="auto"/>
          <w:sz w:val="28"/>
          <w:szCs w:val="28"/>
        </w:rPr>
      </w:pPr>
      <w:r>
        <w:rPr>
          <w:rFonts w:ascii="宋体" w:cs="楷体_GB2312"/>
          <w:b/>
          <w:bCs/>
          <w:color w:val="auto"/>
          <w:sz w:val="44"/>
          <w:szCs w:val="44"/>
          <w:lang w:val="zh-CN"/>
        </w:rPr>
        <w:br w:type="page"/>
      </w:r>
      <w:bookmarkStart w:id="45" w:name="OLE_LINK35"/>
      <w:bookmarkStart w:id="46" w:name="OLE_LINK10"/>
    </w:p>
    <w:p w14:paraId="1E6745E6">
      <w:pPr>
        <w:spacing w:line="351" w:lineRule="atLeast"/>
        <w:jc w:val="center"/>
        <w:rPr>
          <w:rFonts w:ascii="黑体" w:eastAsia="黑体"/>
          <w:b/>
          <w:color w:val="auto"/>
          <w:spacing w:val="60"/>
          <w:sz w:val="36"/>
          <w:szCs w:val="36"/>
        </w:rPr>
      </w:pPr>
      <w:r>
        <w:rPr>
          <w:rFonts w:hint="eastAsia" w:ascii="黑体" w:eastAsia="黑体"/>
          <w:b/>
          <w:color w:val="auto"/>
          <w:spacing w:val="60"/>
          <w:sz w:val="36"/>
          <w:szCs w:val="36"/>
        </w:rPr>
        <w:t>一、投标书</w:t>
      </w:r>
      <w:bookmarkEnd w:id="45"/>
    </w:p>
    <w:bookmarkEnd w:id="46"/>
    <w:p w14:paraId="673E7479">
      <w:pPr>
        <w:widowControl w:val="0"/>
        <w:snapToGrid w:val="0"/>
        <w:spacing w:line="560" w:lineRule="exact"/>
        <w:rPr>
          <w:color w:val="auto"/>
          <w:sz w:val="28"/>
        </w:rPr>
      </w:pPr>
    </w:p>
    <w:p w14:paraId="098B219C">
      <w:pPr>
        <w:widowControl w:val="0"/>
        <w:snapToGrid w:val="0"/>
        <w:spacing w:line="360" w:lineRule="auto"/>
        <w:rPr>
          <w:color w:val="auto"/>
          <w:sz w:val="24"/>
          <w:szCs w:val="24"/>
        </w:rPr>
      </w:pPr>
      <w:r>
        <w:rPr>
          <w:rFonts w:hint="eastAsia"/>
          <w:color w:val="auto"/>
          <w:sz w:val="24"/>
          <w:szCs w:val="24"/>
        </w:rPr>
        <w:t>致：安阳市方正招标采购服务有限责任公司</w:t>
      </w:r>
    </w:p>
    <w:p w14:paraId="33086759">
      <w:pPr>
        <w:widowControl w:val="0"/>
        <w:snapToGrid w:val="0"/>
        <w:spacing w:line="360" w:lineRule="auto"/>
        <w:ind w:firstLine="578"/>
        <w:textAlignment w:val="top"/>
        <w:rPr>
          <w:color w:val="auto"/>
          <w:sz w:val="24"/>
          <w:szCs w:val="24"/>
        </w:rPr>
      </w:pPr>
      <w:r>
        <w:rPr>
          <w:rFonts w:hint="eastAsia"/>
          <w:color w:val="auto"/>
          <w:sz w:val="24"/>
          <w:szCs w:val="24"/>
        </w:rPr>
        <w:t>根据贵方竞争性磋商</w:t>
      </w:r>
      <w:r>
        <w:rPr>
          <w:rFonts w:hint="eastAsia"/>
          <w:color w:val="auto"/>
          <w:sz w:val="24"/>
          <w:szCs w:val="24"/>
          <w:u w:val="single"/>
        </w:rPr>
        <w:t xml:space="preserve">    </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的《磋商文件》（项目编号：</w:t>
      </w:r>
      <w:r>
        <w:rPr>
          <w:color w:val="auto"/>
          <w:sz w:val="24"/>
          <w:szCs w:val="24"/>
          <w:u w:val="single"/>
        </w:rPr>
        <w:t xml:space="preserve">         </w:t>
      </w:r>
      <w:r>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14:paraId="560A4663">
      <w:pPr>
        <w:adjustRightInd w:val="0"/>
        <w:snapToGrid w:val="0"/>
        <w:spacing w:line="300" w:lineRule="auto"/>
        <w:textAlignment w:val="top"/>
        <w:rPr>
          <w:color w:val="auto"/>
          <w:sz w:val="24"/>
          <w:szCs w:val="24"/>
        </w:rPr>
      </w:pPr>
    </w:p>
    <w:p w14:paraId="36383A40">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（1）投标书</w:t>
      </w:r>
    </w:p>
    <w:p w14:paraId="33B8A886">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（2）开标一览表（即交易系统中报价一览表）</w:t>
      </w:r>
    </w:p>
    <w:p w14:paraId="7737F24A">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（3）第一次报价明细表</w:t>
      </w:r>
    </w:p>
    <w:p w14:paraId="3AE65ECA">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（4）服务方案及服务质量承诺</w:t>
      </w:r>
    </w:p>
    <w:p w14:paraId="34822502">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5</w:t>
      </w:r>
      <w:r>
        <w:rPr>
          <w:rFonts w:hint="eastAsia" w:ascii="宋体" w:hAnsi="宋体" w:cs="楷体_GB2312"/>
          <w:color w:val="auto"/>
          <w:sz w:val="24"/>
          <w:lang w:val="zh-CN"/>
        </w:rPr>
        <w:t>）服务拟投入人员情况表</w:t>
      </w:r>
    </w:p>
    <w:p w14:paraId="5E1F1D91">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6</w:t>
      </w:r>
      <w:r>
        <w:rPr>
          <w:rFonts w:hint="eastAsia" w:ascii="宋体" w:hAnsi="宋体" w:cs="楷体_GB2312"/>
          <w:color w:val="auto"/>
          <w:sz w:val="24"/>
          <w:lang w:val="zh-CN"/>
        </w:rPr>
        <w:t>）</w:t>
      </w:r>
      <w:r>
        <w:rPr>
          <w:rFonts w:hint="eastAsia" w:ascii="宋体" w:hAnsi="宋体" w:cs="楷体_GB2312"/>
          <w:color w:val="auto"/>
          <w:sz w:val="24"/>
        </w:rPr>
        <w:t>技术</w:t>
      </w:r>
      <w:r>
        <w:rPr>
          <w:rFonts w:hint="eastAsia" w:ascii="宋体" w:hAnsi="宋体" w:cs="楷体_GB2312"/>
          <w:color w:val="auto"/>
          <w:sz w:val="24"/>
          <w:lang w:val="zh-CN"/>
        </w:rPr>
        <w:t>偏离表</w:t>
      </w:r>
    </w:p>
    <w:p w14:paraId="09703A34">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7</w:t>
      </w:r>
      <w:r>
        <w:rPr>
          <w:rFonts w:hint="eastAsia" w:ascii="宋体" w:hAnsi="宋体" w:cs="楷体_GB2312"/>
          <w:color w:val="auto"/>
          <w:sz w:val="24"/>
          <w:lang w:val="zh-CN"/>
        </w:rPr>
        <w:t>）</w:t>
      </w:r>
      <w:r>
        <w:rPr>
          <w:rFonts w:hint="eastAsia" w:ascii="宋体" w:hAnsi="宋体" w:cs="楷体_GB2312"/>
          <w:color w:val="auto"/>
          <w:sz w:val="24"/>
        </w:rPr>
        <w:t>其他</w:t>
      </w:r>
      <w:r>
        <w:rPr>
          <w:rFonts w:hint="eastAsia" w:ascii="宋体" w:hAnsi="宋体" w:cs="楷体_GB2312"/>
          <w:color w:val="auto"/>
          <w:sz w:val="24"/>
          <w:lang w:val="zh-CN"/>
        </w:rPr>
        <w:t>偏离表</w:t>
      </w:r>
    </w:p>
    <w:p w14:paraId="3145C499">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8</w:t>
      </w:r>
      <w:r>
        <w:rPr>
          <w:rFonts w:hint="eastAsia" w:ascii="宋体" w:hAnsi="宋体" w:cs="楷体_GB2312"/>
          <w:color w:val="auto"/>
          <w:sz w:val="24"/>
          <w:lang w:val="zh-CN"/>
        </w:rPr>
        <w:t>）关于资格的声明函</w:t>
      </w:r>
    </w:p>
    <w:p w14:paraId="65412CB1">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hint="eastAsia" w:ascii="宋体" w:hAnsi="宋体" w:cs="楷体_GB2312"/>
          <w:color w:val="auto"/>
          <w:sz w:val="24"/>
        </w:rPr>
        <w:t>9</w:t>
      </w:r>
      <w:r>
        <w:rPr>
          <w:rFonts w:hint="eastAsia" w:ascii="宋体" w:hAnsi="宋体" w:cs="楷体_GB2312"/>
          <w:color w:val="auto"/>
          <w:sz w:val="24"/>
          <w:lang w:val="zh-CN"/>
        </w:rPr>
        <w:t>）反商业贿赂承诺书</w:t>
      </w:r>
    </w:p>
    <w:p w14:paraId="250FEBDB">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（10）履约承诺书</w:t>
      </w:r>
    </w:p>
    <w:p w14:paraId="17D3B105">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（11）资格要求相关证明材料（文件）</w:t>
      </w:r>
    </w:p>
    <w:p w14:paraId="604C57EE">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（12）采购项目及技术服务要求所需的其他材料（按条款需要）</w:t>
      </w:r>
    </w:p>
    <w:p w14:paraId="4250C201">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（13）供应商须知所需的其他材料（按条款需要）</w:t>
      </w:r>
    </w:p>
    <w:p w14:paraId="530FE7A7">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（14）评审办法所需的其他材料（按条款需要）</w:t>
      </w:r>
    </w:p>
    <w:p w14:paraId="7159C138">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（14</w:t>
      </w:r>
      <w:r>
        <w:rPr>
          <w:rFonts w:hint="eastAsia" w:ascii="宋体" w:hAnsi="宋体" w:cs="楷体_GB2312"/>
          <w:color w:val="auto"/>
          <w:sz w:val="24"/>
        </w:rPr>
        <w:t>-1</w:t>
      </w:r>
      <w:r>
        <w:rPr>
          <w:rFonts w:hint="eastAsia" w:ascii="宋体" w:hAnsi="宋体" w:cs="楷体_GB2312"/>
          <w:color w:val="auto"/>
          <w:sz w:val="24"/>
          <w:lang w:val="zh-CN"/>
        </w:rPr>
        <w:t>）附件：证明材料查询核验工作的清单及要求</w:t>
      </w:r>
    </w:p>
    <w:p w14:paraId="7A9E95BE">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（15）供应商认为有必要提交的其它材料</w:t>
      </w:r>
    </w:p>
    <w:p w14:paraId="451D9299">
      <w:pPr>
        <w:adjustRightInd w:val="0"/>
        <w:snapToGrid w:val="0"/>
        <w:spacing w:line="300" w:lineRule="auto"/>
        <w:ind w:firstLine="539"/>
        <w:textAlignment w:val="top"/>
        <w:rPr>
          <w:color w:val="auto"/>
          <w:sz w:val="24"/>
          <w:szCs w:val="24"/>
        </w:rPr>
      </w:pPr>
      <w:r>
        <w:rPr>
          <w:color w:val="auto"/>
          <w:sz w:val="24"/>
          <w:szCs w:val="24"/>
        </w:rPr>
        <w:t>.........</w:t>
      </w:r>
    </w:p>
    <w:p w14:paraId="3470380B">
      <w:pPr>
        <w:adjustRightInd w:val="0"/>
        <w:snapToGrid w:val="0"/>
        <w:spacing w:line="300" w:lineRule="auto"/>
        <w:textAlignment w:val="top"/>
        <w:rPr>
          <w:color w:val="auto"/>
          <w:sz w:val="24"/>
          <w:szCs w:val="24"/>
        </w:rPr>
      </w:pPr>
    </w:p>
    <w:p w14:paraId="60B66E61">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据此函，签字代表宣布同意如下：</w:t>
      </w:r>
    </w:p>
    <w:p w14:paraId="6C3317B7">
      <w:pPr>
        <w:widowControl w:val="0"/>
        <w:numPr>
          <w:ilvl w:val="0"/>
          <w:numId w:val="1"/>
        </w:numPr>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所附“《响应文件》开标一览表”中规定的应提供和交付的投标总价为：</w:t>
      </w:r>
    </w:p>
    <w:p w14:paraId="32A74B65">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人民币</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，即</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rPr>
        <w:t>（文字表述）；</w:t>
      </w:r>
    </w:p>
    <w:p w14:paraId="48240D51">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交验期：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，服务地点：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3FB5176A">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2.如果我单位的投标书被接受，我单位将履行《磋商文件》中规定的每一项要求，按期、按质、按量履行合同。</w:t>
      </w:r>
    </w:p>
    <w:p w14:paraId="05A6352E">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3.我单位愿按《中华人民共和国民法典》履行我单位的全部责任。</w:t>
      </w:r>
    </w:p>
    <w:p w14:paraId="0AB484CF">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w:t>
      </w:r>
    </w:p>
    <w:p w14:paraId="777580CF">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5.《响应文件》自开启日起有效期为90日历天。</w:t>
      </w:r>
    </w:p>
    <w:p w14:paraId="36303A1E">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6.我单位承诺按照《磋商文件》规定的付款方式执行。</w:t>
      </w:r>
    </w:p>
    <w:p w14:paraId="24BA3A60">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7.如果在规定的开标时间后，我单位在投标有效期内撤回投标的，依据《磋商文件》“第三章 3.5.5 违背承诺的责任追究措施”，我单位承担相应法律责任及违约责任。</w:t>
      </w:r>
    </w:p>
    <w:p w14:paraId="3C0023ED">
      <w:pPr>
        <w:widowControl w:val="0"/>
        <w:snapToGrid w:val="0"/>
        <w:spacing w:before="120" w:beforeLines="50" w:line="300" w:lineRule="auto"/>
        <w:ind w:firstLine="55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8.我单位同意提供按照贵方可能要求的与磋商有关的一切数据或资料，理解贵方不一定要接受最低价的投标或收到的任何投标。</w:t>
      </w:r>
    </w:p>
    <w:p w14:paraId="49373FC1">
      <w:pPr>
        <w:widowControl w:val="0"/>
        <w:snapToGrid w:val="0"/>
        <w:spacing w:line="560" w:lineRule="exact"/>
        <w:ind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9.与本投标有关的一切正式往来请寄：</w:t>
      </w:r>
    </w:p>
    <w:p w14:paraId="4270A9C8">
      <w:pPr>
        <w:widowControl w:val="0"/>
        <w:snapToGrid w:val="0"/>
        <w:spacing w:line="560" w:lineRule="exact"/>
        <w:ind w:firstLine="555"/>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邮政编码：</w:t>
      </w:r>
      <w:r>
        <w:rPr>
          <w:rFonts w:hint="eastAsia" w:asciiTheme="minorEastAsia" w:hAnsiTheme="minorEastAsia" w:eastAsiaTheme="minorEastAsia" w:cstheme="minorEastAsia"/>
          <w:color w:val="auto"/>
          <w:sz w:val="24"/>
          <w:szCs w:val="24"/>
        </w:rPr>
        <w:tab/>
      </w:r>
    </w:p>
    <w:p w14:paraId="2FC7D219">
      <w:pPr>
        <w:widowControl w:val="0"/>
        <w:snapToGrid w:val="0"/>
        <w:spacing w:line="560" w:lineRule="exact"/>
        <w:ind w:firstLine="55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传真：</w:t>
      </w:r>
    </w:p>
    <w:p w14:paraId="7B6E119B">
      <w:pPr>
        <w:widowControl w:val="0"/>
        <w:snapToGrid w:val="0"/>
        <w:spacing w:line="560" w:lineRule="exact"/>
        <w:ind w:firstLine="555"/>
        <w:rPr>
          <w:color w:val="auto"/>
          <w:sz w:val="24"/>
          <w:szCs w:val="24"/>
        </w:rPr>
      </w:pPr>
    </w:p>
    <w:p w14:paraId="751DC363">
      <w:pPr>
        <w:widowControl w:val="0"/>
        <w:snapToGrid w:val="0"/>
        <w:spacing w:line="560" w:lineRule="exact"/>
        <w:ind w:firstLine="555"/>
        <w:rPr>
          <w:color w:val="auto"/>
          <w:sz w:val="24"/>
          <w:szCs w:val="24"/>
        </w:rPr>
      </w:pPr>
    </w:p>
    <w:p w14:paraId="434E8AF5">
      <w:pPr>
        <w:widowControl w:val="0"/>
        <w:snapToGrid w:val="0"/>
        <w:spacing w:line="560" w:lineRule="exact"/>
        <w:ind w:firstLine="555"/>
        <w:rPr>
          <w:color w:val="auto"/>
          <w:sz w:val="24"/>
          <w:szCs w:val="24"/>
        </w:rPr>
      </w:pPr>
    </w:p>
    <w:p w14:paraId="3F049A2E">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5C4C31B4">
      <w:pPr>
        <w:autoSpaceDE w:val="0"/>
        <w:autoSpaceDN w:val="0"/>
        <w:adjustRightInd w:val="0"/>
        <w:spacing w:line="48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0FDB573E">
      <w:pPr>
        <w:widowControl w:val="0"/>
        <w:tabs>
          <w:tab w:val="left" w:pos="9365"/>
        </w:tabs>
        <w:snapToGrid w:val="0"/>
        <w:spacing w:line="480" w:lineRule="auto"/>
        <w:ind w:right="85"/>
        <w:textAlignment w:val="top"/>
        <w:rPr>
          <w:b/>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184B3DBF">
      <w:pPr>
        <w:spacing w:line="240" w:lineRule="auto"/>
        <w:jc w:val="left"/>
        <w:textAlignment w:val="auto"/>
        <w:rPr>
          <w:color w:val="auto"/>
          <w:sz w:val="24"/>
          <w:szCs w:val="24"/>
        </w:rPr>
      </w:pPr>
      <w:r>
        <w:rPr>
          <w:color w:val="auto"/>
          <w:sz w:val="24"/>
          <w:szCs w:val="24"/>
        </w:rPr>
        <w:br w:type="page"/>
      </w:r>
    </w:p>
    <w:p w14:paraId="7EDB4B66">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二、开标一览表（即交易系统中报价一览表）</w:t>
      </w:r>
    </w:p>
    <w:p w14:paraId="24BA44CC">
      <w:pPr>
        <w:pStyle w:val="15"/>
        <w:adjustRightInd w:val="0"/>
        <w:snapToGrid w:val="0"/>
        <w:spacing w:before="0" w:beforeAutospacing="0" w:after="0" w:afterAutospacing="0"/>
        <w:rPr>
          <w:color w:val="auto"/>
        </w:rPr>
      </w:pPr>
    </w:p>
    <w:p w14:paraId="364DED78">
      <w:pPr>
        <w:widowControl w:val="0"/>
        <w:snapToGrid w:val="0"/>
        <w:spacing w:before="120" w:beforeLines="50" w:line="240" w:lineRule="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注：1、供应商需在安阳市公共资源电子交易平台投标文件制作工具中、按系统要求填列报价一览表（即开标一览表），系统中填列的报价一览表（即开标一览表）为供应商《响应文件》的一部分。</w:t>
      </w:r>
    </w:p>
    <w:p w14:paraId="097AB7A7">
      <w:pPr>
        <w:widowControl w:val="0"/>
        <w:snapToGrid w:val="0"/>
        <w:spacing w:before="120" w:beforeLines="50" w:line="240" w:lineRule="auto"/>
        <w:ind w:firstLine="54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2、供应商的投标报价（价格构成）应包括《磋商文件》所述投标报价的所有内容。</w:t>
      </w:r>
    </w:p>
    <w:p w14:paraId="09D7A575">
      <w:pPr>
        <w:widowControl w:val="0"/>
        <w:snapToGrid w:val="0"/>
        <w:spacing w:before="120" w:beforeLines="50" w:line="240" w:lineRule="auto"/>
        <w:ind w:firstLine="54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供应商可对《磋商文件》中所列的所有标段（包）进行分别投标，也可选择其中一个标段（包）或几个标段（包）投标，但不得将《磋商文件》规定的同一标段（包）的内容拆开投标，否则将按无效投标处理。</w:t>
      </w:r>
    </w:p>
    <w:p w14:paraId="7DB259B2">
      <w:pPr>
        <w:widowControl w:val="0"/>
        <w:snapToGrid w:val="0"/>
        <w:spacing w:before="120" w:beforeLines="50" w:line="240" w:lineRule="auto"/>
        <w:ind w:firstLine="54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4、开标一览表与报价明细表有差别时，以开标一览表为准；大写文字表示的数据与小写数字表示的有差别时，以大写文字表示的数据为准。</w:t>
      </w:r>
    </w:p>
    <w:p w14:paraId="41137C2D">
      <w:pPr>
        <w:widowControl w:val="0"/>
        <w:snapToGrid w:val="0"/>
        <w:spacing w:line="360" w:lineRule="auto"/>
        <w:textAlignment w:val="top"/>
        <w:rPr>
          <w:b/>
          <w:color w:val="auto"/>
          <w:sz w:val="24"/>
          <w:szCs w:val="24"/>
        </w:rPr>
      </w:pPr>
    </w:p>
    <w:p w14:paraId="2ED1EC8F">
      <w:pPr>
        <w:widowControl w:val="0"/>
        <w:snapToGrid w:val="0"/>
        <w:spacing w:line="360" w:lineRule="auto"/>
        <w:textAlignment w:val="top"/>
        <w:rPr>
          <w:b/>
          <w:color w:val="auto"/>
          <w:sz w:val="24"/>
          <w:szCs w:val="24"/>
        </w:rPr>
      </w:pPr>
    </w:p>
    <w:p w14:paraId="5E4E00DB">
      <w:pPr>
        <w:widowControl w:val="0"/>
        <w:snapToGrid w:val="0"/>
        <w:spacing w:line="360" w:lineRule="auto"/>
        <w:textAlignment w:val="top"/>
        <w:rPr>
          <w:b/>
          <w:color w:val="auto"/>
          <w:sz w:val="24"/>
          <w:szCs w:val="24"/>
        </w:rPr>
      </w:pPr>
    </w:p>
    <w:p w14:paraId="36C0D57D">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572ABF4F">
      <w:pPr>
        <w:autoSpaceDE w:val="0"/>
        <w:autoSpaceDN w:val="0"/>
        <w:adjustRightInd w:val="0"/>
        <w:spacing w:line="48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1069B379">
      <w:pPr>
        <w:spacing w:line="240" w:lineRule="auto"/>
        <w:jc w:val="left"/>
        <w:textAlignment w:val="auto"/>
        <w:rPr>
          <w:rFonts w:ascii="黑体" w:hAnsi="黑体" w:eastAsia="黑体"/>
          <w:b/>
          <w:color w:val="auto"/>
          <w:sz w:val="24"/>
          <w:szCs w:val="24"/>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r>
        <w:rPr>
          <w:rFonts w:ascii="黑体" w:hAnsi="黑体" w:eastAsia="黑体"/>
          <w:b/>
          <w:color w:val="auto"/>
          <w:sz w:val="30"/>
          <w:szCs w:val="30"/>
        </w:rPr>
        <w:br w:type="page"/>
      </w:r>
    </w:p>
    <w:p w14:paraId="01472766">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三、第一次报价明细表</w:t>
      </w:r>
    </w:p>
    <w:p w14:paraId="05BA8CB2">
      <w:pPr>
        <w:spacing w:line="240" w:lineRule="auto"/>
        <w:jc w:val="left"/>
        <w:textAlignment w:val="auto"/>
        <w:rPr>
          <w:color w:val="auto"/>
          <w:sz w:val="24"/>
          <w:szCs w:val="24"/>
        </w:rPr>
      </w:pPr>
    </w:p>
    <w:p w14:paraId="3FD64B04">
      <w:pPr>
        <w:pStyle w:val="15"/>
        <w:adjustRightInd w:val="0"/>
        <w:snapToGrid w:val="0"/>
        <w:spacing w:before="0" w:beforeAutospacing="0" w:after="0" w:afterAutospacing="0"/>
        <w:rPr>
          <w:color w:val="auto"/>
          <w:u w:val="single"/>
        </w:rPr>
      </w:pPr>
      <w:r>
        <w:rPr>
          <w:rFonts w:hint="eastAsia"/>
          <w:color w:val="auto"/>
        </w:rPr>
        <w:t>项目名称：</w:t>
      </w:r>
    </w:p>
    <w:p w14:paraId="0AED5FD2">
      <w:pPr>
        <w:pStyle w:val="15"/>
        <w:adjustRightInd w:val="0"/>
        <w:snapToGrid w:val="0"/>
        <w:spacing w:before="0" w:beforeAutospacing="0" w:after="0" w:afterAutospacing="0"/>
        <w:rPr>
          <w:color w:val="auto"/>
        </w:rPr>
      </w:pPr>
      <w:r>
        <w:rPr>
          <w:rFonts w:hint="eastAsia"/>
          <w:color w:val="auto"/>
        </w:rPr>
        <w:t>项目编号：</w:t>
      </w:r>
    </w:p>
    <w:tbl>
      <w:tblPr>
        <w:tblStyle w:val="17"/>
        <w:tblW w:w="917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780"/>
        <w:gridCol w:w="749"/>
        <w:gridCol w:w="1134"/>
        <w:gridCol w:w="2268"/>
      </w:tblGrid>
      <w:tr w14:paraId="06FC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14:paraId="28B1BF62">
            <w:pPr>
              <w:spacing w:line="560" w:lineRule="exact"/>
              <w:jc w:val="center"/>
              <w:rPr>
                <w:color w:val="auto"/>
                <w:sz w:val="28"/>
              </w:rPr>
            </w:pPr>
            <w:r>
              <w:rPr>
                <w:rFonts w:hint="eastAsia"/>
                <w:color w:val="auto"/>
              </w:rPr>
              <w:t>序号</w:t>
            </w:r>
          </w:p>
        </w:tc>
        <w:tc>
          <w:tcPr>
            <w:tcW w:w="1623" w:type="dxa"/>
            <w:tcBorders>
              <w:top w:val="single" w:color="000000" w:sz="8" w:space="0"/>
              <w:bottom w:val="single" w:color="000000" w:sz="4" w:space="0"/>
              <w:right w:val="single" w:color="000000" w:sz="4" w:space="0"/>
            </w:tcBorders>
            <w:vAlign w:val="center"/>
          </w:tcPr>
          <w:p w14:paraId="796D92BE">
            <w:pPr>
              <w:spacing w:line="560" w:lineRule="exact"/>
              <w:jc w:val="center"/>
              <w:rPr>
                <w:color w:val="auto"/>
                <w:sz w:val="28"/>
              </w:rPr>
            </w:pPr>
            <w:r>
              <w:rPr>
                <w:rFonts w:hint="eastAsia"/>
                <w:color w:val="auto"/>
              </w:rPr>
              <w:t>费用名称</w:t>
            </w:r>
          </w:p>
        </w:tc>
        <w:tc>
          <w:tcPr>
            <w:tcW w:w="2160" w:type="dxa"/>
            <w:tcBorders>
              <w:top w:val="single" w:color="000000" w:sz="8" w:space="0"/>
              <w:bottom w:val="single" w:color="000000" w:sz="4" w:space="0"/>
            </w:tcBorders>
            <w:vAlign w:val="center"/>
          </w:tcPr>
          <w:p w14:paraId="48637D85">
            <w:pPr>
              <w:spacing w:line="560" w:lineRule="exact"/>
              <w:jc w:val="center"/>
              <w:rPr>
                <w:color w:val="auto"/>
                <w:sz w:val="28"/>
              </w:rPr>
            </w:pPr>
            <w:r>
              <w:rPr>
                <w:rFonts w:hint="eastAsia"/>
                <w:color w:val="auto"/>
              </w:rPr>
              <w:t>费用内容</w:t>
            </w:r>
          </w:p>
        </w:tc>
        <w:tc>
          <w:tcPr>
            <w:tcW w:w="780" w:type="dxa"/>
            <w:tcBorders>
              <w:top w:val="single" w:color="000000" w:sz="8" w:space="0"/>
              <w:bottom w:val="single" w:color="000000" w:sz="4" w:space="0"/>
              <w:right w:val="single" w:color="000000" w:sz="4" w:space="0"/>
            </w:tcBorders>
            <w:vAlign w:val="center"/>
          </w:tcPr>
          <w:p w14:paraId="1345C774">
            <w:pPr>
              <w:spacing w:line="560" w:lineRule="exact"/>
              <w:jc w:val="center"/>
              <w:rPr>
                <w:color w:val="auto"/>
                <w:sz w:val="28"/>
              </w:rPr>
            </w:pPr>
            <w:r>
              <w:rPr>
                <w:rFonts w:hint="eastAsia"/>
                <w:color w:val="auto"/>
              </w:rPr>
              <w:t>单位</w:t>
            </w:r>
          </w:p>
        </w:tc>
        <w:tc>
          <w:tcPr>
            <w:tcW w:w="749" w:type="dxa"/>
            <w:tcBorders>
              <w:top w:val="single" w:color="000000" w:sz="8" w:space="0"/>
              <w:bottom w:val="single" w:color="000000" w:sz="4" w:space="0"/>
              <w:right w:val="single" w:color="000000" w:sz="4" w:space="0"/>
            </w:tcBorders>
            <w:vAlign w:val="center"/>
          </w:tcPr>
          <w:p w14:paraId="59F32A9B">
            <w:pPr>
              <w:spacing w:line="560" w:lineRule="exact"/>
              <w:jc w:val="center"/>
              <w:rPr>
                <w:color w:val="auto"/>
                <w:sz w:val="28"/>
              </w:rPr>
            </w:pPr>
            <w:r>
              <w:rPr>
                <w:rFonts w:hint="eastAsia"/>
                <w:color w:val="auto"/>
              </w:rPr>
              <w:t>数量</w:t>
            </w:r>
          </w:p>
        </w:tc>
        <w:tc>
          <w:tcPr>
            <w:tcW w:w="1134" w:type="dxa"/>
            <w:tcBorders>
              <w:top w:val="single" w:color="000000" w:sz="8" w:space="0"/>
              <w:bottom w:val="single" w:color="000000" w:sz="4" w:space="0"/>
              <w:right w:val="single" w:color="000000" w:sz="4" w:space="0"/>
            </w:tcBorders>
            <w:vAlign w:val="center"/>
          </w:tcPr>
          <w:p w14:paraId="4CB9F7F1">
            <w:pPr>
              <w:spacing w:line="560" w:lineRule="exact"/>
              <w:jc w:val="center"/>
              <w:rPr>
                <w:color w:val="auto"/>
                <w:sz w:val="28"/>
              </w:rPr>
            </w:pPr>
            <w:r>
              <w:rPr>
                <w:rFonts w:hint="eastAsia"/>
                <w:color w:val="auto"/>
              </w:rPr>
              <w:t>单价</w:t>
            </w:r>
          </w:p>
        </w:tc>
        <w:tc>
          <w:tcPr>
            <w:tcW w:w="2268" w:type="dxa"/>
            <w:tcBorders>
              <w:top w:val="single" w:color="000000" w:sz="8" w:space="0"/>
              <w:bottom w:val="single" w:color="000000" w:sz="4" w:space="0"/>
              <w:right w:val="single" w:color="000000" w:sz="8" w:space="0"/>
            </w:tcBorders>
            <w:vAlign w:val="center"/>
          </w:tcPr>
          <w:p w14:paraId="14F8CED1">
            <w:pPr>
              <w:spacing w:line="560" w:lineRule="exact"/>
              <w:jc w:val="center"/>
              <w:rPr>
                <w:color w:val="auto"/>
                <w:sz w:val="28"/>
              </w:rPr>
            </w:pPr>
            <w:r>
              <w:rPr>
                <w:rFonts w:hint="eastAsia"/>
                <w:color w:val="auto"/>
              </w:rPr>
              <w:t>小计</w:t>
            </w:r>
          </w:p>
        </w:tc>
      </w:tr>
      <w:tr w14:paraId="47D6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14:paraId="18654E44">
            <w:pPr>
              <w:spacing w:line="560" w:lineRule="exact"/>
              <w:jc w:val="center"/>
              <w:rPr>
                <w:color w:val="auto"/>
                <w:sz w:val="28"/>
              </w:rPr>
            </w:pPr>
            <w:r>
              <w:rPr>
                <w:color w:val="auto"/>
              </w:rPr>
              <w:t>1</w:t>
            </w:r>
          </w:p>
        </w:tc>
        <w:tc>
          <w:tcPr>
            <w:tcW w:w="1623" w:type="dxa"/>
            <w:tcBorders>
              <w:bottom w:val="single" w:color="000000" w:sz="4" w:space="0"/>
              <w:right w:val="single" w:color="000000" w:sz="4" w:space="0"/>
            </w:tcBorders>
            <w:vAlign w:val="center"/>
          </w:tcPr>
          <w:p w14:paraId="6DA359F9">
            <w:pPr>
              <w:spacing w:line="560" w:lineRule="exact"/>
              <w:jc w:val="center"/>
              <w:rPr>
                <w:color w:val="auto"/>
                <w:sz w:val="28"/>
              </w:rPr>
            </w:pPr>
          </w:p>
        </w:tc>
        <w:tc>
          <w:tcPr>
            <w:tcW w:w="2160" w:type="dxa"/>
            <w:tcBorders>
              <w:bottom w:val="single" w:color="000000" w:sz="4" w:space="0"/>
            </w:tcBorders>
            <w:vAlign w:val="center"/>
          </w:tcPr>
          <w:p w14:paraId="36C4D99F">
            <w:pPr>
              <w:spacing w:line="560" w:lineRule="exact"/>
              <w:jc w:val="left"/>
              <w:rPr>
                <w:color w:val="auto"/>
                <w:sz w:val="28"/>
              </w:rPr>
            </w:pPr>
          </w:p>
        </w:tc>
        <w:tc>
          <w:tcPr>
            <w:tcW w:w="780" w:type="dxa"/>
            <w:tcBorders>
              <w:bottom w:val="single" w:color="000000" w:sz="4" w:space="0"/>
              <w:right w:val="single" w:color="000000" w:sz="4" w:space="0"/>
            </w:tcBorders>
            <w:vAlign w:val="center"/>
          </w:tcPr>
          <w:p w14:paraId="0B7B7D8F">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7301AA29">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35475343">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25D3381B">
            <w:pPr>
              <w:spacing w:line="560" w:lineRule="exact"/>
              <w:jc w:val="center"/>
              <w:rPr>
                <w:color w:val="auto"/>
                <w:sz w:val="28"/>
              </w:rPr>
            </w:pPr>
          </w:p>
        </w:tc>
      </w:tr>
      <w:tr w14:paraId="0AE5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624BD59D">
            <w:pPr>
              <w:spacing w:line="560" w:lineRule="exact"/>
              <w:jc w:val="center"/>
              <w:rPr>
                <w:color w:val="auto"/>
                <w:sz w:val="28"/>
              </w:rPr>
            </w:pPr>
            <w:r>
              <w:rPr>
                <w:color w:val="auto"/>
              </w:rPr>
              <w:t>2</w:t>
            </w:r>
          </w:p>
        </w:tc>
        <w:tc>
          <w:tcPr>
            <w:tcW w:w="1623" w:type="dxa"/>
            <w:tcBorders>
              <w:bottom w:val="single" w:color="000000" w:sz="4" w:space="0"/>
              <w:right w:val="single" w:color="000000" w:sz="4" w:space="0"/>
            </w:tcBorders>
            <w:vAlign w:val="center"/>
          </w:tcPr>
          <w:p w14:paraId="67F0E571">
            <w:pPr>
              <w:spacing w:line="560" w:lineRule="exact"/>
              <w:jc w:val="center"/>
              <w:rPr>
                <w:color w:val="auto"/>
                <w:sz w:val="28"/>
              </w:rPr>
            </w:pPr>
          </w:p>
        </w:tc>
        <w:tc>
          <w:tcPr>
            <w:tcW w:w="2160" w:type="dxa"/>
            <w:tcBorders>
              <w:bottom w:val="single" w:color="000000" w:sz="4" w:space="0"/>
            </w:tcBorders>
            <w:vAlign w:val="center"/>
          </w:tcPr>
          <w:p w14:paraId="2BE5BD93">
            <w:pPr>
              <w:spacing w:line="560" w:lineRule="exact"/>
              <w:jc w:val="left"/>
              <w:rPr>
                <w:color w:val="auto"/>
                <w:sz w:val="28"/>
              </w:rPr>
            </w:pPr>
          </w:p>
        </w:tc>
        <w:tc>
          <w:tcPr>
            <w:tcW w:w="780" w:type="dxa"/>
            <w:tcBorders>
              <w:bottom w:val="single" w:color="000000" w:sz="4" w:space="0"/>
              <w:right w:val="single" w:color="000000" w:sz="4" w:space="0"/>
            </w:tcBorders>
            <w:vAlign w:val="center"/>
          </w:tcPr>
          <w:p w14:paraId="3F7C395A">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3EEF0A1B">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32B9D624">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7773DAED">
            <w:pPr>
              <w:spacing w:line="560" w:lineRule="exact"/>
              <w:jc w:val="center"/>
              <w:rPr>
                <w:color w:val="auto"/>
                <w:sz w:val="28"/>
              </w:rPr>
            </w:pPr>
          </w:p>
        </w:tc>
      </w:tr>
      <w:tr w14:paraId="2BE1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093F6358">
            <w:pPr>
              <w:spacing w:line="560" w:lineRule="exact"/>
              <w:jc w:val="center"/>
              <w:rPr>
                <w:color w:val="auto"/>
                <w:sz w:val="28"/>
              </w:rPr>
            </w:pPr>
            <w:r>
              <w:rPr>
                <w:color w:val="auto"/>
              </w:rPr>
              <w:t>3</w:t>
            </w:r>
          </w:p>
        </w:tc>
        <w:tc>
          <w:tcPr>
            <w:tcW w:w="1623" w:type="dxa"/>
            <w:tcBorders>
              <w:bottom w:val="single" w:color="000000" w:sz="4" w:space="0"/>
              <w:right w:val="single" w:color="000000" w:sz="4" w:space="0"/>
            </w:tcBorders>
            <w:vAlign w:val="center"/>
          </w:tcPr>
          <w:p w14:paraId="743CE760">
            <w:pPr>
              <w:spacing w:line="560" w:lineRule="exact"/>
              <w:jc w:val="center"/>
              <w:rPr>
                <w:color w:val="auto"/>
                <w:sz w:val="28"/>
              </w:rPr>
            </w:pPr>
          </w:p>
        </w:tc>
        <w:tc>
          <w:tcPr>
            <w:tcW w:w="2160" w:type="dxa"/>
            <w:tcBorders>
              <w:bottom w:val="single" w:color="000000" w:sz="4" w:space="0"/>
            </w:tcBorders>
            <w:vAlign w:val="center"/>
          </w:tcPr>
          <w:p w14:paraId="1C3B9C41">
            <w:pPr>
              <w:spacing w:line="560" w:lineRule="exact"/>
              <w:jc w:val="left"/>
              <w:rPr>
                <w:color w:val="auto"/>
                <w:sz w:val="28"/>
              </w:rPr>
            </w:pPr>
          </w:p>
        </w:tc>
        <w:tc>
          <w:tcPr>
            <w:tcW w:w="780" w:type="dxa"/>
            <w:tcBorders>
              <w:bottom w:val="single" w:color="000000" w:sz="4" w:space="0"/>
              <w:right w:val="single" w:color="000000" w:sz="4" w:space="0"/>
            </w:tcBorders>
            <w:vAlign w:val="center"/>
          </w:tcPr>
          <w:p w14:paraId="2157B5FD">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6C7D5C08">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24D672E2">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0607943F">
            <w:pPr>
              <w:spacing w:line="560" w:lineRule="exact"/>
              <w:jc w:val="center"/>
              <w:rPr>
                <w:color w:val="auto"/>
                <w:sz w:val="28"/>
              </w:rPr>
            </w:pPr>
          </w:p>
        </w:tc>
      </w:tr>
      <w:tr w14:paraId="01B6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43875276">
            <w:pPr>
              <w:spacing w:line="560" w:lineRule="exact"/>
              <w:jc w:val="center"/>
              <w:rPr>
                <w:color w:val="auto"/>
                <w:sz w:val="28"/>
              </w:rPr>
            </w:pPr>
            <w:r>
              <w:rPr>
                <w:color w:val="auto"/>
              </w:rPr>
              <w:t>4</w:t>
            </w:r>
          </w:p>
        </w:tc>
        <w:tc>
          <w:tcPr>
            <w:tcW w:w="1623" w:type="dxa"/>
            <w:tcBorders>
              <w:bottom w:val="single" w:color="000000" w:sz="4" w:space="0"/>
              <w:right w:val="single" w:color="000000" w:sz="4" w:space="0"/>
            </w:tcBorders>
            <w:vAlign w:val="center"/>
          </w:tcPr>
          <w:p w14:paraId="7352D027">
            <w:pPr>
              <w:spacing w:line="560" w:lineRule="exact"/>
              <w:jc w:val="center"/>
              <w:rPr>
                <w:color w:val="auto"/>
                <w:sz w:val="28"/>
              </w:rPr>
            </w:pPr>
          </w:p>
        </w:tc>
        <w:tc>
          <w:tcPr>
            <w:tcW w:w="2160" w:type="dxa"/>
            <w:tcBorders>
              <w:bottom w:val="single" w:color="000000" w:sz="4" w:space="0"/>
            </w:tcBorders>
            <w:vAlign w:val="center"/>
          </w:tcPr>
          <w:p w14:paraId="6213492A">
            <w:pPr>
              <w:spacing w:line="560" w:lineRule="exact"/>
              <w:jc w:val="center"/>
              <w:rPr>
                <w:color w:val="auto"/>
                <w:sz w:val="28"/>
              </w:rPr>
            </w:pPr>
          </w:p>
        </w:tc>
        <w:tc>
          <w:tcPr>
            <w:tcW w:w="780" w:type="dxa"/>
            <w:tcBorders>
              <w:bottom w:val="single" w:color="000000" w:sz="4" w:space="0"/>
              <w:right w:val="single" w:color="000000" w:sz="4" w:space="0"/>
            </w:tcBorders>
            <w:vAlign w:val="center"/>
          </w:tcPr>
          <w:p w14:paraId="254837FB">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0A4D5815">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500D9172">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43C81524">
            <w:pPr>
              <w:spacing w:line="560" w:lineRule="exact"/>
              <w:jc w:val="center"/>
              <w:rPr>
                <w:color w:val="auto"/>
                <w:sz w:val="28"/>
              </w:rPr>
            </w:pPr>
          </w:p>
        </w:tc>
      </w:tr>
      <w:tr w14:paraId="597E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14:paraId="2B8579FB">
            <w:pPr>
              <w:spacing w:line="560" w:lineRule="exact"/>
              <w:jc w:val="center"/>
              <w:rPr>
                <w:color w:val="auto"/>
                <w:sz w:val="28"/>
              </w:rPr>
            </w:pPr>
            <w:r>
              <w:rPr>
                <w:color w:val="auto"/>
              </w:rPr>
              <w:t>5</w:t>
            </w:r>
          </w:p>
        </w:tc>
        <w:tc>
          <w:tcPr>
            <w:tcW w:w="1623" w:type="dxa"/>
            <w:tcBorders>
              <w:bottom w:val="single" w:color="000000" w:sz="4" w:space="0"/>
              <w:right w:val="single" w:color="000000" w:sz="4" w:space="0"/>
            </w:tcBorders>
            <w:vAlign w:val="center"/>
          </w:tcPr>
          <w:p w14:paraId="6B947902">
            <w:pPr>
              <w:spacing w:line="560" w:lineRule="exact"/>
              <w:jc w:val="center"/>
              <w:rPr>
                <w:color w:val="auto"/>
                <w:sz w:val="28"/>
              </w:rPr>
            </w:pPr>
          </w:p>
        </w:tc>
        <w:tc>
          <w:tcPr>
            <w:tcW w:w="2160" w:type="dxa"/>
            <w:tcBorders>
              <w:bottom w:val="single" w:color="000000" w:sz="4" w:space="0"/>
            </w:tcBorders>
            <w:vAlign w:val="center"/>
          </w:tcPr>
          <w:p w14:paraId="45585FFF">
            <w:pPr>
              <w:spacing w:line="560" w:lineRule="exact"/>
              <w:jc w:val="center"/>
              <w:rPr>
                <w:color w:val="auto"/>
                <w:sz w:val="28"/>
              </w:rPr>
            </w:pPr>
          </w:p>
        </w:tc>
        <w:tc>
          <w:tcPr>
            <w:tcW w:w="780" w:type="dxa"/>
            <w:tcBorders>
              <w:bottom w:val="single" w:color="000000" w:sz="4" w:space="0"/>
              <w:right w:val="single" w:color="000000" w:sz="4" w:space="0"/>
            </w:tcBorders>
            <w:vAlign w:val="center"/>
          </w:tcPr>
          <w:p w14:paraId="71F61F3C">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5D08E7D4">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60440F9E">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6A97362F">
            <w:pPr>
              <w:spacing w:line="560" w:lineRule="exact"/>
              <w:jc w:val="center"/>
              <w:rPr>
                <w:color w:val="auto"/>
                <w:sz w:val="28"/>
              </w:rPr>
            </w:pPr>
          </w:p>
        </w:tc>
      </w:tr>
      <w:tr w14:paraId="1A5A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4E860D25">
            <w:pPr>
              <w:spacing w:line="560" w:lineRule="exact"/>
              <w:jc w:val="center"/>
              <w:rPr>
                <w:color w:val="auto"/>
                <w:sz w:val="28"/>
              </w:rPr>
            </w:pPr>
            <w:r>
              <w:rPr>
                <w:color w:val="auto"/>
              </w:rPr>
              <w:t>6</w:t>
            </w:r>
          </w:p>
        </w:tc>
        <w:tc>
          <w:tcPr>
            <w:tcW w:w="1623" w:type="dxa"/>
            <w:tcBorders>
              <w:bottom w:val="single" w:color="000000" w:sz="4" w:space="0"/>
              <w:right w:val="single" w:color="000000" w:sz="4" w:space="0"/>
            </w:tcBorders>
            <w:vAlign w:val="center"/>
          </w:tcPr>
          <w:p w14:paraId="64302797">
            <w:pPr>
              <w:spacing w:line="560" w:lineRule="exact"/>
              <w:jc w:val="center"/>
              <w:rPr>
                <w:color w:val="auto"/>
                <w:sz w:val="28"/>
              </w:rPr>
            </w:pPr>
          </w:p>
        </w:tc>
        <w:tc>
          <w:tcPr>
            <w:tcW w:w="2160" w:type="dxa"/>
            <w:tcBorders>
              <w:bottom w:val="single" w:color="000000" w:sz="4" w:space="0"/>
            </w:tcBorders>
            <w:vAlign w:val="center"/>
          </w:tcPr>
          <w:p w14:paraId="792E2212">
            <w:pPr>
              <w:spacing w:line="560" w:lineRule="exact"/>
              <w:jc w:val="center"/>
              <w:rPr>
                <w:color w:val="auto"/>
                <w:sz w:val="28"/>
              </w:rPr>
            </w:pPr>
          </w:p>
        </w:tc>
        <w:tc>
          <w:tcPr>
            <w:tcW w:w="780" w:type="dxa"/>
            <w:tcBorders>
              <w:bottom w:val="single" w:color="000000" w:sz="4" w:space="0"/>
              <w:right w:val="single" w:color="000000" w:sz="4" w:space="0"/>
            </w:tcBorders>
            <w:vAlign w:val="center"/>
          </w:tcPr>
          <w:p w14:paraId="6E556A40">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6582953D">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78D2A368">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1CDFBBE9">
            <w:pPr>
              <w:spacing w:line="560" w:lineRule="exact"/>
              <w:jc w:val="center"/>
              <w:rPr>
                <w:color w:val="auto"/>
                <w:sz w:val="28"/>
              </w:rPr>
            </w:pPr>
          </w:p>
        </w:tc>
      </w:tr>
      <w:tr w14:paraId="0B33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53678B3D">
            <w:pPr>
              <w:spacing w:line="560" w:lineRule="exact"/>
              <w:jc w:val="center"/>
              <w:rPr>
                <w:color w:val="auto"/>
                <w:sz w:val="28"/>
              </w:rPr>
            </w:pPr>
            <w:r>
              <w:rPr>
                <w:color w:val="auto"/>
              </w:rPr>
              <w:t>7</w:t>
            </w:r>
          </w:p>
        </w:tc>
        <w:tc>
          <w:tcPr>
            <w:tcW w:w="1623" w:type="dxa"/>
            <w:tcBorders>
              <w:bottom w:val="single" w:color="000000" w:sz="4" w:space="0"/>
              <w:right w:val="single" w:color="000000" w:sz="4" w:space="0"/>
            </w:tcBorders>
            <w:vAlign w:val="center"/>
          </w:tcPr>
          <w:p w14:paraId="2BAD8A8B">
            <w:pPr>
              <w:spacing w:line="560" w:lineRule="exact"/>
              <w:jc w:val="center"/>
              <w:rPr>
                <w:color w:val="auto"/>
                <w:sz w:val="28"/>
              </w:rPr>
            </w:pPr>
          </w:p>
        </w:tc>
        <w:tc>
          <w:tcPr>
            <w:tcW w:w="2160" w:type="dxa"/>
            <w:tcBorders>
              <w:bottom w:val="single" w:color="000000" w:sz="4" w:space="0"/>
            </w:tcBorders>
            <w:vAlign w:val="center"/>
          </w:tcPr>
          <w:p w14:paraId="0574D334">
            <w:pPr>
              <w:spacing w:line="560" w:lineRule="exact"/>
              <w:jc w:val="center"/>
              <w:rPr>
                <w:color w:val="auto"/>
                <w:sz w:val="28"/>
              </w:rPr>
            </w:pPr>
          </w:p>
        </w:tc>
        <w:tc>
          <w:tcPr>
            <w:tcW w:w="780" w:type="dxa"/>
            <w:tcBorders>
              <w:bottom w:val="single" w:color="000000" w:sz="4" w:space="0"/>
              <w:right w:val="single" w:color="000000" w:sz="4" w:space="0"/>
            </w:tcBorders>
            <w:vAlign w:val="center"/>
          </w:tcPr>
          <w:p w14:paraId="7E614487">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2383D3EA">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355734FF">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48A724AB">
            <w:pPr>
              <w:spacing w:line="560" w:lineRule="exact"/>
              <w:jc w:val="center"/>
              <w:rPr>
                <w:color w:val="auto"/>
                <w:sz w:val="28"/>
              </w:rPr>
            </w:pPr>
          </w:p>
        </w:tc>
      </w:tr>
      <w:tr w14:paraId="7CFA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1F27CEB0">
            <w:pPr>
              <w:spacing w:line="560" w:lineRule="exact"/>
              <w:jc w:val="center"/>
              <w:rPr>
                <w:color w:val="auto"/>
                <w:sz w:val="28"/>
              </w:rPr>
            </w:pPr>
            <w:r>
              <w:rPr>
                <w:color w:val="auto"/>
              </w:rPr>
              <w:t>8</w:t>
            </w:r>
          </w:p>
        </w:tc>
        <w:tc>
          <w:tcPr>
            <w:tcW w:w="1623" w:type="dxa"/>
            <w:tcBorders>
              <w:bottom w:val="single" w:color="000000" w:sz="4" w:space="0"/>
              <w:right w:val="single" w:color="000000" w:sz="4" w:space="0"/>
            </w:tcBorders>
            <w:vAlign w:val="center"/>
          </w:tcPr>
          <w:p w14:paraId="5DFCDFE8">
            <w:pPr>
              <w:spacing w:line="560" w:lineRule="exact"/>
              <w:jc w:val="center"/>
              <w:rPr>
                <w:color w:val="auto"/>
                <w:sz w:val="28"/>
              </w:rPr>
            </w:pPr>
          </w:p>
        </w:tc>
        <w:tc>
          <w:tcPr>
            <w:tcW w:w="2160" w:type="dxa"/>
            <w:tcBorders>
              <w:bottom w:val="single" w:color="000000" w:sz="4" w:space="0"/>
            </w:tcBorders>
            <w:vAlign w:val="center"/>
          </w:tcPr>
          <w:p w14:paraId="5386694C">
            <w:pPr>
              <w:spacing w:line="560" w:lineRule="exact"/>
              <w:jc w:val="center"/>
              <w:rPr>
                <w:color w:val="auto"/>
                <w:sz w:val="28"/>
              </w:rPr>
            </w:pPr>
          </w:p>
        </w:tc>
        <w:tc>
          <w:tcPr>
            <w:tcW w:w="780" w:type="dxa"/>
            <w:tcBorders>
              <w:bottom w:val="single" w:color="000000" w:sz="4" w:space="0"/>
              <w:right w:val="single" w:color="000000" w:sz="4" w:space="0"/>
            </w:tcBorders>
            <w:vAlign w:val="center"/>
          </w:tcPr>
          <w:p w14:paraId="5384BB27">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7C3BB595">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1D1EC2DE">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50A38630">
            <w:pPr>
              <w:spacing w:line="560" w:lineRule="exact"/>
              <w:jc w:val="center"/>
              <w:rPr>
                <w:color w:val="auto"/>
                <w:sz w:val="28"/>
              </w:rPr>
            </w:pPr>
          </w:p>
        </w:tc>
      </w:tr>
      <w:tr w14:paraId="266B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14:paraId="270C68C5">
            <w:pPr>
              <w:spacing w:line="560" w:lineRule="exact"/>
              <w:jc w:val="center"/>
              <w:rPr>
                <w:color w:val="auto"/>
                <w:sz w:val="28"/>
              </w:rPr>
            </w:pPr>
            <w:r>
              <w:rPr>
                <w:color w:val="auto"/>
              </w:rPr>
              <w:t>9</w:t>
            </w:r>
          </w:p>
        </w:tc>
        <w:tc>
          <w:tcPr>
            <w:tcW w:w="1623" w:type="dxa"/>
            <w:tcBorders>
              <w:bottom w:val="single" w:color="000000" w:sz="4" w:space="0"/>
              <w:right w:val="single" w:color="000000" w:sz="4" w:space="0"/>
            </w:tcBorders>
            <w:vAlign w:val="center"/>
          </w:tcPr>
          <w:p w14:paraId="2986B068">
            <w:pPr>
              <w:spacing w:line="560" w:lineRule="exact"/>
              <w:jc w:val="center"/>
              <w:rPr>
                <w:color w:val="auto"/>
                <w:sz w:val="28"/>
              </w:rPr>
            </w:pPr>
          </w:p>
        </w:tc>
        <w:tc>
          <w:tcPr>
            <w:tcW w:w="2160" w:type="dxa"/>
            <w:tcBorders>
              <w:bottom w:val="single" w:color="000000" w:sz="4" w:space="0"/>
            </w:tcBorders>
            <w:vAlign w:val="center"/>
          </w:tcPr>
          <w:p w14:paraId="0D69EE6B">
            <w:pPr>
              <w:spacing w:line="560" w:lineRule="exact"/>
              <w:jc w:val="center"/>
              <w:rPr>
                <w:color w:val="auto"/>
                <w:sz w:val="28"/>
              </w:rPr>
            </w:pPr>
          </w:p>
        </w:tc>
        <w:tc>
          <w:tcPr>
            <w:tcW w:w="780" w:type="dxa"/>
            <w:tcBorders>
              <w:bottom w:val="single" w:color="000000" w:sz="4" w:space="0"/>
              <w:right w:val="single" w:color="000000" w:sz="4" w:space="0"/>
            </w:tcBorders>
            <w:vAlign w:val="center"/>
          </w:tcPr>
          <w:p w14:paraId="5FAA60BF">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1B09DBA5">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4B5BE4C7">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5F048858">
            <w:pPr>
              <w:spacing w:line="560" w:lineRule="exact"/>
              <w:jc w:val="center"/>
              <w:rPr>
                <w:color w:val="auto"/>
                <w:sz w:val="28"/>
              </w:rPr>
            </w:pPr>
          </w:p>
        </w:tc>
      </w:tr>
      <w:tr w14:paraId="1F09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14:paraId="51CBC8DD">
            <w:pPr>
              <w:spacing w:line="560" w:lineRule="exact"/>
              <w:jc w:val="center"/>
              <w:rPr>
                <w:color w:val="auto"/>
                <w:sz w:val="28"/>
              </w:rPr>
            </w:pPr>
            <w:r>
              <w:rPr>
                <w:color w:val="auto"/>
              </w:rPr>
              <w:t>......</w:t>
            </w:r>
          </w:p>
        </w:tc>
        <w:tc>
          <w:tcPr>
            <w:tcW w:w="1623" w:type="dxa"/>
            <w:tcBorders>
              <w:bottom w:val="single" w:color="000000" w:sz="4" w:space="0"/>
              <w:right w:val="single" w:color="000000" w:sz="4" w:space="0"/>
            </w:tcBorders>
            <w:vAlign w:val="center"/>
          </w:tcPr>
          <w:p w14:paraId="6373057B">
            <w:pPr>
              <w:spacing w:line="560" w:lineRule="exact"/>
              <w:jc w:val="center"/>
              <w:rPr>
                <w:color w:val="auto"/>
                <w:sz w:val="28"/>
              </w:rPr>
            </w:pPr>
          </w:p>
        </w:tc>
        <w:tc>
          <w:tcPr>
            <w:tcW w:w="2160" w:type="dxa"/>
            <w:tcBorders>
              <w:bottom w:val="single" w:color="000000" w:sz="4" w:space="0"/>
            </w:tcBorders>
            <w:vAlign w:val="center"/>
          </w:tcPr>
          <w:p w14:paraId="590F8493">
            <w:pPr>
              <w:spacing w:line="560" w:lineRule="exact"/>
              <w:jc w:val="center"/>
              <w:rPr>
                <w:color w:val="auto"/>
                <w:sz w:val="28"/>
              </w:rPr>
            </w:pPr>
          </w:p>
        </w:tc>
        <w:tc>
          <w:tcPr>
            <w:tcW w:w="780" w:type="dxa"/>
            <w:tcBorders>
              <w:bottom w:val="single" w:color="000000" w:sz="4" w:space="0"/>
              <w:right w:val="single" w:color="000000" w:sz="4" w:space="0"/>
            </w:tcBorders>
            <w:vAlign w:val="center"/>
          </w:tcPr>
          <w:p w14:paraId="3FEAA762">
            <w:pPr>
              <w:spacing w:line="560" w:lineRule="exact"/>
              <w:jc w:val="center"/>
              <w:rPr>
                <w:color w:val="auto"/>
                <w:sz w:val="28"/>
              </w:rPr>
            </w:pPr>
          </w:p>
        </w:tc>
        <w:tc>
          <w:tcPr>
            <w:tcW w:w="749" w:type="dxa"/>
            <w:tcBorders>
              <w:bottom w:val="single" w:color="000000" w:sz="4" w:space="0"/>
              <w:right w:val="single" w:color="000000" w:sz="4" w:space="0"/>
            </w:tcBorders>
            <w:vAlign w:val="center"/>
          </w:tcPr>
          <w:p w14:paraId="395A8905">
            <w:pPr>
              <w:spacing w:line="560" w:lineRule="exact"/>
              <w:jc w:val="center"/>
              <w:rPr>
                <w:color w:val="auto"/>
                <w:sz w:val="28"/>
              </w:rPr>
            </w:pPr>
          </w:p>
        </w:tc>
        <w:tc>
          <w:tcPr>
            <w:tcW w:w="1134" w:type="dxa"/>
            <w:tcBorders>
              <w:bottom w:val="single" w:color="000000" w:sz="4" w:space="0"/>
              <w:right w:val="single" w:color="000000" w:sz="4" w:space="0"/>
            </w:tcBorders>
            <w:vAlign w:val="center"/>
          </w:tcPr>
          <w:p w14:paraId="345299A0">
            <w:pPr>
              <w:spacing w:line="560" w:lineRule="exact"/>
              <w:jc w:val="center"/>
              <w:rPr>
                <w:color w:val="auto"/>
                <w:sz w:val="28"/>
              </w:rPr>
            </w:pPr>
          </w:p>
        </w:tc>
        <w:tc>
          <w:tcPr>
            <w:tcW w:w="2268" w:type="dxa"/>
            <w:tcBorders>
              <w:bottom w:val="single" w:color="000000" w:sz="4" w:space="0"/>
              <w:right w:val="single" w:color="000000" w:sz="8" w:space="0"/>
            </w:tcBorders>
            <w:vAlign w:val="center"/>
          </w:tcPr>
          <w:p w14:paraId="2879489E">
            <w:pPr>
              <w:spacing w:line="560" w:lineRule="exact"/>
              <w:jc w:val="center"/>
              <w:rPr>
                <w:color w:val="auto"/>
                <w:sz w:val="28"/>
              </w:rPr>
            </w:pPr>
          </w:p>
        </w:tc>
      </w:tr>
      <w:tr w14:paraId="63F6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179" w:type="dxa"/>
            <w:gridSpan w:val="7"/>
            <w:tcBorders>
              <w:left w:val="single" w:color="000000" w:sz="8" w:space="0"/>
              <w:bottom w:val="single" w:color="000000" w:sz="8" w:space="0"/>
              <w:right w:val="single" w:color="000000" w:sz="8" w:space="0"/>
            </w:tcBorders>
            <w:vAlign w:val="center"/>
          </w:tcPr>
          <w:p w14:paraId="7EDE30B2">
            <w:pPr>
              <w:spacing w:line="560" w:lineRule="exact"/>
              <w:jc w:val="left"/>
              <w:rPr>
                <w:color w:val="auto"/>
              </w:rPr>
            </w:pPr>
            <w:r>
              <w:rPr>
                <w:rFonts w:hint="eastAsia"/>
                <w:color w:val="auto"/>
              </w:rPr>
              <w:t>磋商报价：</w:t>
            </w:r>
            <w:r>
              <w:rPr>
                <w:color w:val="auto"/>
              </w:rPr>
              <w:t xml:space="preserve">  </w:t>
            </w:r>
            <w:r>
              <w:rPr>
                <w:rFonts w:hint="eastAsia"/>
                <w:color w:val="auto"/>
              </w:rPr>
              <w:t>拾</w:t>
            </w:r>
            <w:r>
              <w:rPr>
                <w:color w:val="auto"/>
              </w:rPr>
              <w:t xml:space="preserve">  </w:t>
            </w:r>
            <w:r>
              <w:rPr>
                <w:rFonts w:hint="eastAsia"/>
                <w:color w:val="auto"/>
              </w:rPr>
              <w:t>万</w:t>
            </w:r>
            <w:r>
              <w:rPr>
                <w:color w:val="auto"/>
              </w:rPr>
              <w:t xml:space="preserve">  </w:t>
            </w:r>
            <w:r>
              <w:rPr>
                <w:rFonts w:hint="eastAsia"/>
                <w:color w:val="auto"/>
              </w:rPr>
              <w:t>仟</w:t>
            </w:r>
            <w:r>
              <w:rPr>
                <w:color w:val="auto"/>
              </w:rPr>
              <w:t xml:space="preserve">  </w:t>
            </w:r>
            <w:r>
              <w:rPr>
                <w:rFonts w:hint="eastAsia"/>
                <w:color w:val="auto"/>
              </w:rPr>
              <w:t>佰</w:t>
            </w:r>
            <w:r>
              <w:rPr>
                <w:color w:val="auto"/>
              </w:rPr>
              <w:t xml:space="preserve">  </w:t>
            </w:r>
            <w:r>
              <w:rPr>
                <w:rFonts w:hint="eastAsia"/>
                <w:color w:val="auto"/>
              </w:rPr>
              <w:t>拾</w:t>
            </w:r>
            <w:r>
              <w:rPr>
                <w:color w:val="auto"/>
              </w:rPr>
              <w:t xml:space="preserve">  </w:t>
            </w:r>
            <w:r>
              <w:rPr>
                <w:rFonts w:hint="eastAsia"/>
                <w:color w:val="auto"/>
              </w:rPr>
              <w:t>元</w:t>
            </w:r>
            <w:r>
              <w:rPr>
                <w:color w:val="auto"/>
              </w:rPr>
              <w:t xml:space="preserve">  </w:t>
            </w:r>
            <w:r>
              <w:rPr>
                <w:rFonts w:hint="eastAsia"/>
                <w:color w:val="auto"/>
              </w:rPr>
              <w:t>整</w:t>
            </w:r>
          </w:p>
          <w:p w14:paraId="0AB3653D">
            <w:pPr>
              <w:spacing w:line="560" w:lineRule="exact"/>
              <w:jc w:val="center"/>
              <w:rPr>
                <w:color w:val="auto"/>
                <w:sz w:val="28"/>
              </w:rPr>
            </w:pPr>
            <w:r>
              <w:rPr>
                <w:rFonts w:hint="eastAsia"/>
                <w:color w:val="auto"/>
              </w:rPr>
              <w:t>（小写：￥　</w:t>
            </w:r>
            <w:r>
              <w:rPr>
                <w:color w:val="auto"/>
              </w:rPr>
              <w:t xml:space="preserve">      </w:t>
            </w:r>
            <w:r>
              <w:rPr>
                <w:rFonts w:hint="eastAsia"/>
                <w:color w:val="auto"/>
              </w:rPr>
              <w:t>　　　元）</w:t>
            </w:r>
          </w:p>
        </w:tc>
      </w:tr>
    </w:tbl>
    <w:p w14:paraId="51ACDB2D">
      <w:pPr>
        <w:widowControl w:val="0"/>
        <w:tabs>
          <w:tab w:val="left" w:pos="9365"/>
        </w:tabs>
        <w:snapToGrid w:val="0"/>
        <w:spacing w:after="56" w:line="360" w:lineRule="exact"/>
        <w:ind w:right="85" w:firstLine="601"/>
        <w:textAlignment w:val="top"/>
        <w:rPr>
          <w:color w:val="auto"/>
        </w:rPr>
      </w:pPr>
    </w:p>
    <w:p w14:paraId="07E2A5BD">
      <w:pPr>
        <w:widowControl w:val="0"/>
        <w:tabs>
          <w:tab w:val="left" w:pos="9365"/>
        </w:tabs>
        <w:snapToGrid w:val="0"/>
        <w:spacing w:after="56" w:line="360" w:lineRule="exact"/>
        <w:ind w:right="85" w:firstLine="601"/>
        <w:textAlignment w:val="top"/>
        <w:rPr>
          <w:color w:val="auto"/>
        </w:rPr>
      </w:pPr>
    </w:p>
    <w:p w14:paraId="59BA1C11">
      <w:pPr>
        <w:widowControl w:val="0"/>
        <w:tabs>
          <w:tab w:val="left" w:pos="9365"/>
        </w:tabs>
        <w:snapToGrid w:val="0"/>
        <w:spacing w:after="56" w:line="360" w:lineRule="exact"/>
        <w:ind w:right="85" w:firstLine="601"/>
        <w:textAlignment w:val="top"/>
        <w:rPr>
          <w:b/>
          <w:color w:val="auto"/>
        </w:rPr>
      </w:pPr>
    </w:p>
    <w:p w14:paraId="34420598">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6A08472B">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1C5C50BE">
      <w:pPr>
        <w:spacing w:line="240" w:lineRule="auto"/>
        <w:jc w:val="left"/>
        <w:textAlignment w:val="auto"/>
        <w:rPr>
          <w:color w:val="auto"/>
          <w:sz w:val="24"/>
          <w:szCs w:val="24"/>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r>
        <w:rPr>
          <w:color w:val="auto"/>
          <w:sz w:val="28"/>
        </w:rPr>
        <w:br w:type="page"/>
      </w:r>
    </w:p>
    <w:p w14:paraId="26267B2A">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四、服务方案及服务质量承诺（格式自拟）</w:t>
      </w:r>
    </w:p>
    <w:p w14:paraId="710A27F0">
      <w:pPr>
        <w:spacing w:line="240" w:lineRule="auto"/>
        <w:jc w:val="left"/>
        <w:textAlignment w:val="auto"/>
        <w:rPr>
          <w:color w:val="auto"/>
          <w:sz w:val="24"/>
          <w:szCs w:val="24"/>
        </w:rPr>
      </w:pPr>
    </w:p>
    <w:p w14:paraId="132DF16B">
      <w:pPr>
        <w:pStyle w:val="15"/>
        <w:adjustRightInd w:val="0"/>
        <w:snapToGrid w:val="0"/>
        <w:spacing w:before="0" w:beforeAutospacing="0" w:after="0" w:afterAutospacing="0"/>
        <w:rPr>
          <w:color w:val="auto"/>
          <w:u w:val="single"/>
        </w:rPr>
      </w:pPr>
      <w:r>
        <w:rPr>
          <w:rFonts w:hint="eastAsia"/>
          <w:color w:val="auto"/>
        </w:rPr>
        <w:t>项目名称：</w:t>
      </w:r>
    </w:p>
    <w:p w14:paraId="5F92796B">
      <w:pPr>
        <w:pStyle w:val="15"/>
        <w:adjustRightInd w:val="0"/>
        <w:snapToGrid w:val="0"/>
        <w:spacing w:before="0" w:beforeAutospacing="0" w:after="0" w:afterAutospacing="0"/>
        <w:rPr>
          <w:color w:val="auto"/>
        </w:rPr>
      </w:pPr>
      <w:r>
        <w:rPr>
          <w:rFonts w:hint="eastAsia"/>
          <w:color w:val="auto"/>
        </w:rPr>
        <w:t>项目编号：</w:t>
      </w:r>
    </w:p>
    <w:p w14:paraId="60A0703E">
      <w:pPr>
        <w:widowControl w:val="0"/>
        <w:snapToGrid w:val="0"/>
        <w:spacing w:line="560" w:lineRule="exact"/>
        <w:jc w:val="center"/>
        <w:rPr>
          <w:color w:val="auto"/>
        </w:rPr>
      </w:pPr>
    </w:p>
    <w:p w14:paraId="0EB59790">
      <w:pPr>
        <w:widowControl w:val="0"/>
        <w:snapToGrid w:val="0"/>
        <w:spacing w:line="560" w:lineRule="exact"/>
        <w:jc w:val="center"/>
        <w:rPr>
          <w:color w:val="auto"/>
          <w:sz w:val="28"/>
        </w:rPr>
      </w:pPr>
    </w:p>
    <w:p w14:paraId="55D41BB1">
      <w:pPr>
        <w:widowControl w:val="0"/>
        <w:snapToGrid w:val="0"/>
        <w:spacing w:line="560" w:lineRule="exact"/>
        <w:jc w:val="center"/>
        <w:rPr>
          <w:color w:val="auto"/>
          <w:sz w:val="28"/>
        </w:rPr>
      </w:pPr>
    </w:p>
    <w:p w14:paraId="2F1B3BFC">
      <w:pPr>
        <w:widowControl w:val="0"/>
        <w:snapToGrid w:val="0"/>
        <w:spacing w:line="560" w:lineRule="exact"/>
        <w:jc w:val="center"/>
        <w:rPr>
          <w:color w:val="auto"/>
          <w:sz w:val="28"/>
        </w:rPr>
      </w:pPr>
    </w:p>
    <w:p w14:paraId="28DE6D46">
      <w:pPr>
        <w:widowControl w:val="0"/>
        <w:snapToGrid w:val="0"/>
        <w:spacing w:line="560" w:lineRule="exact"/>
        <w:jc w:val="center"/>
        <w:rPr>
          <w:color w:val="auto"/>
          <w:sz w:val="28"/>
        </w:rPr>
      </w:pPr>
    </w:p>
    <w:p w14:paraId="04E29A70">
      <w:pPr>
        <w:widowControl w:val="0"/>
        <w:snapToGrid w:val="0"/>
        <w:spacing w:line="560" w:lineRule="exact"/>
        <w:jc w:val="center"/>
        <w:rPr>
          <w:color w:val="auto"/>
          <w:sz w:val="28"/>
        </w:rPr>
      </w:pPr>
    </w:p>
    <w:p w14:paraId="4AE18AEA">
      <w:pPr>
        <w:widowControl w:val="0"/>
        <w:snapToGrid w:val="0"/>
        <w:spacing w:line="560" w:lineRule="exact"/>
        <w:jc w:val="center"/>
        <w:rPr>
          <w:color w:val="auto"/>
          <w:sz w:val="28"/>
        </w:rPr>
      </w:pPr>
    </w:p>
    <w:p w14:paraId="394356B3">
      <w:pPr>
        <w:widowControl w:val="0"/>
        <w:snapToGrid w:val="0"/>
        <w:spacing w:line="560" w:lineRule="exact"/>
        <w:jc w:val="center"/>
        <w:rPr>
          <w:color w:val="auto"/>
          <w:sz w:val="28"/>
        </w:rPr>
      </w:pPr>
    </w:p>
    <w:p w14:paraId="2C5D83BF">
      <w:pPr>
        <w:widowControl w:val="0"/>
        <w:snapToGrid w:val="0"/>
        <w:spacing w:line="560" w:lineRule="exact"/>
        <w:jc w:val="center"/>
        <w:rPr>
          <w:color w:val="auto"/>
          <w:sz w:val="28"/>
        </w:rPr>
      </w:pPr>
    </w:p>
    <w:p w14:paraId="23246868">
      <w:pPr>
        <w:widowControl w:val="0"/>
        <w:snapToGrid w:val="0"/>
        <w:spacing w:line="560" w:lineRule="exact"/>
        <w:jc w:val="center"/>
        <w:rPr>
          <w:color w:val="auto"/>
          <w:sz w:val="28"/>
        </w:rPr>
      </w:pPr>
    </w:p>
    <w:p w14:paraId="416E717A">
      <w:pPr>
        <w:widowControl w:val="0"/>
        <w:snapToGrid w:val="0"/>
        <w:spacing w:line="560" w:lineRule="exact"/>
        <w:jc w:val="center"/>
        <w:rPr>
          <w:color w:val="auto"/>
          <w:sz w:val="28"/>
        </w:rPr>
      </w:pPr>
    </w:p>
    <w:p w14:paraId="11E304B9">
      <w:pPr>
        <w:widowControl w:val="0"/>
        <w:snapToGrid w:val="0"/>
        <w:spacing w:line="560" w:lineRule="exact"/>
        <w:jc w:val="center"/>
        <w:rPr>
          <w:color w:val="auto"/>
          <w:sz w:val="28"/>
        </w:rPr>
      </w:pPr>
    </w:p>
    <w:p w14:paraId="6B04F4F5">
      <w:pPr>
        <w:widowControl w:val="0"/>
        <w:snapToGrid w:val="0"/>
        <w:spacing w:line="560" w:lineRule="exact"/>
        <w:jc w:val="center"/>
        <w:rPr>
          <w:color w:val="auto"/>
          <w:sz w:val="28"/>
        </w:rPr>
      </w:pPr>
    </w:p>
    <w:p w14:paraId="584B15AB">
      <w:pPr>
        <w:widowControl w:val="0"/>
        <w:snapToGrid w:val="0"/>
        <w:spacing w:line="560" w:lineRule="exact"/>
        <w:jc w:val="center"/>
        <w:rPr>
          <w:color w:val="auto"/>
          <w:sz w:val="28"/>
        </w:rPr>
      </w:pPr>
    </w:p>
    <w:p w14:paraId="7E27DA62">
      <w:pPr>
        <w:widowControl w:val="0"/>
        <w:snapToGrid w:val="0"/>
        <w:spacing w:line="560" w:lineRule="exact"/>
        <w:jc w:val="center"/>
        <w:rPr>
          <w:color w:val="auto"/>
          <w:sz w:val="28"/>
        </w:rPr>
      </w:pPr>
    </w:p>
    <w:p w14:paraId="7FC74D1A">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3F6782A8">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0BDC2331">
      <w:pPr>
        <w:spacing w:line="240" w:lineRule="auto"/>
        <w:rPr>
          <w:color w:val="auto"/>
          <w:sz w:val="24"/>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2E776E75">
      <w:pPr>
        <w:spacing w:line="240" w:lineRule="auto"/>
        <w:jc w:val="left"/>
        <w:textAlignment w:val="auto"/>
        <w:rPr>
          <w:rFonts w:eastAsia="方正黑体简体"/>
          <w:b/>
          <w:color w:val="auto"/>
          <w:sz w:val="24"/>
          <w:szCs w:val="24"/>
        </w:rPr>
      </w:pPr>
      <w:r>
        <w:rPr>
          <w:rFonts w:eastAsia="方正黑体简体"/>
          <w:b/>
          <w:color w:val="auto"/>
          <w:sz w:val="30"/>
          <w:szCs w:val="30"/>
        </w:rPr>
        <w:br w:type="page"/>
      </w:r>
    </w:p>
    <w:p w14:paraId="5A31BC75">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五、服务拟投入人员情况表（格式自拟）</w:t>
      </w:r>
    </w:p>
    <w:p w14:paraId="74C6A715">
      <w:pPr>
        <w:spacing w:line="240" w:lineRule="auto"/>
        <w:jc w:val="left"/>
        <w:textAlignment w:val="auto"/>
        <w:rPr>
          <w:rFonts w:ascii="Adobe 宋体 Std L" w:hAnsi="Adobe 宋体 Std L" w:eastAsia="Adobe 宋体 Std L"/>
          <w:b/>
          <w:color w:val="auto"/>
          <w:sz w:val="24"/>
          <w:szCs w:val="24"/>
        </w:rPr>
      </w:pPr>
    </w:p>
    <w:p w14:paraId="73936CE8">
      <w:pPr>
        <w:pStyle w:val="15"/>
        <w:adjustRightInd w:val="0"/>
        <w:snapToGrid w:val="0"/>
        <w:spacing w:before="0" w:beforeAutospacing="0" w:after="0" w:afterAutospacing="0"/>
        <w:rPr>
          <w:color w:val="auto"/>
          <w:u w:val="single"/>
        </w:rPr>
      </w:pPr>
      <w:r>
        <w:rPr>
          <w:rFonts w:hint="eastAsia"/>
          <w:color w:val="auto"/>
        </w:rPr>
        <w:t>项目名称：</w:t>
      </w:r>
    </w:p>
    <w:p w14:paraId="6A8C005C">
      <w:pPr>
        <w:pStyle w:val="15"/>
        <w:adjustRightInd w:val="0"/>
        <w:snapToGrid w:val="0"/>
        <w:spacing w:before="0" w:beforeAutospacing="0" w:after="0" w:afterAutospacing="0"/>
        <w:rPr>
          <w:color w:val="auto"/>
        </w:rPr>
      </w:pPr>
      <w:r>
        <w:rPr>
          <w:rFonts w:hint="eastAsia"/>
          <w:color w:val="auto"/>
        </w:rPr>
        <w:t>项目编号：</w:t>
      </w:r>
    </w:p>
    <w:p w14:paraId="5EFF8281">
      <w:pPr>
        <w:autoSpaceDE w:val="0"/>
        <w:autoSpaceDN w:val="0"/>
        <w:adjustRightInd w:val="0"/>
        <w:spacing w:line="360" w:lineRule="auto"/>
        <w:jc w:val="center"/>
        <w:rPr>
          <w:rFonts w:ascii="宋体"/>
          <w:color w:val="auto"/>
          <w:spacing w:val="8"/>
          <w:szCs w:val="21"/>
        </w:rPr>
      </w:pPr>
    </w:p>
    <w:p w14:paraId="6F56E3FB">
      <w:pPr>
        <w:autoSpaceDE w:val="0"/>
        <w:autoSpaceDN w:val="0"/>
        <w:adjustRightInd w:val="0"/>
        <w:spacing w:line="360" w:lineRule="auto"/>
        <w:jc w:val="center"/>
        <w:rPr>
          <w:rFonts w:ascii="宋体"/>
          <w:color w:val="auto"/>
          <w:spacing w:val="8"/>
          <w:szCs w:val="21"/>
        </w:rPr>
      </w:pPr>
    </w:p>
    <w:p w14:paraId="09DC934D">
      <w:pPr>
        <w:autoSpaceDE w:val="0"/>
        <w:autoSpaceDN w:val="0"/>
        <w:adjustRightInd w:val="0"/>
        <w:spacing w:line="360" w:lineRule="auto"/>
        <w:jc w:val="center"/>
        <w:rPr>
          <w:rFonts w:ascii="宋体"/>
          <w:color w:val="auto"/>
          <w:spacing w:val="8"/>
          <w:szCs w:val="21"/>
        </w:rPr>
      </w:pPr>
    </w:p>
    <w:p w14:paraId="5846A5C3">
      <w:pPr>
        <w:autoSpaceDE w:val="0"/>
        <w:autoSpaceDN w:val="0"/>
        <w:adjustRightInd w:val="0"/>
        <w:spacing w:line="360" w:lineRule="auto"/>
        <w:jc w:val="center"/>
        <w:rPr>
          <w:rFonts w:ascii="宋体"/>
          <w:color w:val="auto"/>
          <w:spacing w:val="8"/>
          <w:szCs w:val="21"/>
        </w:rPr>
      </w:pPr>
    </w:p>
    <w:p w14:paraId="73513A32">
      <w:pPr>
        <w:autoSpaceDE w:val="0"/>
        <w:autoSpaceDN w:val="0"/>
        <w:adjustRightInd w:val="0"/>
        <w:spacing w:line="360" w:lineRule="auto"/>
        <w:jc w:val="center"/>
        <w:rPr>
          <w:rFonts w:ascii="宋体"/>
          <w:color w:val="auto"/>
          <w:spacing w:val="8"/>
          <w:szCs w:val="21"/>
        </w:rPr>
      </w:pPr>
    </w:p>
    <w:p w14:paraId="11F243FB">
      <w:pPr>
        <w:autoSpaceDE w:val="0"/>
        <w:autoSpaceDN w:val="0"/>
        <w:adjustRightInd w:val="0"/>
        <w:spacing w:line="360" w:lineRule="auto"/>
        <w:jc w:val="center"/>
        <w:rPr>
          <w:rFonts w:ascii="宋体"/>
          <w:color w:val="auto"/>
          <w:spacing w:val="8"/>
          <w:szCs w:val="21"/>
        </w:rPr>
      </w:pPr>
    </w:p>
    <w:p w14:paraId="6D9F1C8B">
      <w:pPr>
        <w:autoSpaceDE w:val="0"/>
        <w:autoSpaceDN w:val="0"/>
        <w:adjustRightInd w:val="0"/>
        <w:spacing w:line="360" w:lineRule="auto"/>
        <w:jc w:val="center"/>
        <w:rPr>
          <w:rFonts w:ascii="宋体"/>
          <w:color w:val="auto"/>
          <w:spacing w:val="8"/>
          <w:szCs w:val="21"/>
        </w:rPr>
      </w:pPr>
    </w:p>
    <w:p w14:paraId="66D9DD0E">
      <w:pPr>
        <w:autoSpaceDE w:val="0"/>
        <w:autoSpaceDN w:val="0"/>
        <w:adjustRightInd w:val="0"/>
        <w:spacing w:line="360" w:lineRule="auto"/>
        <w:jc w:val="center"/>
        <w:rPr>
          <w:rFonts w:ascii="宋体"/>
          <w:color w:val="auto"/>
          <w:spacing w:val="8"/>
          <w:szCs w:val="21"/>
        </w:rPr>
      </w:pPr>
    </w:p>
    <w:p w14:paraId="046E4433">
      <w:pPr>
        <w:autoSpaceDE w:val="0"/>
        <w:autoSpaceDN w:val="0"/>
        <w:adjustRightInd w:val="0"/>
        <w:spacing w:line="360" w:lineRule="auto"/>
        <w:jc w:val="center"/>
        <w:rPr>
          <w:rFonts w:ascii="宋体"/>
          <w:color w:val="auto"/>
          <w:spacing w:val="8"/>
          <w:szCs w:val="21"/>
        </w:rPr>
      </w:pPr>
    </w:p>
    <w:p w14:paraId="560BF84E">
      <w:pPr>
        <w:autoSpaceDE w:val="0"/>
        <w:autoSpaceDN w:val="0"/>
        <w:adjustRightInd w:val="0"/>
        <w:spacing w:line="360" w:lineRule="auto"/>
        <w:jc w:val="center"/>
        <w:rPr>
          <w:rFonts w:ascii="宋体"/>
          <w:color w:val="auto"/>
          <w:spacing w:val="8"/>
          <w:szCs w:val="21"/>
        </w:rPr>
      </w:pPr>
    </w:p>
    <w:p w14:paraId="635E99FD">
      <w:pPr>
        <w:autoSpaceDE w:val="0"/>
        <w:autoSpaceDN w:val="0"/>
        <w:adjustRightInd w:val="0"/>
        <w:spacing w:line="360" w:lineRule="auto"/>
        <w:jc w:val="center"/>
        <w:rPr>
          <w:rFonts w:ascii="宋体"/>
          <w:color w:val="auto"/>
          <w:spacing w:val="8"/>
          <w:szCs w:val="21"/>
        </w:rPr>
      </w:pPr>
    </w:p>
    <w:p w14:paraId="7D136CDA">
      <w:pPr>
        <w:autoSpaceDE w:val="0"/>
        <w:autoSpaceDN w:val="0"/>
        <w:adjustRightInd w:val="0"/>
        <w:spacing w:line="360" w:lineRule="auto"/>
        <w:jc w:val="center"/>
        <w:rPr>
          <w:rFonts w:ascii="宋体"/>
          <w:color w:val="auto"/>
          <w:spacing w:val="8"/>
          <w:szCs w:val="21"/>
        </w:rPr>
      </w:pPr>
    </w:p>
    <w:p w14:paraId="6708F859">
      <w:pPr>
        <w:autoSpaceDE w:val="0"/>
        <w:autoSpaceDN w:val="0"/>
        <w:adjustRightInd w:val="0"/>
        <w:spacing w:line="360" w:lineRule="auto"/>
        <w:jc w:val="center"/>
        <w:rPr>
          <w:rFonts w:ascii="宋体"/>
          <w:color w:val="auto"/>
          <w:spacing w:val="8"/>
          <w:szCs w:val="21"/>
        </w:rPr>
      </w:pPr>
    </w:p>
    <w:p w14:paraId="4CBB617E">
      <w:pPr>
        <w:autoSpaceDE w:val="0"/>
        <w:autoSpaceDN w:val="0"/>
        <w:adjustRightInd w:val="0"/>
        <w:spacing w:line="360" w:lineRule="auto"/>
        <w:jc w:val="center"/>
        <w:rPr>
          <w:rFonts w:ascii="宋体"/>
          <w:color w:val="auto"/>
          <w:spacing w:val="8"/>
          <w:szCs w:val="21"/>
        </w:rPr>
      </w:pPr>
    </w:p>
    <w:p w14:paraId="605495D4">
      <w:pPr>
        <w:autoSpaceDE w:val="0"/>
        <w:autoSpaceDN w:val="0"/>
        <w:adjustRightInd w:val="0"/>
        <w:spacing w:line="360" w:lineRule="auto"/>
        <w:jc w:val="center"/>
        <w:rPr>
          <w:rFonts w:ascii="宋体"/>
          <w:color w:val="auto"/>
          <w:spacing w:val="8"/>
          <w:szCs w:val="21"/>
        </w:rPr>
      </w:pPr>
    </w:p>
    <w:p w14:paraId="6A874ED7">
      <w:pPr>
        <w:autoSpaceDE w:val="0"/>
        <w:autoSpaceDN w:val="0"/>
        <w:adjustRightInd w:val="0"/>
        <w:spacing w:line="360" w:lineRule="auto"/>
        <w:jc w:val="center"/>
        <w:rPr>
          <w:rFonts w:ascii="宋体"/>
          <w:color w:val="auto"/>
          <w:spacing w:val="8"/>
          <w:szCs w:val="21"/>
        </w:rPr>
      </w:pPr>
    </w:p>
    <w:p w14:paraId="775645CF">
      <w:pPr>
        <w:autoSpaceDE w:val="0"/>
        <w:autoSpaceDN w:val="0"/>
        <w:adjustRightInd w:val="0"/>
        <w:spacing w:line="360" w:lineRule="auto"/>
        <w:jc w:val="center"/>
        <w:rPr>
          <w:rFonts w:ascii="宋体"/>
          <w:color w:val="auto"/>
          <w:spacing w:val="8"/>
          <w:szCs w:val="21"/>
        </w:rPr>
      </w:pPr>
    </w:p>
    <w:p w14:paraId="4C88FCB5">
      <w:pPr>
        <w:autoSpaceDE w:val="0"/>
        <w:autoSpaceDN w:val="0"/>
        <w:adjustRightInd w:val="0"/>
        <w:spacing w:line="360" w:lineRule="auto"/>
        <w:jc w:val="center"/>
        <w:rPr>
          <w:rFonts w:ascii="宋体"/>
          <w:color w:val="auto"/>
          <w:spacing w:val="8"/>
          <w:szCs w:val="21"/>
        </w:rPr>
      </w:pPr>
    </w:p>
    <w:p w14:paraId="52D066B1">
      <w:pPr>
        <w:autoSpaceDE w:val="0"/>
        <w:autoSpaceDN w:val="0"/>
        <w:adjustRightInd w:val="0"/>
        <w:spacing w:line="360" w:lineRule="auto"/>
        <w:jc w:val="center"/>
        <w:rPr>
          <w:rFonts w:ascii="宋体"/>
          <w:color w:val="auto"/>
          <w:spacing w:val="8"/>
          <w:szCs w:val="21"/>
        </w:rPr>
      </w:pPr>
    </w:p>
    <w:p w14:paraId="6E4A594E">
      <w:pPr>
        <w:tabs>
          <w:tab w:val="left" w:pos="0"/>
        </w:tabs>
        <w:adjustRightInd w:val="0"/>
        <w:snapToGrid w:val="0"/>
        <w:spacing w:before="120" w:beforeLines="50" w:line="300" w:lineRule="auto"/>
        <w:ind w:right="510"/>
        <w:rPr>
          <w:rFonts w:ascii="宋体"/>
          <w:color w:val="auto"/>
          <w:spacing w:val="8"/>
          <w:szCs w:val="21"/>
        </w:rPr>
      </w:pPr>
    </w:p>
    <w:p w14:paraId="6DA98AA3">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3BEB60CC">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140C6C91">
      <w:pPr>
        <w:spacing w:line="240" w:lineRule="auto"/>
        <w:rPr>
          <w:rFonts w:ascii="宋体" w:cs="楷体_GB2312"/>
          <w:b/>
          <w:color w:val="auto"/>
          <w:sz w:val="30"/>
          <w:szCs w:val="30"/>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3685C08E">
      <w:pPr>
        <w:spacing w:line="240" w:lineRule="auto"/>
        <w:jc w:val="left"/>
        <w:textAlignment w:val="auto"/>
        <w:rPr>
          <w:color w:val="auto"/>
          <w:sz w:val="24"/>
          <w:szCs w:val="24"/>
        </w:rPr>
      </w:pPr>
      <w:r>
        <w:rPr>
          <w:color w:val="auto"/>
        </w:rPr>
        <w:br w:type="page"/>
      </w:r>
    </w:p>
    <w:p w14:paraId="3D746E71">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六、技术偏离表</w:t>
      </w:r>
    </w:p>
    <w:p w14:paraId="5234AF4C">
      <w:pPr>
        <w:spacing w:line="240" w:lineRule="auto"/>
        <w:jc w:val="left"/>
        <w:textAlignment w:val="auto"/>
        <w:rPr>
          <w:rFonts w:ascii="Adobe 宋体 Std L" w:hAnsi="Adobe 宋体 Std L" w:eastAsia="Adobe 宋体 Std L"/>
          <w:b/>
          <w:color w:val="auto"/>
          <w:sz w:val="24"/>
          <w:szCs w:val="24"/>
        </w:rPr>
      </w:pPr>
    </w:p>
    <w:p w14:paraId="1E732F47">
      <w:pPr>
        <w:pStyle w:val="15"/>
        <w:adjustRightInd w:val="0"/>
        <w:snapToGrid w:val="0"/>
        <w:spacing w:before="0" w:beforeAutospacing="0" w:after="0" w:afterAutospacing="0"/>
        <w:rPr>
          <w:color w:val="auto"/>
          <w:u w:val="single"/>
        </w:rPr>
      </w:pPr>
      <w:r>
        <w:rPr>
          <w:rFonts w:hint="eastAsia"/>
          <w:color w:val="auto"/>
        </w:rPr>
        <w:t>项目名称：</w:t>
      </w:r>
    </w:p>
    <w:p w14:paraId="6D48AB57">
      <w:pPr>
        <w:pStyle w:val="15"/>
        <w:adjustRightInd w:val="0"/>
        <w:snapToGrid w:val="0"/>
        <w:spacing w:before="0" w:beforeAutospacing="0" w:after="0" w:afterAutospacing="0"/>
        <w:rPr>
          <w:color w:val="auto"/>
        </w:rPr>
      </w:pPr>
      <w:r>
        <w:rPr>
          <w:rFonts w:hint="eastAsia"/>
          <w:color w:val="auto"/>
        </w:rPr>
        <w:t>项目编号：</w:t>
      </w:r>
    </w:p>
    <w:tbl>
      <w:tblPr>
        <w:tblStyle w:val="17"/>
        <w:tblW w:w="9640"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1555"/>
        <w:gridCol w:w="2184"/>
        <w:gridCol w:w="2077"/>
        <w:gridCol w:w="1859"/>
        <w:gridCol w:w="1397"/>
      </w:tblGrid>
      <w:tr w14:paraId="1A4D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68" w:type="dxa"/>
            <w:tcBorders>
              <w:top w:val="single" w:color="000000" w:sz="8" w:space="0"/>
              <w:left w:val="single" w:color="000000" w:sz="8" w:space="0"/>
              <w:bottom w:val="single" w:color="000000" w:sz="4" w:space="0"/>
              <w:right w:val="single" w:color="000000" w:sz="4" w:space="0"/>
            </w:tcBorders>
            <w:vAlign w:val="center"/>
          </w:tcPr>
          <w:p w14:paraId="36F32409">
            <w:pPr>
              <w:spacing w:line="560" w:lineRule="exact"/>
              <w:jc w:val="center"/>
              <w:rPr>
                <w:bCs/>
                <w:color w:val="auto"/>
                <w:sz w:val="24"/>
                <w:szCs w:val="24"/>
              </w:rPr>
            </w:pPr>
            <w:r>
              <w:rPr>
                <w:rFonts w:hint="eastAsia"/>
                <w:bCs/>
                <w:color w:val="auto"/>
                <w:sz w:val="24"/>
                <w:szCs w:val="24"/>
              </w:rPr>
              <w:t>序号</w:t>
            </w:r>
          </w:p>
        </w:tc>
        <w:tc>
          <w:tcPr>
            <w:tcW w:w="1555" w:type="dxa"/>
            <w:tcBorders>
              <w:top w:val="single" w:color="000000" w:sz="8" w:space="0"/>
              <w:bottom w:val="single" w:color="000000" w:sz="4" w:space="0"/>
              <w:right w:val="single" w:color="000000" w:sz="4" w:space="0"/>
            </w:tcBorders>
            <w:vAlign w:val="center"/>
          </w:tcPr>
          <w:p w14:paraId="1A0C59A1">
            <w:pPr>
              <w:spacing w:line="560" w:lineRule="exact"/>
              <w:jc w:val="center"/>
              <w:rPr>
                <w:bCs/>
                <w:color w:val="auto"/>
                <w:sz w:val="24"/>
                <w:szCs w:val="24"/>
              </w:rPr>
            </w:pPr>
            <w:r>
              <w:rPr>
                <w:rFonts w:hint="eastAsia"/>
                <w:bCs/>
                <w:color w:val="auto"/>
                <w:sz w:val="24"/>
                <w:szCs w:val="24"/>
              </w:rPr>
              <w:t>产品名称</w:t>
            </w:r>
          </w:p>
        </w:tc>
        <w:tc>
          <w:tcPr>
            <w:tcW w:w="2184" w:type="dxa"/>
            <w:tcBorders>
              <w:top w:val="single" w:color="000000" w:sz="8" w:space="0"/>
              <w:bottom w:val="single" w:color="000000" w:sz="4" w:space="0"/>
              <w:right w:val="single" w:color="000000" w:sz="4" w:space="0"/>
            </w:tcBorders>
            <w:vAlign w:val="center"/>
          </w:tcPr>
          <w:p w14:paraId="1DBD481C">
            <w:pPr>
              <w:spacing w:line="560" w:lineRule="exact"/>
              <w:jc w:val="center"/>
              <w:rPr>
                <w:bCs/>
                <w:color w:val="auto"/>
                <w:sz w:val="24"/>
                <w:szCs w:val="24"/>
              </w:rPr>
            </w:pPr>
            <w:r>
              <w:rPr>
                <w:rFonts w:hint="eastAsia"/>
                <w:bCs/>
                <w:color w:val="auto"/>
                <w:sz w:val="24"/>
                <w:szCs w:val="24"/>
              </w:rPr>
              <w:t>《磋商文件》要求</w:t>
            </w:r>
          </w:p>
        </w:tc>
        <w:tc>
          <w:tcPr>
            <w:tcW w:w="2077" w:type="dxa"/>
            <w:tcBorders>
              <w:top w:val="single" w:color="000000" w:sz="8" w:space="0"/>
              <w:bottom w:val="single" w:color="000000" w:sz="4" w:space="0"/>
              <w:right w:val="single" w:color="000000" w:sz="4" w:space="0"/>
            </w:tcBorders>
            <w:vAlign w:val="center"/>
          </w:tcPr>
          <w:p w14:paraId="709A7821">
            <w:pPr>
              <w:spacing w:line="560" w:lineRule="exact"/>
              <w:jc w:val="center"/>
              <w:rPr>
                <w:bCs/>
                <w:color w:val="auto"/>
                <w:sz w:val="24"/>
                <w:szCs w:val="24"/>
              </w:rPr>
            </w:pPr>
            <w:r>
              <w:rPr>
                <w:rFonts w:hint="eastAsia"/>
                <w:bCs/>
                <w:color w:val="auto"/>
                <w:sz w:val="24"/>
                <w:szCs w:val="24"/>
              </w:rPr>
              <w:t>响应产品参数</w:t>
            </w:r>
          </w:p>
        </w:tc>
        <w:tc>
          <w:tcPr>
            <w:tcW w:w="1859" w:type="dxa"/>
            <w:tcBorders>
              <w:top w:val="single" w:color="000000" w:sz="8" w:space="0"/>
              <w:bottom w:val="single" w:color="000000" w:sz="4" w:space="0"/>
              <w:right w:val="single" w:color="000000" w:sz="8" w:space="0"/>
            </w:tcBorders>
            <w:vAlign w:val="center"/>
          </w:tcPr>
          <w:p w14:paraId="626ED444">
            <w:pPr>
              <w:spacing w:line="560" w:lineRule="exact"/>
              <w:jc w:val="center"/>
              <w:rPr>
                <w:bCs/>
                <w:color w:val="auto"/>
                <w:sz w:val="24"/>
                <w:szCs w:val="24"/>
              </w:rPr>
            </w:pPr>
            <w:r>
              <w:rPr>
                <w:rFonts w:hint="eastAsia"/>
                <w:bCs/>
                <w:color w:val="auto"/>
                <w:sz w:val="24"/>
                <w:szCs w:val="24"/>
              </w:rPr>
              <w:t>偏离描述</w:t>
            </w:r>
          </w:p>
        </w:tc>
        <w:tc>
          <w:tcPr>
            <w:tcW w:w="1397" w:type="dxa"/>
            <w:tcBorders>
              <w:top w:val="single" w:color="000000" w:sz="8" w:space="0"/>
              <w:bottom w:val="single" w:color="000000" w:sz="4" w:space="0"/>
              <w:right w:val="single" w:color="000000" w:sz="8" w:space="0"/>
            </w:tcBorders>
          </w:tcPr>
          <w:p w14:paraId="56B9FAA9">
            <w:pPr>
              <w:spacing w:line="240" w:lineRule="auto"/>
              <w:jc w:val="center"/>
              <w:rPr>
                <w:bCs/>
                <w:color w:val="auto"/>
                <w:sz w:val="24"/>
                <w:szCs w:val="24"/>
              </w:rPr>
            </w:pPr>
            <w:r>
              <w:rPr>
                <w:rFonts w:hint="eastAsia"/>
                <w:bCs/>
                <w:color w:val="auto"/>
                <w:sz w:val="24"/>
                <w:szCs w:val="24"/>
              </w:rPr>
              <w:t>所对应的产品证明材料的页码</w:t>
            </w:r>
          </w:p>
        </w:tc>
      </w:tr>
      <w:tr w14:paraId="278D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568" w:type="dxa"/>
            <w:tcBorders>
              <w:left w:val="single" w:color="000000" w:sz="8" w:space="0"/>
              <w:bottom w:val="single" w:color="000000" w:sz="4" w:space="0"/>
              <w:right w:val="single" w:color="000000" w:sz="4" w:space="0"/>
            </w:tcBorders>
            <w:vAlign w:val="center"/>
          </w:tcPr>
          <w:p w14:paraId="76DDBD18">
            <w:pPr>
              <w:spacing w:line="560" w:lineRule="exact"/>
              <w:jc w:val="center"/>
              <w:rPr>
                <w:color w:val="auto"/>
                <w:sz w:val="24"/>
                <w:szCs w:val="24"/>
              </w:rPr>
            </w:pPr>
            <w:r>
              <w:rPr>
                <w:color w:val="auto"/>
                <w:sz w:val="24"/>
                <w:szCs w:val="24"/>
              </w:rPr>
              <w:t>1</w:t>
            </w:r>
          </w:p>
        </w:tc>
        <w:tc>
          <w:tcPr>
            <w:tcW w:w="1555" w:type="dxa"/>
            <w:tcBorders>
              <w:bottom w:val="single" w:color="000000" w:sz="4" w:space="0"/>
              <w:right w:val="single" w:color="000000" w:sz="4" w:space="0"/>
            </w:tcBorders>
            <w:vAlign w:val="center"/>
          </w:tcPr>
          <w:p w14:paraId="0AD99F60">
            <w:pPr>
              <w:spacing w:line="560" w:lineRule="exact"/>
              <w:jc w:val="center"/>
              <w:rPr>
                <w:color w:val="auto"/>
                <w:sz w:val="24"/>
                <w:szCs w:val="24"/>
              </w:rPr>
            </w:pPr>
          </w:p>
        </w:tc>
        <w:tc>
          <w:tcPr>
            <w:tcW w:w="2184" w:type="dxa"/>
            <w:tcBorders>
              <w:bottom w:val="single" w:color="000000" w:sz="4" w:space="0"/>
              <w:right w:val="single" w:color="000000" w:sz="4" w:space="0"/>
            </w:tcBorders>
            <w:vAlign w:val="center"/>
          </w:tcPr>
          <w:p w14:paraId="47E964FC">
            <w:pPr>
              <w:spacing w:line="560" w:lineRule="exact"/>
              <w:jc w:val="center"/>
              <w:rPr>
                <w:color w:val="auto"/>
                <w:sz w:val="24"/>
                <w:szCs w:val="24"/>
              </w:rPr>
            </w:pPr>
          </w:p>
        </w:tc>
        <w:tc>
          <w:tcPr>
            <w:tcW w:w="2077" w:type="dxa"/>
            <w:tcBorders>
              <w:bottom w:val="single" w:color="000000" w:sz="4" w:space="0"/>
              <w:right w:val="single" w:color="000000" w:sz="4" w:space="0"/>
            </w:tcBorders>
            <w:vAlign w:val="center"/>
          </w:tcPr>
          <w:p w14:paraId="55273BA6">
            <w:pPr>
              <w:spacing w:line="560" w:lineRule="exact"/>
              <w:jc w:val="center"/>
              <w:rPr>
                <w:color w:val="auto"/>
                <w:sz w:val="24"/>
                <w:szCs w:val="24"/>
              </w:rPr>
            </w:pPr>
          </w:p>
        </w:tc>
        <w:tc>
          <w:tcPr>
            <w:tcW w:w="1859" w:type="dxa"/>
            <w:tcBorders>
              <w:bottom w:val="single" w:color="000000" w:sz="4" w:space="0"/>
              <w:right w:val="single" w:color="000000" w:sz="8" w:space="0"/>
            </w:tcBorders>
            <w:vAlign w:val="center"/>
          </w:tcPr>
          <w:p w14:paraId="5DAFABED">
            <w:pPr>
              <w:spacing w:line="560" w:lineRule="exact"/>
              <w:jc w:val="center"/>
              <w:rPr>
                <w:color w:val="auto"/>
                <w:sz w:val="24"/>
                <w:szCs w:val="24"/>
              </w:rPr>
            </w:pPr>
          </w:p>
        </w:tc>
        <w:tc>
          <w:tcPr>
            <w:tcW w:w="1397" w:type="dxa"/>
            <w:tcBorders>
              <w:bottom w:val="single" w:color="000000" w:sz="4" w:space="0"/>
              <w:right w:val="single" w:color="000000" w:sz="8" w:space="0"/>
            </w:tcBorders>
          </w:tcPr>
          <w:p w14:paraId="403CC0B4">
            <w:pPr>
              <w:spacing w:line="560" w:lineRule="exact"/>
              <w:jc w:val="center"/>
              <w:rPr>
                <w:color w:val="auto"/>
                <w:sz w:val="24"/>
                <w:szCs w:val="24"/>
              </w:rPr>
            </w:pPr>
          </w:p>
        </w:tc>
      </w:tr>
      <w:tr w14:paraId="2229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568" w:type="dxa"/>
            <w:tcBorders>
              <w:left w:val="single" w:color="000000" w:sz="8" w:space="0"/>
              <w:bottom w:val="single" w:color="000000" w:sz="4" w:space="0"/>
              <w:right w:val="single" w:color="000000" w:sz="4" w:space="0"/>
            </w:tcBorders>
            <w:vAlign w:val="center"/>
          </w:tcPr>
          <w:p w14:paraId="53A15918">
            <w:pPr>
              <w:spacing w:line="560" w:lineRule="exact"/>
              <w:jc w:val="center"/>
              <w:rPr>
                <w:color w:val="auto"/>
                <w:sz w:val="24"/>
                <w:szCs w:val="24"/>
              </w:rPr>
            </w:pPr>
            <w:r>
              <w:rPr>
                <w:color w:val="auto"/>
                <w:sz w:val="24"/>
                <w:szCs w:val="24"/>
              </w:rPr>
              <w:t>2</w:t>
            </w:r>
          </w:p>
        </w:tc>
        <w:tc>
          <w:tcPr>
            <w:tcW w:w="1555" w:type="dxa"/>
            <w:tcBorders>
              <w:bottom w:val="single" w:color="000000" w:sz="4" w:space="0"/>
              <w:right w:val="single" w:color="000000" w:sz="4" w:space="0"/>
            </w:tcBorders>
            <w:vAlign w:val="center"/>
          </w:tcPr>
          <w:p w14:paraId="7453C6F7">
            <w:pPr>
              <w:spacing w:line="560" w:lineRule="exact"/>
              <w:jc w:val="center"/>
              <w:rPr>
                <w:color w:val="auto"/>
                <w:sz w:val="24"/>
                <w:szCs w:val="24"/>
              </w:rPr>
            </w:pPr>
          </w:p>
        </w:tc>
        <w:tc>
          <w:tcPr>
            <w:tcW w:w="2184" w:type="dxa"/>
            <w:tcBorders>
              <w:bottom w:val="single" w:color="000000" w:sz="4" w:space="0"/>
              <w:right w:val="single" w:color="000000" w:sz="4" w:space="0"/>
            </w:tcBorders>
            <w:vAlign w:val="center"/>
          </w:tcPr>
          <w:p w14:paraId="310C3B3F">
            <w:pPr>
              <w:spacing w:line="560" w:lineRule="exact"/>
              <w:jc w:val="center"/>
              <w:rPr>
                <w:color w:val="auto"/>
                <w:sz w:val="24"/>
                <w:szCs w:val="24"/>
              </w:rPr>
            </w:pPr>
          </w:p>
        </w:tc>
        <w:tc>
          <w:tcPr>
            <w:tcW w:w="2077" w:type="dxa"/>
            <w:tcBorders>
              <w:bottom w:val="single" w:color="000000" w:sz="4" w:space="0"/>
              <w:right w:val="single" w:color="000000" w:sz="4" w:space="0"/>
            </w:tcBorders>
            <w:vAlign w:val="center"/>
          </w:tcPr>
          <w:p w14:paraId="74D5A160">
            <w:pPr>
              <w:spacing w:line="560" w:lineRule="exact"/>
              <w:jc w:val="center"/>
              <w:rPr>
                <w:color w:val="auto"/>
                <w:sz w:val="24"/>
                <w:szCs w:val="24"/>
              </w:rPr>
            </w:pPr>
          </w:p>
        </w:tc>
        <w:tc>
          <w:tcPr>
            <w:tcW w:w="1859" w:type="dxa"/>
            <w:tcBorders>
              <w:bottom w:val="single" w:color="000000" w:sz="4" w:space="0"/>
              <w:right w:val="single" w:color="000000" w:sz="8" w:space="0"/>
            </w:tcBorders>
            <w:vAlign w:val="center"/>
          </w:tcPr>
          <w:p w14:paraId="6709B925">
            <w:pPr>
              <w:spacing w:line="560" w:lineRule="exact"/>
              <w:jc w:val="center"/>
              <w:rPr>
                <w:color w:val="auto"/>
                <w:sz w:val="24"/>
                <w:szCs w:val="24"/>
              </w:rPr>
            </w:pPr>
          </w:p>
        </w:tc>
        <w:tc>
          <w:tcPr>
            <w:tcW w:w="1397" w:type="dxa"/>
            <w:tcBorders>
              <w:bottom w:val="single" w:color="000000" w:sz="4" w:space="0"/>
              <w:right w:val="single" w:color="000000" w:sz="8" w:space="0"/>
            </w:tcBorders>
          </w:tcPr>
          <w:p w14:paraId="4393EA13">
            <w:pPr>
              <w:spacing w:line="560" w:lineRule="exact"/>
              <w:jc w:val="center"/>
              <w:rPr>
                <w:color w:val="auto"/>
                <w:sz w:val="24"/>
                <w:szCs w:val="24"/>
              </w:rPr>
            </w:pPr>
          </w:p>
        </w:tc>
      </w:tr>
      <w:tr w14:paraId="2E56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568" w:type="dxa"/>
            <w:tcBorders>
              <w:left w:val="single" w:color="000000" w:sz="8" w:space="0"/>
              <w:bottom w:val="single" w:color="000000" w:sz="4" w:space="0"/>
              <w:right w:val="single" w:color="000000" w:sz="4" w:space="0"/>
            </w:tcBorders>
            <w:vAlign w:val="center"/>
          </w:tcPr>
          <w:p w14:paraId="54579FCA">
            <w:pPr>
              <w:spacing w:line="560" w:lineRule="exact"/>
              <w:jc w:val="center"/>
              <w:rPr>
                <w:color w:val="auto"/>
                <w:sz w:val="24"/>
                <w:szCs w:val="24"/>
              </w:rPr>
            </w:pPr>
            <w:r>
              <w:rPr>
                <w:color w:val="auto"/>
                <w:sz w:val="24"/>
                <w:szCs w:val="24"/>
              </w:rPr>
              <w:t>3</w:t>
            </w:r>
          </w:p>
        </w:tc>
        <w:tc>
          <w:tcPr>
            <w:tcW w:w="1555" w:type="dxa"/>
            <w:tcBorders>
              <w:bottom w:val="single" w:color="000000" w:sz="4" w:space="0"/>
              <w:right w:val="single" w:color="000000" w:sz="4" w:space="0"/>
            </w:tcBorders>
            <w:vAlign w:val="center"/>
          </w:tcPr>
          <w:p w14:paraId="27BB1CCD">
            <w:pPr>
              <w:spacing w:line="560" w:lineRule="exact"/>
              <w:jc w:val="center"/>
              <w:rPr>
                <w:color w:val="auto"/>
                <w:sz w:val="24"/>
                <w:szCs w:val="24"/>
              </w:rPr>
            </w:pPr>
          </w:p>
        </w:tc>
        <w:tc>
          <w:tcPr>
            <w:tcW w:w="2184" w:type="dxa"/>
            <w:tcBorders>
              <w:bottom w:val="single" w:color="000000" w:sz="4" w:space="0"/>
              <w:right w:val="single" w:color="000000" w:sz="4" w:space="0"/>
            </w:tcBorders>
            <w:vAlign w:val="center"/>
          </w:tcPr>
          <w:p w14:paraId="53E2E4B1">
            <w:pPr>
              <w:spacing w:line="560" w:lineRule="exact"/>
              <w:jc w:val="center"/>
              <w:rPr>
                <w:color w:val="auto"/>
                <w:sz w:val="24"/>
                <w:szCs w:val="24"/>
              </w:rPr>
            </w:pPr>
          </w:p>
        </w:tc>
        <w:tc>
          <w:tcPr>
            <w:tcW w:w="2077" w:type="dxa"/>
            <w:tcBorders>
              <w:bottom w:val="single" w:color="000000" w:sz="4" w:space="0"/>
              <w:right w:val="single" w:color="000000" w:sz="4" w:space="0"/>
            </w:tcBorders>
            <w:vAlign w:val="center"/>
          </w:tcPr>
          <w:p w14:paraId="04D2A969">
            <w:pPr>
              <w:spacing w:line="560" w:lineRule="exact"/>
              <w:jc w:val="center"/>
              <w:rPr>
                <w:color w:val="auto"/>
                <w:sz w:val="24"/>
                <w:szCs w:val="24"/>
              </w:rPr>
            </w:pPr>
          </w:p>
        </w:tc>
        <w:tc>
          <w:tcPr>
            <w:tcW w:w="1859" w:type="dxa"/>
            <w:tcBorders>
              <w:bottom w:val="single" w:color="000000" w:sz="4" w:space="0"/>
              <w:right w:val="single" w:color="000000" w:sz="8" w:space="0"/>
            </w:tcBorders>
            <w:vAlign w:val="center"/>
          </w:tcPr>
          <w:p w14:paraId="6EB5171C">
            <w:pPr>
              <w:spacing w:line="560" w:lineRule="exact"/>
              <w:jc w:val="center"/>
              <w:rPr>
                <w:color w:val="auto"/>
                <w:sz w:val="24"/>
                <w:szCs w:val="24"/>
              </w:rPr>
            </w:pPr>
          </w:p>
        </w:tc>
        <w:tc>
          <w:tcPr>
            <w:tcW w:w="1397" w:type="dxa"/>
            <w:tcBorders>
              <w:bottom w:val="single" w:color="000000" w:sz="4" w:space="0"/>
              <w:right w:val="single" w:color="000000" w:sz="8" w:space="0"/>
            </w:tcBorders>
          </w:tcPr>
          <w:p w14:paraId="3839D771">
            <w:pPr>
              <w:spacing w:line="560" w:lineRule="exact"/>
              <w:jc w:val="center"/>
              <w:rPr>
                <w:color w:val="auto"/>
                <w:sz w:val="24"/>
                <w:szCs w:val="24"/>
              </w:rPr>
            </w:pPr>
          </w:p>
        </w:tc>
      </w:tr>
      <w:tr w14:paraId="1E75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568" w:type="dxa"/>
            <w:tcBorders>
              <w:left w:val="single" w:color="000000" w:sz="8" w:space="0"/>
              <w:bottom w:val="single" w:color="000000" w:sz="4" w:space="0"/>
              <w:right w:val="single" w:color="000000" w:sz="4" w:space="0"/>
            </w:tcBorders>
            <w:vAlign w:val="center"/>
          </w:tcPr>
          <w:p w14:paraId="60AFAB2C">
            <w:pPr>
              <w:spacing w:line="560" w:lineRule="exact"/>
              <w:jc w:val="center"/>
              <w:rPr>
                <w:color w:val="auto"/>
                <w:sz w:val="24"/>
                <w:szCs w:val="24"/>
              </w:rPr>
            </w:pPr>
            <w:r>
              <w:rPr>
                <w:color w:val="auto"/>
                <w:sz w:val="24"/>
                <w:szCs w:val="24"/>
              </w:rPr>
              <w:t>4</w:t>
            </w:r>
          </w:p>
        </w:tc>
        <w:tc>
          <w:tcPr>
            <w:tcW w:w="1555" w:type="dxa"/>
            <w:tcBorders>
              <w:bottom w:val="single" w:color="000000" w:sz="4" w:space="0"/>
              <w:right w:val="single" w:color="000000" w:sz="4" w:space="0"/>
            </w:tcBorders>
            <w:vAlign w:val="center"/>
          </w:tcPr>
          <w:p w14:paraId="6A684325">
            <w:pPr>
              <w:spacing w:line="560" w:lineRule="exact"/>
              <w:jc w:val="center"/>
              <w:rPr>
                <w:color w:val="auto"/>
                <w:sz w:val="24"/>
                <w:szCs w:val="24"/>
              </w:rPr>
            </w:pPr>
          </w:p>
        </w:tc>
        <w:tc>
          <w:tcPr>
            <w:tcW w:w="2184" w:type="dxa"/>
            <w:tcBorders>
              <w:bottom w:val="single" w:color="000000" w:sz="4" w:space="0"/>
              <w:right w:val="single" w:color="000000" w:sz="4" w:space="0"/>
            </w:tcBorders>
            <w:vAlign w:val="center"/>
          </w:tcPr>
          <w:p w14:paraId="1ABFAFA4">
            <w:pPr>
              <w:spacing w:line="560" w:lineRule="exact"/>
              <w:jc w:val="center"/>
              <w:rPr>
                <w:color w:val="auto"/>
                <w:sz w:val="24"/>
                <w:szCs w:val="24"/>
              </w:rPr>
            </w:pPr>
          </w:p>
        </w:tc>
        <w:tc>
          <w:tcPr>
            <w:tcW w:w="2077" w:type="dxa"/>
            <w:tcBorders>
              <w:bottom w:val="single" w:color="000000" w:sz="4" w:space="0"/>
              <w:right w:val="single" w:color="000000" w:sz="4" w:space="0"/>
            </w:tcBorders>
            <w:vAlign w:val="center"/>
          </w:tcPr>
          <w:p w14:paraId="668FB670">
            <w:pPr>
              <w:spacing w:line="560" w:lineRule="exact"/>
              <w:jc w:val="center"/>
              <w:rPr>
                <w:color w:val="auto"/>
                <w:sz w:val="24"/>
                <w:szCs w:val="24"/>
              </w:rPr>
            </w:pPr>
          </w:p>
        </w:tc>
        <w:tc>
          <w:tcPr>
            <w:tcW w:w="1859" w:type="dxa"/>
            <w:tcBorders>
              <w:bottom w:val="single" w:color="000000" w:sz="4" w:space="0"/>
              <w:right w:val="single" w:color="000000" w:sz="8" w:space="0"/>
            </w:tcBorders>
            <w:vAlign w:val="center"/>
          </w:tcPr>
          <w:p w14:paraId="6D8AA0DB">
            <w:pPr>
              <w:spacing w:line="560" w:lineRule="exact"/>
              <w:jc w:val="center"/>
              <w:rPr>
                <w:color w:val="auto"/>
                <w:sz w:val="24"/>
                <w:szCs w:val="24"/>
              </w:rPr>
            </w:pPr>
          </w:p>
        </w:tc>
        <w:tc>
          <w:tcPr>
            <w:tcW w:w="1397" w:type="dxa"/>
            <w:tcBorders>
              <w:bottom w:val="single" w:color="000000" w:sz="4" w:space="0"/>
              <w:right w:val="single" w:color="000000" w:sz="8" w:space="0"/>
            </w:tcBorders>
          </w:tcPr>
          <w:p w14:paraId="33F64CAD">
            <w:pPr>
              <w:spacing w:line="560" w:lineRule="exact"/>
              <w:jc w:val="center"/>
              <w:rPr>
                <w:color w:val="auto"/>
                <w:sz w:val="24"/>
                <w:szCs w:val="24"/>
              </w:rPr>
            </w:pPr>
          </w:p>
        </w:tc>
      </w:tr>
      <w:tr w14:paraId="449C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568" w:type="dxa"/>
            <w:tcBorders>
              <w:left w:val="single" w:color="000000" w:sz="8" w:space="0"/>
              <w:bottom w:val="single" w:color="000000" w:sz="4" w:space="0"/>
              <w:right w:val="single" w:color="000000" w:sz="4" w:space="0"/>
            </w:tcBorders>
            <w:vAlign w:val="center"/>
          </w:tcPr>
          <w:p w14:paraId="2CE3C94A">
            <w:pPr>
              <w:spacing w:line="560" w:lineRule="exact"/>
              <w:jc w:val="center"/>
              <w:rPr>
                <w:color w:val="auto"/>
                <w:sz w:val="24"/>
                <w:szCs w:val="24"/>
              </w:rPr>
            </w:pPr>
            <w:r>
              <w:rPr>
                <w:color w:val="auto"/>
                <w:sz w:val="24"/>
                <w:szCs w:val="24"/>
              </w:rPr>
              <w:t>5</w:t>
            </w:r>
          </w:p>
        </w:tc>
        <w:tc>
          <w:tcPr>
            <w:tcW w:w="1555" w:type="dxa"/>
            <w:tcBorders>
              <w:bottom w:val="single" w:color="000000" w:sz="4" w:space="0"/>
              <w:right w:val="single" w:color="000000" w:sz="4" w:space="0"/>
            </w:tcBorders>
            <w:vAlign w:val="center"/>
          </w:tcPr>
          <w:p w14:paraId="29EF2EF2">
            <w:pPr>
              <w:spacing w:line="560" w:lineRule="exact"/>
              <w:jc w:val="center"/>
              <w:rPr>
                <w:color w:val="auto"/>
                <w:sz w:val="24"/>
                <w:szCs w:val="24"/>
              </w:rPr>
            </w:pPr>
          </w:p>
        </w:tc>
        <w:tc>
          <w:tcPr>
            <w:tcW w:w="2184" w:type="dxa"/>
            <w:tcBorders>
              <w:bottom w:val="single" w:color="000000" w:sz="4" w:space="0"/>
              <w:right w:val="single" w:color="000000" w:sz="4" w:space="0"/>
            </w:tcBorders>
            <w:vAlign w:val="center"/>
          </w:tcPr>
          <w:p w14:paraId="20D0D775">
            <w:pPr>
              <w:spacing w:line="560" w:lineRule="exact"/>
              <w:jc w:val="center"/>
              <w:rPr>
                <w:color w:val="auto"/>
                <w:sz w:val="24"/>
                <w:szCs w:val="24"/>
              </w:rPr>
            </w:pPr>
          </w:p>
        </w:tc>
        <w:tc>
          <w:tcPr>
            <w:tcW w:w="2077" w:type="dxa"/>
            <w:tcBorders>
              <w:bottom w:val="single" w:color="000000" w:sz="4" w:space="0"/>
              <w:right w:val="single" w:color="000000" w:sz="4" w:space="0"/>
            </w:tcBorders>
            <w:vAlign w:val="center"/>
          </w:tcPr>
          <w:p w14:paraId="2EA937C1">
            <w:pPr>
              <w:spacing w:line="560" w:lineRule="exact"/>
              <w:jc w:val="center"/>
              <w:rPr>
                <w:color w:val="auto"/>
                <w:sz w:val="24"/>
                <w:szCs w:val="24"/>
              </w:rPr>
            </w:pPr>
          </w:p>
        </w:tc>
        <w:tc>
          <w:tcPr>
            <w:tcW w:w="1859" w:type="dxa"/>
            <w:tcBorders>
              <w:bottom w:val="single" w:color="000000" w:sz="4" w:space="0"/>
              <w:right w:val="single" w:color="000000" w:sz="8" w:space="0"/>
            </w:tcBorders>
            <w:vAlign w:val="center"/>
          </w:tcPr>
          <w:p w14:paraId="3D950A28">
            <w:pPr>
              <w:spacing w:line="560" w:lineRule="exact"/>
              <w:jc w:val="center"/>
              <w:rPr>
                <w:color w:val="auto"/>
                <w:sz w:val="24"/>
                <w:szCs w:val="24"/>
              </w:rPr>
            </w:pPr>
          </w:p>
        </w:tc>
        <w:tc>
          <w:tcPr>
            <w:tcW w:w="1397" w:type="dxa"/>
            <w:tcBorders>
              <w:bottom w:val="single" w:color="000000" w:sz="4" w:space="0"/>
              <w:right w:val="single" w:color="000000" w:sz="8" w:space="0"/>
            </w:tcBorders>
          </w:tcPr>
          <w:p w14:paraId="2B6224DA">
            <w:pPr>
              <w:spacing w:line="560" w:lineRule="exact"/>
              <w:jc w:val="center"/>
              <w:rPr>
                <w:color w:val="auto"/>
                <w:sz w:val="24"/>
                <w:szCs w:val="24"/>
              </w:rPr>
            </w:pPr>
          </w:p>
        </w:tc>
      </w:tr>
      <w:tr w14:paraId="0EDA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68" w:type="dxa"/>
            <w:tcBorders>
              <w:left w:val="single" w:color="000000" w:sz="8" w:space="0"/>
              <w:bottom w:val="single" w:color="000000" w:sz="4" w:space="0"/>
              <w:right w:val="single" w:color="000000" w:sz="4" w:space="0"/>
            </w:tcBorders>
            <w:vAlign w:val="center"/>
          </w:tcPr>
          <w:p w14:paraId="23CDF833">
            <w:pPr>
              <w:spacing w:line="560" w:lineRule="exact"/>
              <w:jc w:val="center"/>
              <w:rPr>
                <w:color w:val="auto"/>
                <w:sz w:val="24"/>
                <w:szCs w:val="24"/>
              </w:rPr>
            </w:pPr>
            <w:r>
              <w:rPr>
                <w:color w:val="auto"/>
                <w:sz w:val="24"/>
                <w:szCs w:val="24"/>
              </w:rPr>
              <w:t>6</w:t>
            </w:r>
          </w:p>
        </w:tc>
        <w:tc>
          <w:tcPr>
            <w:tcW w:w="1555" w:type="dxa"/>
            <w:tcBorders>
              <w:bottom w:val="single" w:color="000000" w:sz="4" w:space="0"/>
              <w:right w:val="single" w:color="000000" w:sz="4" w:space="0"/>
            </w:tcBorders>
            <w:vAlign w:val="center"/>
          </w:tcPr>
          <w:p w14:paraId="79EF51A6">
            <w:pPr>
              <w:spacing w:line="560" w:lineRule="exact"/>
              <w:jc w:val="center"/>
              <w:rPr>
                <w:color w:val="auto"/>
                <w:sz w:val="24"/>
                <w:szCs w:val="24"/>
              </w:rPr>
            </w:pPr>
          </w:p>
        </w:tc>
        <w:tc>
          <w:tcPr>
            <w:tcW w:w="2184" w:type="dxa"/>
            <w:tcBorders>
              <w:bottom w:val="single" w:color="000000" w:sz="4" w:space="0"/>
              <w:right w:val="single" w:color="000000" w:sz="4" w:space="0"/>
            </w:tcBorders>
            <w:vAlign w:val="center"/>
          </w:tcPr>
          <w:p w14:paraId="6E220FA3">
            <w:pPr>
              <w:spacing w:line="560" w:lineRule="exact"/>
              <w:jc w:val="center"/>
              <w:rPr>
                <w:color w:val="auto"/>
                <w:sz w:val="24"/>
                <w:szCs w:val="24"/>
              </w:rPr>
            </w:pPr>
          </w:p>
        </w:tc>
        <w:tc>
          <w:tcPr>
            <w:tcW w:w="2077" w:type="dxa"/>
            <w:tcBorders>
              <w:bottom w:val="single" w:color="000000" w:sz="4" w:space="0"/>
              <w:right w:val="single" w:color="000000" w:sz="4" w:space="0"/>
            </w:tcBorders>
            <w:vAlign w:val="center"/>
          </w:tcPr>
          <w:p w14:paraId="1349A87E">
            <w:pPr>
              <w:spacing w:line="560" w:lineRule="exact"/>
              <w:jc w:val="center"/>
              <w:rPr>
                <w:color w:val="auto"/>
                <w:sz w:val="24"/>
                <w:szCs w:val="24"/>
              </w:rPr>
            </w:pPr>
          </w:p>
        </w:tc>
        <w:tc>
          <w:tcPr>
            <w:tcW w:w="1859" w:type="dxa"/>
            <w:tcBorders>
              <w:bottom w:val="single" w:color="000000" w:sz="4" w:space="0"/>
              <w:right w:val="single" w:color="000000" w:sz="8" w:space="0"/>
            </w:tcBorders>
            <w:vAlign w:val="center"/>
          </w:tcPr>
          <w:p w14:paraId="29D4A22A">
            <w:pPr>
              <w:spacing w:line="560" w:lineRule="exact"/>
              <w:jc w:val="center"/>
              <w:rPr>
                <w:color w:val="auto"/>
                <w:sz w:val="24"/>
                <w:szCs w:val="24"/>
              </w:rPr>
            </w:pPr>
          </w:p>
        </w:tc>
        <w:tc>
          <w:tcPr>
            <w:tcW w:w="1397" w:type="dxa"/>
            <w:tcBorders>
              <w:bottom w:val="single" w:color="000000" w:sz="4" w:space="0"/>
              <w:right w:val="single" w:color="000000" w:sz="8" w:space="0"/>
            </w:tcBorders>
          </w:tcPr>
          <w:p w14:paraId="4A820ADD">
            <w:pPr>
              <w:spacing w:line="560" w:lineRule="exact"/>
              <w:jc w:val="center"/>
              <w:rPr>
                <w:color w:val="auto"/>
                <w:sz w:val="24"/>
                <w:szCs w:val="24"/>
              </w:rPr>
            </w:pPr>
          </w:p>
        </w:tc>
      </w:tr>
      <w:tr w14:paraId="03EC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68" w:type="dxa"/>
            <w:tcBorders>
              <w:left w:val="single" w:color="000000" w:sz="8" w:space="0"/>
              <w:bottom w:val="single" w:color="000000" w:sz="4" w:space="0"/>
              <w:right w:val="single" w:color="000000" w:sz="4" w:space="0"/>
            </w:tcBorders>
            <w:vAlign w:val="center"/>
          </w:tcPr>
          <w:p w14:paraId="022FBB48">
            <w:pPr>
              <w:spacing w:line="560" w:lineRule="exact"/>
              <w:jc w:val="center"/>
              <w:rPr>
                <w:color w:val="auto"/>
                <w:sz w:val="24"/>
                <w:szCs w:val="24"/>
              </w:rPr>
            </w:pPr>
            <w:r>
              <w:rPr>
                <w:color w:val="auto"/>
                <w:sz w:val="24"/>
                <w:szCs w:val="24"/>
              </w:rPr>
              <w:t>7</w:t>
            </w:r>
          </w:p>
        </w:tc>
        <w:tc>
          <w:tcPr>
            <w:tcW w:w="1555" w:type="dxa"/>
            <w:tcBorders>
              <w:bottom w:val="single" w:color="000000" w:sz="4" w:space="0"/>
              <w:right w:val="single" w:color="000000" w:sz="4" w:space="0"/>
            </w:tcBorders>
            <w:vAlign w:val="center"/>
          </w:tcPr>
          <w:p w14:paraId="6EE072D0">
            <w:pPr>
              <w:spacing w:line="560" w:lineRule="exact"/>
              <w:jc w:val="center"/>
              <w:rPr>
                <w:color w:val="auto"/>
                <w:sz w:val="24"/>
                <w:szCs w:val="24"/>
              </w:rPr>
            </w:pPr>
          </w:p>
        </w:tc>
        <w:tc>
          <w:tcPr>
            <w:tcW w:w="2184" w:type="dxa"/>
            <w:tcBorders>
              <w:bottom w:val="single" w:color="000000" w:sz="4" w:space="0"/>
              <w:right w:val="single" w:color="000000" w:sz="4" w:space="0"/>
            </w:tcBorders>
            <w:vAlign w:val="center"/>
          </w:tcPr>
          <w:p w14:paraId="0BB79BC7">
            <w:pPr>
              <w:spacing w:line="560" w:lineRule="exact"/>
              <w:jc w:val="center"/>
              <w:rPr>
                <w:color w:val="auto"/>
                <w:sz w:val="24"/>
                <w:szCs w:val="24"/>
              </w:rPr>
            </w:pPr>
          </w:p>
        </w:tc>
        <w:tc>
          <w:tcPr>
            <w:tcW w:w="2077" w:type="dxa"/>
            <w:tcBorders>
              <w:bottom w:val="single" w:color="000000" w:sz="4" w:space="0"/>
              <w:right w:val="single" w:color="000000" w:sz="4" w:space="0"/>
            </w:tcBorders>
            <w:vAlign w:val="center"/>
          </w:tcPr>
          <w:p w14:paraId="244575C8">
            <w:pPr>
              <w:spacing w:line="560" w:lineRule="exact"/>
              <w:jc w:val="center"/>
              <w:rPr>
                <w:color w:val="auto"/>
                <w:sz w:val="24"/>
                <w:szCs w:val="24"/>
              </w:rPr>
            </w:pPr>
          </w:p>
        </w:tc>
        <w:tc>
          <w:tcPr>
            <w:tcW w:w="1859" w:type="dxa"/>
            <w:tcBorders>
              <w:bottom w:val="single" w:color="000000" w:sz="4" w:space="0"/>
              <w:right w:val="single" w:color="000000" w:sz="8" w:space="0"/>
            </w:tcBorders>
            <w:vAlign w:val="center"/>
          </w:tcPr>
          <w:p w14:paraId="3F5BC05B">
            <w:pPr>
              <w:spacing w:line="560" w:lineRule="exact"/>
              <w:jc w:val="center"/>
              <w:rPr>
                <w:color w:val="auto"/>
                <w:sz w:val="24"/>
                <w:szCs w:val="24"/>
              </w:rPr>
            </w:pPr>
          </w:p>
        </w:tc>
        <w:tc>
          <w:tcPr>
            <w:tcW w:w="1397" w:type="dxa"/>
            <w:tcBorders>
              <w:bottom w:val="single" w:color="000000" w:sz="4" w:space="0"/>
              <w:right w:val="single" w:color="000000" w:sz="8" w:space="0"/>
            </w:tcBorders>
          </w:tcPr>
          <w:p w14:paraId="401DC87F">
            <w:pPr>
              <w:spacing w:line="560" w:lineRule="exact"/>
              <w:jc w:val="center"/>
              <w:rPr>
                <w:color w:val="auto"/>
                <w:sz w:val="24"/>
                <w:szCs w:val="24"/>
              </w:rPr>
            </w:pPr>
          </w:p>
        </w:tc>
      </w:tr>
      <w:tr w14:paraId="2E33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68" w:type="dxa"/>
            <w:tcBorders>
              <w:left w:val="single" w:color="000000" w:sz="8" w:space="0"/>
              <w:bottom w:val="single" w:color="000000" w:sz="4" w:space="0"/>
              <w:right w:val="single" w:color="000000" w:sz="4" w:space="0"/>
            </w:tcBorders>
            <w:vAlign w:val="center"/>
          </w:tcPr>
          <w:p w14:paraId="653EAE3C">
            <w:pPr>
              <w:spacing w:line="560" w:lineRule="exact"/>
              <w:jc w:val="center"/>
              <w:rPr>
                <w:color w:val="auto"/>
                <w:sz w:val="24"/>
                <w:szCs w:val="24"/>
              </w:rPr>
            </w:pPr>
            <w:r>
              <w:rPr>
                <w:color w:val="auto"/>
                <w:sz w:val="24"/>
                <w:szCs w:val="24"/>
              </w:rPr>
              <w:t>8</w:t>
            </w:r>
          </w:p>
        </w:tc>
        <w:tc>
          <w:tcPr>
            <w:tcW w:w="1555" w:type="dxa"/>
            <w:tcBorders>
              <w:bottom w:val="single" w:color="000000" w:sz="4" w:space="0"/>
              <w:right w:val="single" w:color="000000" w:sz="4" w:space="0"/>
            </w:tcBorders>
            <w:vAlign w:val="center"/>
          </w:tcPr>
          <w:p w14:paraId="23881FF3">
            <w:pPr>
              <w:spacing w:line="560" w:lineRule="exact"/>
              <w:jc w:val="center"/>
              <w:rPr>
                <w:color w:val="auto"/>
                <w:sz w:val="24"/>
                <w:szCs w:val="24"/>
              </w:rPr>
            </w:pPr>
          </w:p>
        </w:tc>
        <w:tc>
          <w:tcPr>
            <w:tcW w:w="2184" w:type="dxa"/>
            <w:tcBorders>
              <w:bottom w:val="single" w:color="000000" w:sz="4" w:space="0"/>
              <w:right w:val="single" w:color="000000" w:sz="4" w:space="0"/>
            </w:tcBorders>
            <w:vAlign w:val="center"/>
          </w:tcPr>
          <w:p w14:paraId="26173922">
            <w:pPr>
              <w:spacing w:line="560" w:lineRule="exact"/>
              <w:jc w:val="center"/>
              <w:rPr>
                <w:color w:val="auto"/>
                <w:sz w:val="24"/>
                <w:szCs w:val="24"/>
              </w:rPr>
            </w:pPr>
          </w:p>
        </w:tc>
        <w:tc>
          <w:tcPr>
            <w:tcW w:w="2077" w:type="dxa"/>
            <w:tcBorders>
              <w:bottom w:val="single" w:color="000000" w:sz="4" w:space="0"/>
              <w:right w:val="single" w:color="000000" w:sz="4" w:space="0"/>
            </w:tcBorders>
            <w:vAlign w:val="center"/>
          </w:tcPr>
          <w:p w14:paraId="60437D0B">
            <w:pPr>
              <w:spacing w:line="560" w:lineRule="exact"/>
              <w:jc w:val="center"/>
              <w:rPr>
                <w:color w:val="auto"/>
                <w:sz w:val="24"/>
                <w:szCs w:val="24"/>
              </w:rPr>
            </w:pPr>
          </w:p>
        </w:tc>
        <w:tc>
          <w:tcPr>
            <w:tcW w:w="1859" w:type="dxa"/>
            <w:tcBorders>
              <w:bottom w:val="single" w:color="000000" w:sz="4" w:space="0"/>
              <w:right w:val="single" w:color="000000" w:sz="8" w:space="0"/>
            </w:tcBorders>
            <w:vAlign w:val="center"/>
          </w:tcPr>
          <w:p w14:paraId="43BD3101">
            <w:pPr>
              <w:spacing w:line="560" w:lineRule="exact"/>
              <w:jc w:val="center"/>
              <w:rPr>
                <w:color w:val="auto"/>
                <w:sz w:val="24"/>
                <w:szCs w:val="24"/>
              </w:rPr>
            </w:pPr>
          </w:p>
        </w:tc>
        <w:tc>
          <w:tcPr>
            <w:tcW w:w="1397" w:type="dxa"/>
            <w:tcBorders>
              <w:bottom w:val="single" w:color="000000" w:sz="4" w:space="0"/>
              <w:right w:val="single" w:color="000000" w:sz="8" w:space="0"/>
            </w:tcBorders>
          </w:tcPr>
          <w:p w14:paraId="4024F1B9">
            <w:pPr>
              <w:spacing w:line="560" w:lineRule="exact"/>
              <w:jc w:val="center"/>
              <w:rPr>
                <w:color w:val="auto"/>
                <w:sz w:val="24"/>
                <w:szCs w:val="24"/>
              </w:rPr>
            </w:pPr>
          </w:p>
        </w:tc>
      </w:tr>
      <w:tr w14:paraId="3E8B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568" w:type="dxa"/>
            <w:tcBorders>
              <w:left w:val="single" w:color="000000" w:sz="8" w:space="0"/>
              <w:bottom w:val="single" w:color="000000" w:sz="4" w:space="0"/>
              <w:right w:val="single" w:color="000000" w:sz="4" w:space="0"/>
            </w:tcBorders>
            <w:vAlign w:val="center"/>
          </w:tcPr>
          <w:p w14:paraId="52757924">
            <w:pPr>
              <w:spacing w:line="560" w:lineRule="exact"/>
              <w:jc w:val="center"/>
              <w:rPr>
                <w:color w:val="auto"/>
                <w:sz w:val="24"/>
                <w:szCs w:val="24"/>
              </w:rPr>
            </w:pPr>
            <w:r>
              <w:rPr>
                <w:color w:val="auto"/>
                <w:sz w:val="24"/>
                <w:szCs w:val="24"/>
              </w:rPr>
              <w:t>9</w:t>
            </w:r>
          </w:p>
        </w:tc>
        <w:tc>
          <w:tcPr>
            <w:tcW w:w="1555" w:type="dxa"/>
            <w:tcBorders>
              <w:bottom w:val="single" w:color="000000" w:sz="4" w:space="0"/>
              <w:right w:val="single" w:color="000000" w:sz="4" w:space="0"/>
            </w:tcBorders>
            <w:vAlign w:val="center"/>
          </w:tcPr>
          <w:p w14:paraId="5998FD88">
            <w:pPr>
              <w:spacing w:line="560" w:lineRule="exact"/>
              <w:jc w:val="center"/>
              <w:rPr>
                <w:color w:val="auto"/>
                <w:sz w:val="24"/>
                <w:szCs w:val="24"/>
              </w:rPr>
            </w:pPr>
          </w:p>
        </w:tc>
        <w:tc>
          <w:tcPr>
            <w:tcW w:w="2184" w:type="dxa"/>
            <w:tcBorders>
              <w:bottom w:val="single" w:color="000000" w:sz="4" w:space="0"/>
              <w:right w:val="single" w:color="000000" w:sz="4" w:space="0"/>
            </w:tcBorders>
            <w:vAlign w:val="center"/>
          </w:tcPr>
          <w:p w14:paraId="3FBE8BC1">
            <w:pPr>
              <w:spacing w:line="560" w:lineRule="exact"/>
              <w:jc w:val="center"/>
              <w:rPr>
                <w:color w:val="auto"/>
                <w:sz w:val="24"/>
                <w:szCs w:val="24"/>
              </w:rPr>
            </w:pPr>
          </w:p>
        </w:tc>
        <w:tc>
          <w:tcPr>
            <w:tcW w:w="2077" w:type="dxa"/>
            <w:tcBorders>
              <w:bottom w:val="single" w:color="000000" w:sz="4" w:space="0"/>
              <w:right w:val="single" w:color="000000" w:sz="4" w:space="0"/>
            </w:tcBorders>
            <w:vAlign w:val="center"/>
          </w:tcPr>
          <w:p w14:paraId="1A3730EB">
            <w:pPr>
              <w:spacing w:line="560" w:lineRule="exact"/>
              <w:jc w:val="center"/>
              <w:rPr>
                <w:color w:val="auto"/>
                <w:sz w:val="24"/>
                <w:szCs w:val="24"/>
              </w:rPr>
            </w:pPr>
          </w:p>
        </w:tc>
        <w:tc>
          <w:tcPr>
            <w:tcW w:w="1859" w:type="dxa"/>
            <w:tcBorders>
              <w:bottom w:val="single" w:color="000000" w:sz="4" w:space="0"/>
              <w:right w:val="single" w:color="000000" w:sz="8" w:space="0"/>
            </w:tcBorders>
            <w:vAlign w:val="center"/>
          </w:tcPr>
          <w:p w14:paraId="374B2556">
            <w:pPr>
              <w:spacing w:line="560" w:lineRule="exact"/>
              <w:jc w:val="center"/>
              <w:rPr>
                <w:color w:val="auto"/>
                <w:sz w:val="24"/>
                <w:szCs w:val="24"/>
              </w:rPr>
            </w:pPr>
          </w:p>
        </w:tc>
        <w:tc>
          <w:tcPr>
            <w:tcW w:w="1397" w:type="dxa"/>
            <w:tcBorders>
              <w:bottom w:val="single" w:color="000000" w:sz="4" w:space="0"/>
              <w:right w:val="single" w:color="000000" w:sz="8" w:space="0"/>
            </w:tcBorders>
          </w:tcPr>
          <w:p w14:paraId="41268873">
            <w:pPr>
              <w:spacing w:line="560" w:lineRule="exact"/>
              <w:jc w:val="center"/>
              <w:rPr>
                <w:color w:val="auto"/>
                <w:sz w:val="24"/>
                <w:szCs w:val="24"/>
              </w:rPr>
            </w:pPr>
          </w:p>
        </w:tc>
      </w:tr>
      <w:tr w14:paraId="40C1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68" w:type="dxa"/>
            <w:tcBorders>
              <w:left w:val="single" w:color="000000" w:sz="8" w:space="0"/>
              <w:bottom w:val="single" w:color="000000" w:sz="8" w:space="0"/>
              <w:right w:val="single" w:color="000000" w:sz="4" w:space="0"/>
            </w:tcBorders>
            <w:vAlign w:val="center"/>
          </w:tcPr>
          <w:p w14:paraId="49F55188">
            <w:pPr>
              <w:spacing w:line="560" w:lineRule="exact"/>
              <w:jc w:val="center"/>
              <w:rPr>
                <w:color w:val="auto"/>
                <w:sz w:val="24"/>
                <w:szCs w:val="24"/>
              </w:rPr>
            </w:pPr>
            <w:r>
              <w:rPr>
                <w:color w:val="auto"/>
                <w:sz w:val="24"/>
                <w:szCs w:val="24"/>
              </w:rPr>
              <w:t>......</w:t>
            </w:r>
          </w:p>
        </w:tc>
        <w:tc>
          <w:tcPr>
            <w:tcW w:w="1555" w:type="dxa"/>
            <w:tcBorders>
              <w:bottom w:val="single" w:color="000000" w:sz="8" w:space="0"/>
              <w:right w:val="single" w:color="000000" w:sz="4" w:space="0"/>
            </w:tcBorders>
            <w:vAlign w:val="center"/>
          </w:tcPr>
          <w:p w14:paraId="14C58E5E">
            <w:pPr>
              <w:spacing w:line="560" w:lineRule="exact"/>
              <w:jc w:val="center"/>
              <w:rPr>
                <w:color w:val="auto"/>
                <w:sz w:val="24"/>
                <w:szCs w:val="24"/>
              </w:rPr>
            </w:pPr>
          </w:p>
        </w:tc>
        <w:tc>
          <w:tcPr>
            <w:tcW w:w="2184" w:type="dxa"/>
            <w:tcBorders>
              <w:bottom w:val="single" w:color="000000" w:sz="8" w:space="0"/>
              <w:right w:val="single" w:color="000000" w:sz="4" w:space="0"/>
            </w:tcBorders>
            <w:vAlign w:val="center"/>
          </w:tcPr>
          <w:p w14:paraId="175A0479">
            <w:pPr>
              <w:spacing w:line="560" w:lineRule="exact"/>
              <w:jc w:val="center"/>
              <w:rPr>
                <w:color w:val="auto"/>
                <w:sz w:val="24"/>
                <w:szCs w:val="24"/>
              </w:rPr>
            </w:pPr>
          </w:p>
        </w:tc>
        <w:tc>
          <w:tcPr>
            <w:tcW w:w="2077" w:type="dxa"/>
            <w:tcBorders>
              <w:bottom w:val="single" w:color="000000" w:sz="8" w:space="0"/>
              <w:right w:val="single" w:color="000000" w:sz="4" w:space="0"/>
            </w:tcBorders>
            <w:vAlign w:val="center"/>
          </w:tcPr>
          <w:p w14:paraId="7506A285">
            <w:pPr>
              <w:spacing w:line="560" w:lineRule="exact"/>
              <w:jc w:val="center"/>
              <w:rPr>
                <w:color w:val="auto"/>
                <w:sz w:val="24"/>
                <w:szCs w:val="24"/>
              </w:rPr>
            </w:pPr>
          </w:p>
        </w:tc>
        <w:tc>
          <w:tcPr>
            <w:tcW w:w="1859" w:type="dxa"/>
            <w:tcBorders>
              <w:bottom w:val="single" w:color="000000" w:sz="8" w:space="0"/>
              <w:right w:val="single" w:color="000000" w:sz="8" w:space="0"/>
            </w:tcBorders>
            <w:vAlign w:val="center"/>
          </w:tcPr>
          <w:p w14:paraId="0309116F">
            <w:pPr>
              <w:spacing w:line="560" w:lineRule="exact"/>
              <w:jc w:val="center"/>
              <w:rPr>
                <w:color w:val="auto"/>
                <w:sz w:val="24"/>
                <w:szCs w:val="24"/>
              </w:rPr>
            </w:pPr>
          </w:p>
        </w:tc>
        <w:tc>
          <w:tcPr>
            <w:tcW w:w="1397" w:type="dxa"/>
            <w:tcBorders>
              <w:bottom w:val="single" w:color="000000" w:sz="8" w:space="0"/>
              <w:right w:val="single" w:color="000000" w:sz="8" w:space="0"/>
            </w:tcBorders>
          </w:tcPr>
          <w:p w14:paraId="657B2B54">
            <w:pPr>
              <w:spacing w:line="560" w:lineRule="exact"/>
              <w:jc w:val="center"/>
              <w:rPr>
                <w:color w:val="auto"/>
                <w:sz w:val="24"/>
                <w:szCs w:val="24"/>
              </w:rPr>
            </w:pPr>
          </w:p>
        </w:tc>
      </w:tr>
    </w:tbl>
    <w:p w14:paraId="0F1BA167">
      <w:pPr>
        <w:widowControl w:val="0"/>
        <w:tabs>
          <w:tab w:val="left" w:pos="9365"/>
        </w:tabs>
        <w:snapToGrid w:val="0"/>
        <w:spacing w:line="360" w:lineRule="auto"/>
        <w:ind w:firstLine="210" w:firstLineChars="100"/>
        <w:textAlignment w:val="top"/>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注：1.“偏离”栏中详细注明响应产品参数与《磋商文件》中要求有何不同，并说明其符合性。供应商应分标段（包）填制本表，页数不够时请自行按格式添加。</w:t>
      </w:r>
    </w:p>
    <w:p w14:paraId="4AF415E7">
      <w:pPr>
        <w:widowControl w:val="0"/>
        <w:tabs>
          <w:tab w:val="left" w:pos="9365"/>
        </w:tabs>
        <w:snapToGrid w:val="0"/>
        <w:spacing w:line="360" w:lineRule="auto"/>
        <w:ind w:firstLine="624"/>
        <w:textAlignment w:val="top"/>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2.如所投产品配置及技术参数与“技术服务要求”一致的部分，仍需在本表填列“与《磋商文件》技术服务要求一致</w:t>
      </w:r>
      <w:r>
        <w:rPr>
          <w:rFonts w:hint="eastAsia" w:ascii="宋体" w:hAnsi="宋体"/>
          <w:color w:val="auto"/>
          <w:spacing w:val="8"/>
          <w:szCs w:val="21"/>
        </w:rPr>
        <w:t>，无偏离”等相似表述。</w:t>
      </w:r>
    </w:p>
    <w:p w14:paraId="714549A6">
      <w:pPr>
        <w:tabs>
          <w:tab w:val="left" w:pos="540"/>
        </w:tabs>
        <w:spacing w:line="440" w:lineRule="exact"/>
        <w:jc w:val="center"/>
        <w:rPr>
          <w:color w:val="auto"/>
          <w:sz w:val="28"/>
        </w:rPr>
      </w:pPr>
    </w:p>
    <w:p w14:paraId="6C8D7D98">
      <w:pPr>
        <w:tabs>
          <w:tab w:val="left" w:pos="540"/>
        </w:tabs>
        <w:spacing w:line="440" w:lineRule="exact"/>
        <w:jc w:val="center"/>
        <w:rPr>
          <w:color w:val="auto"/>
          <w:sz w:val="28"/>
        </w:rPr>
      </w:pPr>
    </w:p>
    <w:p w14:paraId="1FFC0012">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67CAFEA8">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19CE733F">
      <w:pPr>
        <w:spacing w:line="240" w:lineRule="auto"/>
        <w:rPr>
          <w:rFonts w:ascii="宋体" w:cs="楷体_GB2312"/>
          <w:b/>
          <w:color w:val="auto"/>
          <w:sz w:val="30"/>
          <w:szCs w:val="30"/>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070745F5">
      <w:pPr>
        <w:spacing w:line="240" w:lineRule="auto"/>
        <w:jc w:val="left"/>
        <w:textAlignment w:val="auto"/>
        <w:rPr>
          <w:rFonts w:asciiTheme="minorEastAsia" w:hAnsiTheme="minorEastAsia" w:eastAsiaTheme="minorEastAsia" w:cstheme="minorEastAsia"/>
          <w:b/>
          <w:color w:val="auto"/>
          <w:sz w:val="24"/>
          <w:szCs w:val="24"/>
        </w:rPr>
      </w:pPr>
      <w:r>
        <w:rPr>
          <w:color w:val="auto"/>
          <w:sz w:val="28"/>
        </w:rPr>
        <w:br w:type="page"/>
      </w:r>
      <w:bookmarkStart w:id="47" w:name="OLE_LINK28"/>
    </w:p>
    <w:p w14:paraId="643A4C21">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七、其他偏离表（除技术偏离外）</w:t>
      </w:r>
    </w:p>
    <w:p w14:paraId="15522A3F">
      <w:pPr>
        <w:spacing w:line="240" w:lineRule="auto"/>
        <w:jc w:val="left"/>
        <w:textAlignment w:val="auto"/>
        <w:rPr>
          <w:color w:val="auto"/>
          <w:sz w:val="24"/>
          <w:szCs w:val="24"/>
        </w:rPr>
      </w:pPr>
    </w:p>
    <w:p w14:paraId="1941F6A2">
      <w:pPr>
        <w:pStyle w:val="15"/>
        <w:adjustRightInd w:val="0"/>
        <w:snapToGrid w:val="0"/>
        <w:spacing w:before="0" w:beforeAutospacing="0" w:after="0" w:afterAutospacing="0"/>
        <w:rPr>
          <w:color w:val="auto"/>
          <w:u w:val="single"/>
        </w:rPr>
      </w:pPr>
      <w:r>
        <w:rPr>
          <w:rFonts w:hint="eastAsia"/>
          <w:color w:val="auto"/>
        </w:rPr>
        <w:t>项目名称：</w:t>
      </w:r>
    </w:p>
    <w:p w14:paraId="3F7CE9B3">
      <w:pPr>
        <w:pStyle w:val="15"/>
        <w:adjustRightInd w:val="0"/>
        <w:snapToGrid w:val="0"/>
        <w:spacing w:before="0" w:beforeAutospacing="0" w:after="0" w:afterAutospacing="0"/>
        <w:rPr>
          <w:color w:val="auto"/>
        </w:rPr>
      </w:pPr>
      <w:r>
        <w:rPr>
          <w:rFonts w:hint="eastAsia"/>
          <w:color w:val="auto"/>
        </w:rPr>
        <w:t>项目编号：</w:t>
      </w:r>
    </w:p>
    <w:tbl>
      <w:tblPr>
        <w:tblStyle w:val="1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7667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0B5AEA93">
            <w:pPr>
              <w:spacing w:line="560" w:lineRule="exact"/>
              <w:jc w:val="center"/>
              <w:rPr>
                <w:bCs/>
                <w:color w:val="auto"/>
                <w:sz w:val="24"/>
                <w:szCs w:val="24"/>
              </w:rPr>
            </w:pPr>
            <w:r>
              <w:rPr>
                <w:rFonts w:hint="eastAsia"/>
                <w:bCs/>
                <w:color w:val="auto"/>
                <w:sz w:val="24"/>
                <w:szCs w:val="24"/>
              </w:rPr>
              <w:t>序号</w:t>
            </w:r>
          </w:p>
        </w:tc>
        <w:tc>
          <w:tcPr>
            <w:tcW w:w="3098" w:type="dxa"/>
            <w:tcBorders>
              <w:top w:val="single" w:color="000000" w:sz="8" w:space="0"/>
              <w:bottom w:val="single" w:color="000000" w:sz="4" w:space="0"/>
              <w:right w:val="single" w:color="000000" w:sz="4" w:space="0"/>
            </w:tcBorders>
            <w:vAlign w:val="center"/>
          </w:tcPr>
          <w:p w14:paraId="2FFC9229">
            <w:pPr>
              <w:spacing w:line="560" w:lineRule="exact"/>
              <w:jc w:val="center"/>
              <w:rPr>
                <w:bCs/>
                <w:color w:val="auto"/>
                <w:sz w:val="24"/>
                <w:szCs w:val="24"/>
              </w:rPr>
            </w:pPr>
            <w:r>
              <w:rPr>
                <w:rFonts w:hint="eastAsia"/>
                <w:bCs/>
                <w:color w:val="auto"/>
                <w:sz w:val="24"/>
                <w:szCs w:val="24"/>
              </w:rPr>
              <w:t>《磋商文件》要求</w:t>
            </w:r>
          </w:p>
        </w:tc>
        <w:tc>
          <w:tcPr>
            <w:tcW w:w="2947" w:type="dxa"/>
            <w:tcBorders>
              <w:top w:val="single" w:color="000000" w:sz="8" w:space="0"/>
              <w:bottom w:val="single" w:color="000000" w:sz="4" w:space="0"/>
              <w:right w:val="single" w:color="000000" w:sz="4" w:space="0"/>
            </w:tcBorders>
            <w:vAlign w:val="center"/>
          </w:tcPr>
          <w:p w14:paraId="0E0C2DBB">
            <w:pPr>
              <w:spacing w:line="560" w:lineRule="exact"/>
              <w:jc w:val="center"/>
              <w:rPr>
                <w:bCs/>
                <w:color w:val="auto"/>
                <w:sz w:val="24"/>
                <w:szCs w:val="24"/>
              </w:rPr>
            </w:pPr>
            <w:r>
              <w:rPr>
                <w:rFonts w:hint="eastAsia"/>
                <w:bCs/>
                <w:color w:val="auto"/>
                <w:sz w:val="24"/>
                <w:szCs w:val="24"/>
              </w:rPr>
              <w:t>《响应文件》响应</w:t>
            </w:r>
          </w:p>
        </w:tc>
        <w:tc>
          <w:tcPr>
            <w:tcW w:w="2638" w:type="dxa"/>
            <w:tcBorders>
              <w:top w:val="single" w:color="000000" w:sz="8" w:space="0"/>
              <w:bottom w:val="single" w:color="000000" w:sz="4" w:space="0"/>
              <w:right w:val="single" w:color="000000" w:sz="8" w:space="0"/>
            </w:tcBorders>
            <w:vAlign w:val="center"/>
          </w:tcPr>
          <w:p w14:paraId="72CB94D6">
            <w:pPr>
              <w:spacing w:line="560" w:lineRule="exact"/>
              <w:jc w:val="center"/>
              <w:rPr>
                <w:bCs/>
                <w:color w:val="auto"/>
                <w:sz w:val="24"/>
                <w:szCs w:val="24"/>
              </w:rPr>
            </w:pPr>
            <w:r>
              <w:rPr>
                <w:rFonts w:hint="eastAsia"/>
                <w:bCs/>
                <w:color w:val="auto"/>
                <w:sz w:val="24"/>
                <w:szCs w:val="24"/>
              </w:rPr>
              <w:t>偏离描述</w:t>
            </w:r>
          </w:p>
        </w:tc>
      </w:tr>
      <w:tr w14:paraId="5D5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1753D20">
            <w:pPr>
              <w:spacing w:line="560" w:lineRule="exact"/>
              <w:jc w:val="center"/>
              <w:rPr>
                <w:color w:val="auto"/>
                <w:sz w:val="24"/>
                <w:szCs w:val="24"/>
              </w:rPr>
            </w:pPr>
            <w:r>
              <w:rPr>
                <w:color w:val="auto"/>
                <w:sz w:val="24"/>
                <w:szCs w:val="24"/>
              </w:rPr>
              <w:t>1</w:t>
            </w:r>
          </w:p>
        </w:tc>
        <w:tc>
          <w:tcPr>
            <w:tcW w:w="3098" w:type="dxa"/>
            <w:tcBorders>
              <w:bottom w:val="single" w:color="000000" w:sz="4" w:space="0"/>
              <w:right w:val="single" w:color="000000" w:sz="4" w:space="0"/>
            </w:tcBorders>
            <w:vAlign w:val="center"/>
          </w:tcPr>
          <w:p w14:paraId="4A434811">
            <w:pPr>
              <w:spacing w:line="560" w:lineRule="exact"/>
              <w:jc w:val="center"/>
              <w:rPr>
                <w:color w:val="auto"/>
                <w:sz w:val="24"/>
                <w:szCs w:val="24"/>
              </w:rPr>
            </w:pPr>
          </w:p>
        </w:tc>
        <w:tc>
          <w:tcPr>
            <w:tcW w:w="2947" w:type="dxa"/>
            <w:tcBorders>
              <w:bottom w:val="single" w:color="000000" w:sz="4" w:space="0"/>
              <w:right w:val="single" w:color="000000" w:sz="4" w:space="0"/>
            </w:tcBorders>
            <w:vAlign w:val="center"/>
          </w:tcPr>
          <w:p w14:paraId="434B6797">
            <w:pPr>
              <w:spacing w:line="560" w:lineRule="exact"/>
              <w:jc w:val="center"/>
              <w:rPr>
                <w:color w:val="auto"/>
                <w:sz w:val="24"/>
                <w:szCs w:val="24"/>
              </w:rPr>
            </w:pPr>
          </w:p>
        </w:tc>
        <w:tc>
          <w:tcPr>
            <w:tcW w:w="2638" w:type="dxa"/>
            <w:tcBorders>
              <w:bottom w:val="single" w:color="000000" w:sz="4" w:space="0"/>
              <w:right w:val="single" w:color="000000" w:sz="8" w:space="0"/>
            </w:tcBorders>
            <w:vAlign w:val="center"/>
          </w:tcPr>
          <w:p w14:paraId="5AED17B5">
            <w:pPr>
              <w:spacing w:line="560" w:lineRule="exact"/>
              <w:jc w:val="center"/>
              <w:rPr>
                <w:color w:val="auto"/>
                <w:sz w:val="24"/>
                <w:szCs w:val="24"/>
              </w:rPr>
            </w:pPr>
          </w:p>
        </w:tc>
      </w:tr>
      <w:tr w14:paraId="0CFB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1D4D436B">
            <w:pPr>
              <w:spacing w:line="560" w:lineRule="exact"/>
              <w:jc w:val="center"/>
              <w:rPr>
                <w:color w:val="auto"/>
                <w:sz w:val="24"/>
                <w:szCs w:val="24"/>
              </w:rPr>
            </w:pPr>
            <w:r>
              <w:rPr>
                <w:color w:val="auto"/>
                <w:sz w:val="24"/>
                <w:szCs w:val="24"/>
              </w:rPr>
              <w:t>2</w:t>
            </w:r>
          </w:p>
        </w:tc>
        <w:tc>
          <w:tcPr>
            <w:tcW w:w="3098" w:type="dxa"/>
            <w:tcBorders>
              <w:bottom w:val="single" w:color="000000" w:sz="4" w:space="0"/>
              <w:right w:val="single" w:color="000000" w:sz="4" w:space="0"/>
            </w:tcBorders>
            <w:vAlign w:val="center"/>
          </w:tcPr>
          <w:p w14:paraId="3E9B8ADD">
            <w:pPr>
              <w:spacing w:line="560" w:lineRule="exact"/>
              <w:jc w:val="center"/>
              <w:rPr>
                <w:color w:val="auto"/>
                <w:sz w:val="24"/>
                <w:szCs w:val="24"/>
              </w:rPr>
            </w:pPr>
          </w:p>
        </w:tc>
        <w:tc>
          <w:tcPr>
            <w:tcW w:w="2947" w:type="dxa"/>
            <w:tcBorders>
              <w:bottom w:val="single" w:color="000000" w:sz="4" w:space="0"/>
              <w:right w:val="single" w:color="000000" w:sz="4" w:space="0"/>
            </w:tcBorders>
            <w:vAlign w:val="center"/>
          </w:tcPr>
          <w:p w14:paraId="1D6FE2F3">
            <w:pPr>
              <w:spacing w:line="560" w:lineRule="exact"/>
              <w:jc w:val="center"/>
              <w:rPr>
                <w:color w:val="auto"/>
                <w:sz w:val="24"/>
                <w:szCs w:val="24"/>
              </w:rPr>
            </w:pPr>
          </w:p>
        </w:tc>
        <w:tc>
          <w:tcPr>
            <w:tcW w:w="2638" w:type="dxa"/>
            <w:tcBorders>
              <w:bottom w:val="single" w:color="000000" w:sz="4" w:space="0"/>
              <w:right w:val="single" w:color="000000" w:sz="8" w:space="0"/>
            </w:tcBorders>
            <w:vAlign w:val="center"/>
          </w:tcPr>
          <w:p w14:paraId="4DA76F35">
            <w:pPr>
              <w:spacing w:line="560" w:lineRule="exact"/>
              <w:jc w:val="center"/>
              <w:rPr>
                <w:color w:val="auto"/>
                <w:sz w:val="24"/>
                <w:szCs w:val="24"/>
              </w:rPr>
            </w:pPr>
          </w:p>
        </w:tc>
      </w:tr>
      <w:tr w14:paraId="2596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7412D173">
            <w:pPr>
              <w:spacing w:line="560" w:lineRule="exact"/>
              <w:jc w:val="center"/>
              <w:rPr>
                <w:color w:val="auto"/>
                <w:sz w:val="24"/>
                <w:szCs w:val="24"/>
              </w:rPr>
            </w:pPr>
            <w:r>
              <w:rPr>
                <w:color w:val="auto"/>
                <w:sz w:val="24"/>
                <w:szCs w:val="24"/>
              </w:rPr>
              <w:t>3</w:t>
            </w:r>
          </w:p>
        </w:tc>
        <w:tc>
          <w:tcPr>
            <w:tcW w:w="3098" w:type="dxa"/>
            <w:tcBorders>
              <w:bottom w:val="single" w:color="000000" w:sz="4" w:space="0"/>
              <w:right w:val="single" w:color="000000" w:sz="4" w:space="0"/>
            </w:tcBorders>
            <w:vAlign w:val="center"/>
          </w:tcPr>
          <w:p w14:paraId="13FF4088">
            <w:pPr>
              <w:spacing w:line="560" w:lineRule="exact"/>
              <w:jc w:val="center"/>
              <w:rPr>
                <w:color w:val="auto"/>
                <w:sz w:val="24"/>
                <w:szCs w:val="24"/>
              </w:rPr>
            </w:pPr>
          </w:p>
        </w:tc>
        <w:tc>
          <w:tcPr>
            <w:tcW w:w="2947" w:type="dxa"/>
            <w:tcBorders>
              <w:bottom w:val="single" w:color="000000" w:sz="4" w:space="0"/>
              <w:right w:val="single" w:color="000000" w:sz="4" w:space="0"/>
            </w:tcBorders>
            <w:vAlign w:val="center"/>
          </w:tcPr>
          <w:p w14:paraId="5557CB3A">
            <w:pPr>
              <w:spacing w:line="560" w:lineRule="exact"/>
              <w:jc w:val="center"/>
              <w:rPr>
                <w:color w:val="auto"/>
                <w:sz w:val="24"/>
                <w:szCs w:val="24"/>
              </w:rPr>
            </w:pPr>
          </w:p>
        </w:tc>
        <w:tc>
          <w:tcPr>
            <w:tcW w:w="2638" w:type="dxa"/>
            <w:tcBorders>
              <w:bottom w:val="single" w:color="000000" w:sz="4" w:space="0"/>
              <w:right w:val="single" w:color="000000" w:sz="8" w:space="0"/>
            </w:tcBorders>
            <w:vAlign w:val="center"/>
          </w:tcPr>
          <w:p w14:paraId="0D846DEE">
            <w:pPr>
              <w:spacing w:line="560" w:lineRule="exact"/>
              <w:jc w:val="center"/>
              <w:rPr>
                <w:color w:val="auto"/>
                <w:sz w:val="24"/>
                <w:szCs w:val="24"/>
              </w:rPr>
            </w:pPr>
          </w:p>
        </w:tc>
      </w:tr>
      <w:tr w14:paraId="76BB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04050282">
            <w:pPr>
              <w:spacing w:line="560" w:lineRule="exact"/>
              <w:jc w:val="center"/>
              <w:rPr>
                <w:color w:val="auto"/>
                <w:sz w:val="24"/>
                <w:szCs w:val="24"/>
              </w:rPr>
            </w:pPr>
            <w:r>
              <w:rPr>
                <w:color w:val="auto"/>
                <w:sz w:val="24"/>
                <w:szCs w:val="24"/>
              </w:rPr>
              <w:t>4</w:t>
            </w:r>
          </w:p>
        </w:tc>
        <w:tc>
          <w:tcPr>
            <w:tcW w:w="3098" w:type="dxa"/>
            <w:tcBorders>
              <w:bottom w:val="single" w:color="000000" w:sz="4" w:space="0"/>
              <w:right w:val="single" w:color="000000" w:sz="4" w:space="0"/>
            </w:tcBorders>
            <w:vAlign w:val="center"/>
          </w:tcPr>
          <w:p w14:paraId="784E296A">
            <w:pPr>
              <w:spacing w:line="560" w:lineRule="exact"/>
              <w:jc w:val="center"/>
              <w:rPr>
                <w:color w:val="auto"/>
                <w:sz w:val="24"/>
                <w:szCs w:val="24"/>
              </w:rPr>
            </w:pPr>
          </w:p>
        </w:tc>
        <w:tc>
          <w:tcPr>
            <w:tcW w:w="2947" w:type="dxa"/>
            <w:tcBorders>
              <w:bottom w:val="single" w:color="000000" w:sz="4" w:space="0"/>
              <w:right w:val="single" w:color="000000" w:sz="4" w:space="0"/>
            </w:tcBorders>
            <w:vAlign w:val="center"/>
          </w:tcPr>
          <w:p w14:paraId="232F042D">
            <w:pPr>
              <w:spacing w:line="560" w:lineRule="exact"/>
              <w:jc w:val="center"/>
              <w:rPr>
                <w:color w:val="auto"/>
                <w:sz w:val="24"/>
                <w:szCs w:val="24"/>
              </w:rPr>
            </w:pPr>
          </w:p>
        </w:tc>
        <w:tc>
          <w:tcPr>
            <w:tcW w:w="2638" w:type="dxa"/>
            <w:tcBorders>
              <w:bottom w:val="single" w:color="000000" w:sz="4" w:space="0"/>
              <w:right w:val="single" w:color="000000" w:sz="8" w:space="0"/>
            </w:tcBorders>
            <w:vAlign w:val="center"/>
          </w:tcPr>
          <w:p w14:paraId="107347F7">
            <w:pPr>
              <w:spacing w:line="560" w:lineRule="exact"/>
              <w:jc w:val="center"/>
              <w:rPr>
                <w:color w:val="auto"/>
                <w:sz w:val="24"/>
                <w:szCs w:val="24"/>
              </w:rPr>
            </w:pPr>
          </w:p>
        </w:tc>
      </w:tr>
      <w:tr w14:paraId="211A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6F06F21A">
            <w:pPr>
              <w:spacing w:line="560" w:lineRule="exact"/>
              <w:jc w:val="center"/>
              <w:rPr>
                <w:color w:val="auto"/>
                <w:sz w:val="24"/>
                <w:szCs w:val="24"/>
              </w:rPr>
            </w:pPr>
            <w:r>
              <w:rPr>
                <w:color w:val="auto"/>
                <w:sz w:val="24"/>
                <w:szCs w:val="24"/>
              </w:rPr>
              <w:t>5</w:t>
            </w:r>
          </w:p>
        </w:tc>
        <w:tc>
          <w:tcPr>
            <w:tcW w:w="3098" w:type="dxa"/>
            <w:tcBorders>
              <w:bottom w:val="single" w:color="000000" w:sz="4" w:space="0"/>
              <w:right w:val="single" w:color="000000" w:sz="4" w:space="0"/>
            </w:tcBorders>
            <w:vAlign w:val="center"/>
          </w:tcPr>
          <w:p w14:paraId="7CDA4502">
            <w:pPr>
              <w:spacing w:line="560" w:lineRule="exact"/>
              <w:jc w:val="center"/>
              <w:rPr>
                <w:color w:val="auto"/>
                <w:sz w:val="24"/>
                <w:szCs w:val="24"/>
              </w:rPr>
            </w:pPr>
          </w:p>
        </w:tc>
        <w:tc>
          <w:tcPr>
            <w:tcW w:w="2947" w:type="dxa"/>
            <w:tcBorders>
              <w:bottom w:val="single" w:color="000000" w:sz="4" w:space="0"/>
              <w:right w:val="single" w:color="000000" w:sz="4" w:space="0"/>
            </w:tcBorders>
            <w:vAlign w:val="center"/>
          </w:tcPr>
          <w:p w14:paraId="4C5DB847">
            <w:pPr>
              <w:spacing w:line="560" w:lineRule="exact"/>
              <w:jc w:val="center"/>
              <w:rPr>
                <w:color w:val="auto"/>
                <w:sz w:val="24"/>
                <w:szCs w:val="24"/>
              </w:rPr>
            </w:pPr>
          </w:p>
        </w:tc>
        <w:tc>
          <w:tcPr>
            <w:tcW w:w="2638" w:type="dxa"/>
            <w:tcBorders>
              <w:bottom w:val="single" w:color="000000" w:sz="4" w:space="0"/>
              <w:right w:val="single" w:color="000000" w:sz="8" w:space="0"/>
            </w:tcBorders>
            <w:vAlign w:val="center"/>
          </w:tcPr>
          <w:p w14:paraId="5EC739E7">
            <w:pPr>
              <w:spacing w:line="560" w:lineRule="exact"/>
              <w:jc w:val="center"/>
              <w:rPr>
                <w:color w:val="auto"/>
                <w:sz w:val="24"/>
                <w:szCs w:val="24"/>
              </w:rPr>
            </w:pPr>
          </w:p>
        </w:tc>
      </w:tr>
      <w:tr w14:paraId="5D3A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77EE0512">
            <w:pPr>
              <w:spacing w:line="560" w:lineRule="exact"/>
              <w:jc w:val="center"/>
              <w:rPr>
                <w:color w:val="auto"/>
                <w:sz w:val="24"/>
                <w:szCs w:val="24"/>
              </w:rPr>
            </w:pPr>
            <w:r>
              <w:rPr>
                <w:color w:val="auto"/>
                <w:sz w:val="24"/>
                <w:szCs w:val="24"/>
              </w:rPr>
              <w:t>6</w:t>
            </w:r>
          </w:p>
        </w:tc>
        <w:tc>
          <w:tcPr>
            <w:tcW w:w="3098" w:type="dxa"/>
            <w:tcBorders>
              <w:bottom w:val="single" w:color="000000" w:sz="4" w:space="0"/>
              <w:right w:val="single" w:color="000000" w:sz="4" w:space="0"/>
            </w:tcBorders>
            <w:vAlign w:val="center"/>
          </w:tcPr>
          <w:p w14:paraId="39F73ED4">
            <w:pPr>
              <w:spacing w:line="560" w:lineRule="exact"/>
              <w:jc w:val="center"/>
              <w:rPr>
                <w:color w:val="auto"/>
                <w:sz w:val="24"/>
                <w:szCs w:val="24"/>
              </w:rPr>
            </w:pPr>
          </w:p>
        </w:tc>
        <w:tc>
          <w:tcPr>
            <w:tcW w:w="2947" w:type="dxa"/>
            <w:tcBorders>
              <w:bottom w:val="single" w:color="000000" w:sz="4" w:space="0"/>
              <w:right w:val="single" w:color="000000" w:sz="4" w:space="0"/>
            </w:tcBorders>
            <w:vAlign w:val="center"/>
          </w:tcPr>
          <w:p w14:paraId="37775D6D">
            <w:pPr>
              <w:spacing w:line="560" w:lineRule="exact"/>
              <w:jc w:val="center"/>
              <w:rPr>
                <w:color w:val="auto"/>
                <w:sz w:val="24"/>
                <w:szCs w:val="24"/>
              </w:rPr>
            </w:pPr>
          </w:p>
        </w:tc>
        <w:tc>
          <w:tcPr>
            <w:tcW w:w="2638" w:type="dxa"/>
            <w:tcBorders>
              <w:bottom w:val="single" w:color="000000" w:sz="4" w:space="0"/>
              <w:right w:val="single" w:color="000000" w:sz="8" w:space="0"/>
            </w:tcBorders>
            <w:vAlign w:val="center"/>
          </w:tcPr>
          <w:p w14:paraId="052BEDDF">
            <w:pPr>
              <w:spacing w:line="560" w:lineRule="exact"/>
              <w:jc w:val="center"/>
              <w:rPr>
                <w:color w:val="auto"/>
                <w:sz w:val="24"/>
                <w:szCs w:val="24"/>
              </w:rPr>
            </w:pPr>
          </w:p>
        </w:tc>
      </w:tr>
      <w:tr w14:paraId="1C4D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64F85A28">
            <w:pPr>
              <w:spacing w:line="560" w:lineRule="exact"/>
              <w:jc w:val="center"/>
              <w:rPr>
                <w:color w:val="auto"/>
                <w:sz w:val="24"/>
                <w:szCs w:val="24"/>
              </w:rPr>
            </w:pPr>
            <w:r>
              <w:rPr>
                <w:color w:val="auto"/>
                <w:sz w:val="24"/>
                <w:szCs w:val="24"/>
              </w:rPr>
              <w:t>7</w:t>
            </w:r>
          </w:p>
        </w:tc>
        <w:tc>
          <w:tcPr>
            <w:tcW w:w="3098" w:type="dxa"/>
            <w:tcBorders>
              <w:bottom w:val="single" w:color="000000" w:sz="4" w:space="0"/>
              <w:right w:val="single" w:color="000000" w:sz="4" w:space="0"/>
            </w:tcBorders>
            <w:vAlign w:val="center"/>
          </w:tcPr>
          <w:p w14:paraId="4AD1DE72">
            <w:pPr>
              <w:spacing w:line="560" w:lineRule="exact"/>
              <w:jc w:val="center"/>
              <w:rPr>
                <w:color w:val="auto"/>
                <w:sz w:val="24"/>
                <w:szCs w:val="24"/>
              </w:rPr>
            </w:pPr>
          </w:p>
        </w:tc>
        <w:tc>
          <w:tcPr>
            <w:tcW w:w="2947" w:type="dxa"/>
            <w:tcBorders>
              <w:bottom w:val="single" w:color="000000" w:sz="4" w:space="0"/>
              <w:right w:val="single" w:color="000000" w:sz="4" w:space="0"/>
            </w:tcBorders>
            <w:vAlign w:val="center"/>
          </w:tcPr>
          <w:p w14:paraId="1710C609">
            <w:pPr>
              <w:spacing w:line="560" w:lineRule="exact"/>
              <w:jc w:val="center"/>
              <w:rPr>
                <w:color w:val="auto"/>
                <w:sz w:val="24"/>
                <w:szCs w:val="24"/>
              </w:rPr>
            </w:pPr>
          </w:p>
        </w:tc>
        <w:tc>
          <w:tcPr>
            <w:tcW w:w="2638" w:type="dxa"/>
            <w:tcBorders>
              <w:bottom w:val="single" w:color="000000" w:sz="4" w:space="0"/>
              <w:right w:val="single" w:color="000000" w:sz="8" w:space="0"/>
            </w:tcBorders>
            <w:vAlign w:val="center"/>
          </w:tcPr>
          <w:p w14:paraId="53614955">
            <w:pPr>
              <w:spacing w:line="560" w:lineRule="exact"/>
              <w:jc w:val="center"/>
              <w:rPr>
                <w:color w:val="auto"/>
                <w:sz w:val="24"/>
                <w:szCs w:val="24"/>
              </w:rPr>
            </w:pPr>
          </w:p>
        </w:tc>
      </w:tr>
      <w:tr w14:paraId="1B40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20336CD9">
            <w:pPr>
              <w:spacing w:line="560" w:lineRule="exact"/>
              <w:jc w:val="center"/>
              <w:rPr>
                <w:color w:val="auto"/>
                <w:sz w:val="24"/>
                <w:szCs w:val="24"/>
              </w:rPr>
            </w:pPr>
            <w:r>
              <w:rPr>
                <w:color w:val="auto"/>
                <w:sz w:val="24"/>
                <w:szCs w:val="24"/>
              </w:rPr>
              <w:t>8</w:t>
            </w:r>
          </w:p>
        </w:tc>
        <w:tc>
          <w:tcPr>
            <w:tcW w:w="3098" w:type="dxa"/>
            <w:tcBorders>
              <w:bottom w:val="single" w:color="000000" w:sz="4" w:space="0"/>
              <w:right w:val="single" w:color="000000" w:sz="4" w:space="0"/>
            </w:tcBorders>
            <w:vAlign w:val="center"/>
          </w:tcPr>
          <w:p w14:paraId="6BF8F081">
            <w:pPr>
              <w:spacing w:line="560" w:lineRule="exact"/>
              <w:jc w:val="center"/>
              <w:rPr>
                <w:color w:val="auto"/>
                <w:sz w:val="24"/>
                <w:szCs w:val="24"/>
              </w:rPr>
            </w:pPr>
          </w:p>
        </w:tc>
        <w:tc>
          <w:tcPr>
            <w:tcW w:w="2947" w:type="dxa"/>
            <w:tcBorders>
              <w:bottom w:val="single" w:color="000000" w:sz="4" w:space="0"/>
              <w:right w:val="single" w:color="000000" w:sz="4" w:space="0"/>
            </w:tcBorders>
            <w:vAlign w:val="center"/>
          </w:tcPr>
          <w:p w14:paraId="5EA94605">
            <w:pPr>
              <w:spacing w:line="560" w:lineRule="exact"/>
              <w:jc w:val="center"/>
              <w:rPr>
                <w:color w:val="auto"/>
                <w:sz w:val="24"/>
                <w:szCs w:val="24"/>
              </w:rPr>
            </w:pPr>
          </w:p>
        </w:tc>
        <w:tc>
          <w:tcPr>
            <w:tcW w:w="2638" w:type="dxa"/>
            <w:tcBorders>
              <w:bottom w:val="single" w:color="000000" w:sz="4" w:space="0"/>
              <w:right w:val="single" w:color="000000" w:sz="8" w:space="0"/>
            </w:tcBorders>
            <w:vAlign w:val="center"/>
          </w:tcPr>
          <w:p w14:paraId="40568278">
            <w:pPr>
              <w:spacing w:line="560" w:lineRule="exact"/>
              <w:jc w:val="center"/>
              <w:rPr>
                <w:color w:val="auto"/>
                <w:sz w:val="24"/>
                <w:szCs w:val="24"/>
              </w:rPr>
            </w:pPr>
          </w:p>
        </w:tc>
      </w:tr>
      <w:tr w14:paraId="38A8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0BDEDDD5">
            <w:pPr>
              <w:spacing w:line="560" w:lineRule="exact"/>
              <w:jc w:val="center"/>
              <w:rPr>
                <w:color w:val="auto"/>
                <w:sz w:val="24"/>
                <w:szCs w:val="24"/>
              </w:rPr>
            </w:pPr>
            <w:r>
              <w:rPr>
                <w:color w:val="auto"/>
                <w:sz w:val="24"/>
                <w:szCs w:val="24"/>
              </w:rPr>
              <w:t>9</w:t>
            </w:r>
          </w:p>
        </w:tc>
        <w:tc>
          <w:tcPr>
            <w:tcW w:w="3098" w:type="dxa"/>
            <w:tcBorders>
              <w:bottom w:val="single" w:color="000000" w:sz="4" w:space="0"/>
              <w:right w:val="single" w:color="000000" w:sz="4" w:space="0"/>
            </w:tcBorders>
            <w:vAlign w:val="center"/>
          </w:tcPr>
          <w:p w14:paraId="4204AE0F">
            <w:pPr>
              <w:spacing w:line="560" w:lineRule="exact"/>
              <w:jc w:val="center"/>
              <w:rPr>
                <w:color w:val="auto"/>
                <w:sz w:val="24"/>
                <w:szCs w:val="24"/>
              </w:rPr>
            </w:pPr>
          </w:p>
        </w:tc>
        <w:tc>
          <w:tcPr>
            <w:tcW w:w="2947" w:type="dxa"/>
            <w:tcBorders>
              <w:bottom w:val="single" w:color="000000" w:sz="4" w:space="0"/>
              <w:right w:val="single" w:color="000000" w:sz="4" w:space="0"/>
            </w:tcBorders>
            <w:vAlign w:val="center"/>
          </w:tcPr>
          <w:p w14:paraId="31C7524F">
            <w:pPr>
              <w:spacing w:line="560" w:lineRule="exact"/>
              <w:jc w:val="center"/>
              <w:rPr>
                <w:color w:val="auto"/>
                <w:sz w:val="24"/>
                <w:szCs w:val="24"/>
              </w:rPr>
            </w:pPr>
          </w:p>
        </w:tc>
        <w:tc>
          <w:tcPr>
            <w:tcW w:w="2638" w:type="dxa"/>
            <w:tcBorders>
              <w:bottom w:val="single" w:color="000000" w:sz="4" w:space="0"/>
              <w:right w:val="single" w:color="000000" w:sz="8" w:space="0"/>
            </w:tcBorders>
            <w:vAlign w:val="center"/>
          </w:tcPr>
          <w:p w14:paraId="69A4A060">
            <w:pPr>
              <w:spacing w:line="560" w:lineRule="exact"/>
              <w:jc w:val="center"/>
              <w:rPr>
                <w:color w:val="auto"/>
                <w:sz w:val="24"/>
                <w:szCs w:val="24"/>
              </w:rPr>
            </w:pPr>
          </w:p>
        </w:tc>
      </w:tr>
      <w:tr w14:paraId="2608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3A4322A2">
            <w:pPr>
              <w:spacing w:line="560" w:lineRule="exact"/>
              <w:jc w:val="center"/>
              <w:rPr>
                <w:color w:val="auto"/>
                <w:sz w:val="24"/>
                <w:szCs w:val="24"/>
              </w:rPr>
            </w:pPr>
            <w:r>
              <w:rPr>
                <w:color w:val="auto"/>
                <w:sz w:val="24"/>
                <w:szCs w:val="24"/>
              </w:rPr>
              <w:t>......</w:t>
            </w:r>
          </w:p>
        </w:tc>
        <w:tc>
          <w:tcPr>
            <w:tcW w:w="3098" w:type="dxa"/>
            <w:tcBorders>
              <w:bottom w:val="single" w:color="000000" w:sz="8" w:space="0"/>
              <w:right w:val="single" w:color="000000" w:sz="4" w:space="0"/>
            </w:tcBorders>
            <w:vAlign w:val="center"/>
          </w:tcPr>
          <w:p w14:paraId="225C0974">
            <w:pPr>
              <w:spacing w:line="560" w:lineRule="exact"/>
              <w:jc w:val="center"/>
              <w:rPr>
                <w:color w:val="auto"/>
                <w:sz w:val="24"/>
                <w:szCs w:val="24"/>
              </w:rPr>
            </w:pPr>
          </w:p>
        </w:tc>
        <w:tc>
          <w:tcPr>
            <w:tcW w:w="2947" w:type="dxa"/>
            <w:tcBorders>
              <w:bottom w:val="single" w:color="000000" w:sz="8" w:space="0"/>
              <w:right w:val="single" w:color="000000" w:sz="4" w:space="0"/>
            </w:tcBorders>
            <w:vAlign w:val="center"/>
          </w:tcPr>
          <w:p w14:paraId="3F878B2F">
            <w:pPr>
              <w:spacing w:line="560" w:lineRule="exact"/>
              <w:jc w:val="center"/>
              <w:rPr>
                <w:color w:val="auto"/>
                <w:sz w:val="24"/>
                <w:szCs w:val="24"/>
              </w:rPr>
            </w:pPr>
          </w:p>
        </w:tc>
        <w:tc>
          <w:tcPr>
            <w:tcW w:w="2638" w:type="dxa"/>
            <w:tcBorders>
              <w:bottom w:val="single" w:color="000000" w:sz="8" w:space="0"/>
              <w:right w:val="single" w:color="000000" w:sz="8" w:space="0"/>
            </w:tcBorders>
            <w:vAlign w:val="center"/>
          </w:tcPr>
          <w:p w14:paraId="66BF87A0">
            <w:pPr>
              <w:spacing w:line="560" w:lineRule="exact"/>
              <w:jc w:val="center"/>
              <w:rPr>
                <w:color w:val="auto"/>
                <w:sz w:val="24"/>
                <w:szCs w:val="24"/>
              </w:rPr>
            </w:pPr>
          </w:p>
        </w:tc>
      </w:tr>
    </w:tbl>
    <w:p w14:paraId="08F8102E">
      <w:pPr>
        <w:tabs>
          <w:tab w:val="left" w:pos="0"/>
        </w:tabs>
        <w:adjustRightInd w:val="0"/>
        <w:snapToGrid w:val="0"/>
        <w:spacing w:before="120" w:beforeLines="50" w:line="300" w:lineRule="auto"/>
        <w:ind w:right="25"/>
        <w:rPr>
          <w:rFonts w:asci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、“其他偏离表”应详细注明与《磋商文件》中各项要求（除技术条款外的所有条款）有何不同，并说明其符合性（优于、或低于《磋商文件》要求）。页数不够时请自行按格式添加。</w:t>
      </w:r>
    </w:p>
    <w:p w14:paraId="11CDA93A">
      <w:pPr>
        <w:tabs>
          <w:tab w:val="left" w:pos="0"/>
        </w:tabs>
        <w:adjustRightInd w:val="0"/>
        <w:snapToGrid w:val="0"/>
        <w:spacing w:before="120" w:beforeLines="50" w:line="300" w:lineRule="auto"/>
        <w:ind w:right="25" w:firstLine="452" w:firstLineChars="200"/>
        <w:rPr>
          <w:rFonts w:ascii="宋体"/>
          <w:color w:val="auto"/>
          <w:spacing w:val="8"/>
          <w:szCs w:val="21"/>
        </w:rPr>
      </w:pPr>
      <w:r>
        <w:rPr>
          <w:rFonts w:ascii="宋体" w:hAnsi="宋体"/>
          <w:color w:val="auto"/>
          <w:spacing w:val="8"/>
          <w:szCs w:val="21"/>
        </w:rPr>
        <w:t>2</w:t>
      </w:r>
      <w:r>
        <w:rPr>
          <w:rFonts w:hint="eastAsia" w:ascii="宋体" w:hAnsi="宋体"/>
          <w:color w:val="auto"/>
          <w:spacing w:val="8"/>
          <w:szCs w:val="21"/>
        </w:rPr>
        <w:t>、如《响应文件》与《磋商文件》其他要求一致，仍需在本表填列“除技术条款外，与《磋商文件》所有条款要求一致，无偏离”等相似表述。</w:t>
      </w:r>
    </w:p>
    <w:p w14:paraId="2B4EB3E7">
      <w:pPr>
        <w:tabs>
          <w:tab w:val="left" w:pos="0"/>
        </w:tabs>
        <w:adjustRightInd w:val="0"/>
        <w:snapToGrid w:val="0"/>
        <w:spacing w:before="120" w:beforeLines="50" w:line="300" w:lineRule="auto"/>
        <w:ind w:right="510"/>
        <w:rPr>
          <w:rFonts w:ascii="宋体"/>
          <w:color w:val="auto"/>
          <w:spacing w:val="8"/>
          <w:szCs w:val="21"/>
        </w:rPr>
      </w:pPr>
    </w:p>
    <w:p w14:paraId="3E64072D">
      <w:pPr>
        <w:pStyle w:val="67"/>
        <w:rPr>
          <w:color w:val="auto"/>
        </w:rPr>
      </w:pPr>
    </w:p>
    <w:p w14:paraId="07202C91">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7A5C876E">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21ADC93A">
      <w:pPr>
        <w:spacing w:line="240" w:lineRule="auto"/>
        <w:rPr>
          <w:rFonts w:ascii="宋体" w:cs="楷体_GB2312"/>
          <w:b/>
          <w:color w:val="auto"/>
          <w:sz w:val="30"/>
          <w:szCs w:val="30"/>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668CD243">
      <w:pPr>
        <w:tabs>
          <w:tab w:val="left" w:pos="540"/>
        </w:tabs>
        <w:spacing w:line="440" w:lineRule="exact"/>
        <w:jc w:val="center"/>
        <w:rPr>
          <w:color w:val="auto"/>
          <w:sz w:val="28"/>
        </w:rPr>
      </w:pPr>
    </w:p>
    <w:p w14:paraId="62826E09">
      <w:pPr>
        <w:tabs>
          <w:tab w:val="left" w:pos="540"/>
        </w:tabs>
        <w:spacing w:line="440" w:lineRule="exact"/>
        <w:jc w:val="center"/>
        <w:rPr>
          <w:color w:val="auto"/>
          <w:sz w:val="28"/>
        </w:rPr>
      </w:pPr>
    </w:p>
    <w:p w14:paraId="39D6A4AC">
      <w:pPr>
        <w:tabs>
          <w:tab w:val="left" w:pos="540"/>
        </w:tabs>
        <w:spacing w:line="440" w:lineRule="exact"/>
        <w:jc w:val="center"/>
        <w:rPr>
          <w:color w:val="auto"/>
          <w:sz w:val="28"/>
        </w:rPr>
      </w:pPr>
    </w:p>
    <w:p w14:paraId="0C6FD2A9">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八、关于资格的声明函</w:t>
      </w:r>
      <w:bookmarkEnd w:id="47"/>
    </w:p>
    <w:p w14:paraId="56781104">
      <w:pPr>
        <w:snapToGrid w:val="0"/>
        <w:spacing w:line="560" w:lineRule="exact"/>
        <w:ind w:firstLine="839"/>
        <w:rPr>
          <w:color w:val="auto"/>
        </w:rPr>
      </w:pPr>
    </w:p>
    <w:p w14:paraId="75F1AAAE">
      <w:pPr>
        <w:snapToGrid w:val="0"/>
        <w:spacing w:line="560" w:lineRule="exact"/>
        <w:rPr>
          <w:rFonts w:ascii="宋体"/>
          <w:color w:val="auto"/>
          <w:sz w:val="24"/>
        </w:rPr>
      </w:pPr>
      <w:r>
        <w:rPr>
          <w:rFonts w:hint="eastAsia" w:ascii="宋体" w:hAnsi="宋体"/>
          <w:color w:val="auto"/>
          <w:sz w:val="24"/>
        </w:rPr>
        <w:t>安阳市方正招标采购服务有限责任公司：</w:t>
      </w:r>
    </w:p>
    <w:p w14:paraId="29ED5019">
      <w:pPr>
        <w:snapToGrid w:val="0"/>
        <w:spacing w:line="560" w:lineRule="exact"/>
        <w:ind w:firstLine="555"/>
        <w:rPr>
          <w:rFonts w:ascii="宋体"/>
          <w:color w:val="auto"/>
          <w:sz w:val="24"/>
        </w:rPr>
      </w:pPr>
      <w:r>
        <w:rPr>
          <w:rFonts w:hint="eastAsia" w:ascii="宋体" w:hAnsi="宋体"/>
          <w:color w:val="auto"/>
          <w:sz w:val="24"/>
        </w:rPr>
        <w:t>关于贵方项目编号为</w:t>
      </w:r>
      <w:r>
        <w:rPr>
          <w:rFonts w:ascii="宋体" w:hAnsi="宋体"/>
          <w:color w:val="auto"/>
          <w:sz w:val="24"/>
          <w:u w:val="single"/>
        </w:rPr>
        <w:t xml:space="preserve">          </w:t>
      </w:r>
      <w:r>
        <w:rPr>
          <w:rFonts w:hint="eastAsia" w:ascii="宋体" w:hAnsi="宋体"/>
          <w:color w:val="auto"/>
          <w:sz w:val="24"/>
        </w:rPr>
        <w:t>的投标邀请，本签字人愿意参加投标，提供《磋商文件》中规定的产品及服务，并声明提交下列文件是准确的、真实的和有效的。</w:t>
      </w:r>
    </w:p>
    <w:p w14:paraId="3BB7CC55">
      <w:pPr>
        <w:snapToGrid w:val="0"/>
        <w:spacing w:line="560" w:lineRule="exact"/>
        <w:ind w:firstLine="555"/>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《磋商文件》第一章“竞争性磋商公告”第二条所要求的资格性证明文件（证件或证明资料或承诺）</w:t>
      </w:r>
    </w:p>
    <w:p w14:paraId="11FEEE63">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14:paraId="04A173A7">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14:paraId="3D4DF45E">
      <w:pPr>
        <w:snapToGrid w:val="0"/>
        <w:spacing w:line="560" w:lineRule="exact"/>
        <w:ind w:firstLine="555"/>
        <w:rPr>
          <w:rFonts w:ascii="宋体"/>
          <w:color w:val="auto"/>
          <w:sz w:val="24"/>
        </w:rPr>
      </w:pPr>
    </w:p>
    <w:p w14:paraId="62C9E543">
      <w:pPr>
        <w:snapToGrid w:val="0"/>
        <w:spacing w:line="560" w:lineRule="exact"/>
        <w:ind w:firstLine="555"/>
        <w:rPr>
          <w:rFonts w:ascii="宋体"/>
          <w:color w:val="auto"/>
          <w:sz w:val="24"/>
        </w:rPr>
      </w:pPr>
    </w:p>
    <w:p w14:paraId="07D77F3E">
      <w:pPr>
        <w:snapToGrid w:val="0"/>
        <w:spacing w:line="560" w:lineRule="exact"/>
        <w:ind w:firstLine="555"/>
        <w:rPr>
          <w:rFonts w:ascii="宋体"/>
          <w:color w:val="auto"/>
          <w:sz w:val="24"/>
        </w:rPr>
      </w:pPr>
    </w:p>
    <w:p w14:paraId="0CCB2F90">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2200559D">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67019BE6">
      <w:pPr>
        <w:spacing w:line="240" w:lineRule="auto"/>
        <w:rPr>
          <w:rFonts w:ascii="宋体" w:cs="楷体_GB2312"/>
          <w:b/>
          <w:color w:val="auto"/>
          <w:sz w:val="30"/>
          <w:szCs w:val="30"/>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3B2F0E57">
      <w:pPr>
        <w:snapToGrid w:val="0"/>
        <w:spacing w:line="560" w:lineRule="exact"/>
        <w:rPr>
          <w:rFonts w:ascii="宋体"/>
          <w:color w:val="auto"/>
          <w:sz w:val="24"/>
        </w:rPr>
      </w:pPr>
    </w:p>
    <w:p w14:paraId="3E998CFC">
      <w:pPr>
        <w:snapToGrid w:val="0"/>
        <w:spacing w:line="560" w:lineRule="exact"/>
        <w:ind w:firstLine="555"/>
        <w:rPr>
          <w:rFonts w:ascii="宋体" w:hAnsi="宋体"/>
          <w:color w:val="auto"/>
          <w:sz w:val="24"/>
        </w:rPr>
      </w:pPr>
    </w:p>
    <w:p w14:paraId="580C2485">
      <w:pPr>
        <w:widowControl w:val="0"/>
        <w:tabs>
          <w:tab w:val="left" w:pos="9365"/>
        </w:tabs>
        <w:snapToGrid w:val="0"/>
        <w:spacing w:after="56" w:line="560" w:lineRule="exact"/>
        <w:ind w:right="85"/>
        <w:jc w:val="center"/>
        <w:textAlignment w:val="top"/>
        <w:rPr>
          <w:rFonts w:ascii="宋体" w:hAnsi="宋体"/>
          <w:color w:val="auto"/>
          <w:sz w:val="24"/>
        </w:rPr>
      </w:pPr>
      <w:r>
        <w:rPr>
          <w:rFonts w:ascii="宋体" w:hAnsi="宋体"/>
          <w:color w:val="auto"/>
          <w:sz w:val="24"/>
        </w:rPr>
        <w:t xml:space="preserve">   </w:t>
      </w:r>
    </w:p>
    <w:p w14:paraId="6531F0AD">
      <w:pPr>
        <w:widowControl w:val="0"/>
        <w:tabs>
          <w:tab w:val="left" w:pos="9365"/>
        </w:tabs>
        <w:snapToGrid w:val="0"/>
        <w:spacing w:after="56" w:line="560" w:lineRule="exact"/>
        <w:ind w:right="85"/>
        <w:jc w:val="center"/>
        <w:textAlignment w:val="top"/>
        <w:rPr>
          <w:rFonts w:ascii="宋体" w:hAnsi="宋体"/>
          <w:color w:val="auto"/>
          <w:sz w:val="24"/>
        </w:rPr>
      </w:pPr>
    </w:p>
    <w:p w14:paraId="14F384F7">
      <w:pPr>
        <w:widowControl w:val="0"/>
        <w:tabs>
          <w:tab w:val="left" w:pos="9365"/>
        </w:tabs>
        <w:snapToGrid w:val="0"/>
        <w:spacing w:after="56" w:line="560" w:lineRule="exact"/>
        <w:ind w:right="85"/>
        <w:jc w:val="center"/>
        <w:textAlignment w:val="top"/>
        <w:rPr>
          <w:rFonts w:ascii="宋体" w:hAnsi="宋体"/>
          <w:color w:val="auto"/>
          <w:sz w:val="24"/>
        </w:rPr>
      </w:pPr>
    </w:p>
    <w:p w14:paraId="194DE309">
      <w:pPr>
        <w:widowControl w:val="0"/>
        <w:tabs>
          <w:tab w:val="left" w:pos="9365"/>
        </w:tabs>
        <w:snapToGrid w:val="0"/>
        <w:spacing w:after="56" w:line="560" w:lineRule="exact"/>
        <w:ind w:right="85"/>
        <w:jc w:val="center"/>
        <w:textAlignment w:val="top"/>
        <w:rPr>
          <w:rFonts w:ascii="宋体" w:hAnsi="宋体"/>
          <w:color w:val="auto"/>
          <w:sz w:val="24"/>
        </w:rPr>
      </w:pPr>
    </w:p>
    <w:p w14:paraId="1D8330F8">
      <w:pPr>
        <w:widowControl w:val="0"/>
        <w:tabs>
          <w:tab w:val="left" w:pos="9365"/>
        </w:tabs>
        <w:snapToGrid w:val="0"/>
        <w:spacing w:after="56" w:line="560" w:lineRule="exact"/>
        <w:ind w:right="85"/>
        <w:jc w:val="center"/>
        <w:textAlignment w:val="top"/>
        <w:rPr>
          <w:rFonts w:ascii="宋体" w:hAnsi="宋体"/>
          <w:color w:val="auto"/>
          <w:sz w:val="24"/>
        </w:rPr>
      </w:pPr>
    </w:p>
    <w:p w14:paraId="7B9ED6D7">
      <w:pPr>
        <w:widowControl w:val="0"/>
        <w:tabs>
          <w:tab w:val="left" w:pos="9365"/>
        </w:tabs>
        <w:snapToGrid w:val="0"/>
        <w:spacing w:after="56" w:line="560" w:lineRule="exact"/>
        <w:ind w:right="85"/>
        <w:jc w:val="center"/>
        <w:textAlignment w:val="top"/>
        <w:rPr>
          <w:rFonts w:ascii="宋体" w:hAnsi="宋体"/>
          <w:color w:val="auto"/>
          <w:sz w:val="24"/>
        </w:rPr>
      </w:pPr>
    </w:p>
    <w:p w14:paraId="6F9FAABE">
      <w:pPr>
        <w:widowControl w:val="0"/>
        <w:tabs>
          <w:tab w:val="left" w:pos="9365"/>
        </w:tabs>
        <w:snapToGrid w:val="0"/>
        <w:spacing w:after="56" w:line="560" w:lineRule="exact"/>
        <w:ind w:right="85"/>
        <w:jc w:val="center"/>
        <w:textAlignment w:val="top"/>
        <w:rPr>
          <w:rFonts w:ascii="宋体" w:hAnsi="宋体"/>
          <w:color w:val="auto"/>
          <w:sz w:val="24"/>
        </w:rPr>
      </w:pPr>
    </w:p>
    <w:p w14:paraId="7B14826B">
      <w:pPr>
        <w:tabs>
          <w:tab w:val="left" w:pos="540"/>
        </w:tabs>
        <w:spacing w:line="440" w:lineRule="exact"/>
        <w:rPr>
          <w:rFonts w:ascii="宋体"/>
          <w:color w:val="auto"/>
          <w:sz w:val="24"/>
        </w:rPr>
      </w:pPr>
    </w:p>
    <w:p w14:paraId="70BAB577">
      <w:pPr>
        <w:tabs>
          <w:tab w:val="left" w:pos="540"/>
        </w:tabs>
        <w:spacing w:line="440" w:lineRule="exact"/>
        <w:jc w:val="center"/>
        <w:rPr>
          <w:rFonts w:ascii="黑体" w:hAnsi="黑体" w:eastAsia="黑体"/>
          <w:b/>
          <w:color w:val="auto"/>
          <w:sz w:val="30"/>
          <w:szCs w:val="30"/>
        </w:rPr>
      </w:pPr>
    </w:p>
    <w:p w14:paraId="5ECAE146">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九、反商业贿赂承诺书</w:t>
      </w:r>
    </w:p>
    <w:p w14:paraId="72E16523">
      <w:pPr>
        <w:tabs>
          <w:tab w:val="left" w:pos="540"/>
        </w:tabs>
        <w:spacing w:line="440" w:lineRule="exact"/>
        <w:jc w:val="center"/>
        <w:rPr>
          <w:b/>
          <w:color w:val="auto"/>
          <w:sz w:val="48"/>
          <w:szCs w:val="48"/>
        </w:rPr>
      </w:pPr>
    </w:p>
    <w:p w14:paraId="7AB91F57">
      <w:pPr>
        <w:snapToGrid w:val="0"/>
        <w:spacing w:line="560" w:lineRule="atLeast"/>
        <w:ind w:right="56" w:firstLine="555"/>
        <w:rPr>
          <w:color w:val="auto"/>
          <w:sz w:val="24"/>
        </w:rPr>
      </w:pPr>
      <w:r>
        <w:rPr>
          <w:rFonts w:hint="eastAsia"/>
          <w:color w:val="auto"/>
          <w:sz w:val="24"/>
        </w:rPr>
        <w:t>我公司承诺：</w:t>
      </w:r>
    </w:p>
    <w:p w14:paraId="6E311807">
      <w:pPr>
        <w:snapToGrid w:val="0"/>
        <w:spacing w:line="560" w:lineRule="atLeast"/>
        <w:ind w:right="56" w:firstLine="555"/>
        <w:rPr>
          <w:color w:val="auto"/>
          <w:sz w:val="24"/>
        </w:rPr>
      </w:pPr>
      <w:r>
        <w:rPr>
          <w:rFonts w:hint="eastAsia"/>
          <w:color w:val="auto"/>
          <w:sz w:val="24"/>
        </w:rPr>
        <w:t>在采购活动中，我公司保证做到：</w:t>
      </w:r>
    </w:p>
    <w:p w14:paraId="5E2D5368">
      <w:pPr>
        <w:snapToGrid w:val="0"/>
        <w:spacing w:line="560" w:lineRule="atLeast"/>
        <w:ind w:right="56" w:firstLine="555"/>
        <w:rPr>
          <w:color w:val="auto"/>
          <w:sz w:val="24"/>
        </w:rPr>
      </w:pPr>
      <w:r>
        <w:rPr>
          <w:rFonts w:hint="eastAsia"/>
          <w:color w:val="auto"/>
          <w:sz w:val="24"/>
        </w:rPr>
        <w:t>一、公平竞争参加本次采购活动。</w:t>
      </w:r>
    </w:p>
    <w:p w14:paraId="06D011E5">
      <w:pPr>
        <w:snapToGrid w:val="0"/>
        <w:spacing w:line="560" w:lineRule="atLeast"/>
        <w:ind w:right="56" w:firstLine="555"/>
        <w:rPr>
          <w:color w:val="auto"/>
          <w:sz w:val="24"/>
        </w:rPr>
      </w:pPr>
      <w:r>
        <w:rPr>
          <w:rFonts w:hint="eastAsia"/>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3762B38">
      <w:pPr>
        <w:snapToGrid w:val="0"/>
        <w:spacing w:line="560" w:lineRule="atLeast"/>
        <w:ind w:right="56" w:firstLine="555"/>
        <w:rPr>
          <w:color w:val="auto"/>
          <w:sz w:val="24"/>
        </w:rPr>
      </w:pPr>
      <w:r>
        <w:rPr>
          <w:rFonts w:hint="eastAsia"/>
          <w:color w:val="auto"/>
          <w:sz w:val="24"/>
        </w:rPr>
        <w:t>三、若出现上述行为，我公司及其参与投标的工作人员愿意接受按照国家法律法规等有关规定给予的处罚。</w:t>
      </w:r>
    </w:p>
    <w:p w14:paraId="32FF29D0">
      <w:pPr>
        <w:snapToGrid w:val="0"/>
        <w:spacing w:line="560" w:lineRule="atLeast"/>
        <w:ind w:right="56" w:firstLine="555"/>
        <w:rPr>
          <w:color w:val="auto"/>
          <w:sz w:val="24"/>
        </w:rPr>
      </w:pPr>
    </w:p>
    <w:p w14:paraId="030499D5">
      <w:pPr>
        <w:snapToGrid w:val="0"/>
        <w:spacing w:line="560" w:lineRule="atLeast"/>
        <w:ind w:right="56" w:firstLine="555"/>
        <w:rPr>
          <w:color w:val="auto"/>
          <w:sz w:val="24"/>
        </w:rPr>
      </w:pPr>
    </w:p>
    <w:p w14:paraId="1697BB20">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08C1F108">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22005BEB">
      <w:pPr>
        <w:spacing w:line="240" w:lineRule="auto"/>
        <w:rPr>
          <w:rFonts w:ascii="宋体" w:cs="楷体_GB2312"/>
          <w:b/>
          <w:color w:val="auto"/>
          <w:sz w:val="30"/>
          <w:szCs w:val="30"/>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063E813C">
      <w:pPr>
        <w:spacing w:line="240" w:lineRule="auto"/>
        <w:jc w:val="left"/>
        <w:textAlignment w:val="auto"/>
        <w:rPr>
          <w:color w:val="auto"/>
          <w:sz w:val="24"/>
          <w:szCs w:val="24"/>
        </w:rPr>
      </w:pPr>
      <w:r>
        <w:rPr>
          <w:color w:val="auto"/>
        </w:rPr>
        <w:br w:type="page"/>
      </w:r>
    </w:p>
    <w:p w14:paraId="7AC0263C">
      <w:pPr>
        <w:widowControl w:val="0"/>
        <w:snapToGrid w:val="0"/>
        <w:spacing w:line="560" w:lineRule="exact"/>
        <w:jc w:val="center"/>
        <w:rPr>
          <w:rFonts w:eastAsia="方正黑体简体"/>
          <w:b/>
          <w:color w:val="auto"/>
          <w:sz w:val="30"/>
          <w:szCs w:val="30"/>
        </w:rPr>
      </w:pPr>
      <w:bookmarkStart w:id="48" w:name="OLE_LINK19"/>
      <w:r>
        <w:rPr>
          <w:rFonts w:hint="eastAsia" w:eastAsia="方正黑体简体"/>
          <w:b/>
          <w:color w:val="auto"/>
          <w:sz w:val="30"/>
          <w:szCs w:val="30"/>
        </w:rPr>
        <w:t>十、履约承诺书</w:t>
      </w:r>
      <w:bookmarkEnd w:id="48"/>
    </w:p>
    <w:p w14:paraId="78925850">
      <w:pPr>
        <w:spacing w:line="240" w:lineRule="auto"/>
        <w:jc w:val="left"/>
        <w:textAlignment w:val="auto"/>
        <w:rPr>
          <w:rFonts w:eastAsia="方正黑体简体"/>
          <w:b/>
          <w:color w:val="auto"/>
          <w:sz w:val="24"/>
          <w:szCs w:val="24"/>
        </w:rPr>
      </w:pPr>
    </w:p>
    <w:p w14:paraId="31BEEF14">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一、我单位承诺：</w:t>
      </w:r>
    </w:p>
    <w:p w14:paraId="789A5B9B">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我单位已详细阅读并完全理解、同意《磋商文件》的全部内容，包括修改补充文件以及全部参考资料和有关附件；除我单位在《磋商文件》规定期间内书面提出的疑问外，我单位放弃对这方面不明及误解的权力，并严格按采购人确定的技术及商务要求等履行。</w:t>
      </w:r>
    </w:p>
    <w:p w14:paraId="122BB979">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我单位《响应文件》开启前已详细勘察现场，并按采购人现场条件及采购要求编制磋商报价；我单位的磋商报价括《磋商文件》所述报价组成的所有内容、并包括《磋商文件》未列明而与采购项目相关的、必须的所有款项及费用等达到交付使用及验收条件的所有一切风险、责任和义务的费用。</w:t>
      </w:r>
    </w:p>
    <w:p w14:paraId="133957F6">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我单位保证按《磋商文件》要求及投标承诺的质量诚信履约。</w:t>
      </w:r>
    </w:p>
    <w:p w14:paraId="25CFF052">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我单位保证在《磋商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0EA46017">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二、我单位承诺：</w:t>
      </w:r>
    </w:p>
    <w:p w14:paraId="0178B592">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除法律规定的不可抗力因素外，我单位中标后以任何理由（包括违背上述承诺的事项）提出不能满足《磋商文件》技术、交验期等要求或不能实现投标承诺的或提出变更的，我单位将无条件接受违约处理、并放弃我单位中标资格。我单位知悉违约责任及其处理，并无条件接受：依据《磋商文件》“第三章 3.5.5 违背承诺的责任追究措施”，供应商承担相应法律责任及违约责任；情节严重的，由财政部门列入不良行为记录名单，在一至三年内禁止参加政府采购活动，并予以通报，处以罚金，给采购人及他人造成损失的，承担相应的赔偿责任。</w:t>
      </w:r>
    </w:p>
    <w:p w14:paraId="05833378">
      <w:pPr>
        <w:tabs>
          <w:tab w:val="left" w:pos="9354"/>
        </w:tabs>
        <w:adjustRightInd w:val="0"/>
        <w:snapToGrid w:val="0"/>
        <w:spacing w:before="120" w:beforeLines="50" w:line="300" w:lineRule="auto"/>
        <w:ind w:firstLine="480" w:firstLineChars="200"/>
        <w:rPr>
          <w:color w:val="auto"/>
          <w:sz w:val="24"/>
        </w:rPr>
      </w:pPr>
    </w:p>
    <w:p w14:paraId="59C97103">
      <w:pPr>
        <w:tabs>
          <w:tab w:val="left" w:pos="9354"/>
        </w:tabs>
        <w:adjustRightInd w:val="0"/>
        <w:snapToGrid w:val="0"/>
        <w:spacing w:before="120" w:beforeLines="50" w:line="300" w:lineRule="auto"/>
        <w:ind w:firstLine="480" w:firstLineChars="200"/>
        <w:rPr>
          <w:color w:val="auto"/>
          <w:sz w:val="24"/>
        </w:rPr>
      </w:pPr>
    </w:p>
    <w:p w14:paraId="21DE8523">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4468C39D">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11AE0CF9">
      <w:pPr>
        <w:spacing w:line="240" w:lineRule="auto"/>
        <w:rPr>
          <w:rFonts w:ascii="宋体" w:cs="楷体_GB2312"/>
          <w:b/>
          <w:color w:val="auto"/>
          <w:sz w:val="30"/>
          <w:szCs w:val="30"/>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6B33D34B">
      <w:pPr>
        <w:autoSpaceDE w:val="0"/>
        <w:autoSpaceDN w:val="0"/>
        <w:adjustRightInd w:val="0"/>
        <w:spacing w:line="360" w:lineRule="auto"/>
        <w:rPr>
          <w:rFonts w:ascii="宋体" w:cs="楷体_GB2312"/>
          <w:b/>
          <w:color w:val="auto"/>
          <w:sz w:val="30"/>
          <w:szCs w:val="30"/>
          <w:lang w:val="zh-CN"/>
        </w:rPr>
      </w:pPr>
      <w:r>
        <w:rPr>
          <w:rFonts w:ascii="宋体" w:cs="楷体_GB2312"/>
          <w:b/>
          <w:bCs/>
          <w:color w:val="auto"/>
          <w:sz w:val="24"/>
          <w:lang w:val="zh-CN"/>
        </w:rPr>
        <w:br w:type="page"/>
      </w:r>
    </w:p>
    <w:p w14:paraId="24605DCF">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十一、资格要求相关证明材料（文件）</w:t>
      </w:r>
    </w:p>
    <w:p w14:paraId="6013D43A">
      <w:pPr>
        <w:autoSpaceDE w:val="0"/>
        <w:autoSpaceDN w:val="0"/>
        <w:adjustRightInd w:val="0"/>
        <w:spacing w:line="360" w:lineRule="auto"/>
        <w:jc w:val="center"/>
        <w:rPr>
          <w:rFonts w:ascii="宋体"/>
          <w:color w:val="auto"/>
          <w:sz w:val="24"/>
          <w:szCs w:val="24"/>
        </w:rPr>
      </w:pPr>
    </w:p>
    <w:p w14:paraId="541674C0">
      <w:pPr>
        <w:autoSpaceDE w:val="0"/>
        <w:autoSpaceDN w:val="0"/>
        <w:adjustRightInd w:val="0"/>
        <w:spacing w:line="360" w:lineRule="auto"/>
        <w:jc w:val="center"/>
        <w:rPr>
          <w:rFonts w:ascii="黑体" w:hAnsi="黑体" w:eastAsia="黑体"/>
          <w:b/>
          <w:color w:val="auto"/>
          <w:sz w:val="24"/>
          <w:szCs w:val="24"/>
        </w:rPr>
      </w:pPr>
      <w:r>
        <w:rPr>
          <w:rFonts w:hint="eastAsia" w:ascii="宋体"/>
          <w:color w:val="auto"/>
          <w:sz w:val="24"/>
          <w:szCs w:val="24"/>
        </w:rPr>
        <w:t>★★★【</w:t>
      </w:r>
      <w:r>
        <w:rPr>
          <w:rFonts w:hint="eastAsia" w:ascii="黑体" w:hAnsi="黑体" w:eastAsia="黑体"/>
          <w:b/>
          <w:color w:val="auto"/>
          <w:sz w:val="24"/>
          <w:szCs w:val="24"/>
        </w:rPr>
        <w:t>请注意：未按公告要求逐一提交资格证明资料的将导致无效投标，为近期常见的因不仔细而缺少某一资格证明资料、导致无效，特此提醒】</w:t>
      </w:r>
    </w:p>
    <w:p w14:paraId="4705E7F5">
      <w:pPr>
        <w:autoSpaceDE w:val="0"/>
        <w:autoSpaceDN w:val="0"/>
        <w:adjustRightInd w:val="0"/>
        <w:spacing w:line="360" w:lineRule="auto"/>
        <w:jc w:val="center"/>
        <w:rPr>
          <w:rFonts w:ascii="宋体"/>
          <w:color w:val="auto"/>
          <w:sz w:val="24"/>
          <w:szCs w:val="24"/>
        </w:rPr>
      </w:pPr>
    </w:p>
    <w:p w14:paraId="5FAEB5B9">
      <w:pPr>
        <w:spacing w:line="240" w:lineRule="auto"/>
        <w:jc w:val="left"/>
        <w:textAlignment w:val="auto"/>
        <w:rPr>
          <w:rFonts w:ascii="宋体" w:hAnsi="宋体"/>
          <w:color w:val="auto"/>
          <w:sz w:val="24"/>
        </w:rPr>
      </w:pPr>
      <w:r>
        <w:rPr>
          <w:rFonts w:hint="eastAsia" w:ascii="宋体"/>
          <w:color w:val="auto"/>
          <w:sz w:val="24"/>
          <w:szCs w:val="24"/>
        </w:rPr>
        <w:t>★★★【</w:t>
      </w:r>
      <w:r>
        <w:rPr>
          <w:rFonts w:hint="eastAsia" w:ascii="黑体" w:hAnsi="黑体" w:eastAsia="黑体"/>
          <w:b/>
          <w:color w:val="auto"/>
          <w:sz w:val="24"/>
          <w:szCs w:val="24"/>
        </w:rPr>
        <w:t>请注意：未按竞争性磋商公告要求电子签名&lt;签章&gt;的将导致无效投标，特此提醒】</w:t>
      </w:r>
      <w:r>
        <w:rPr>
          <w:rFonts w:ascii="宋体" w:hAnsi="宋体"/>
          <w:color w:val="auto"/>
          <w:sz w:val="24"/>
        </w:rPr>
        <w:t xml:space="preserve"> </w:t>
      </w:r>
      <w:r>
        <w:rPr>
          <w:rFonts w:ascii="宋体" w:hAnsi="宋体"/>
          <w:color w:val="auto"/>
          <w:sz w:val="24"/>
        </w:rPr>
        <w:br w:type="page"/>
      </w:r>
    </w:p>
    <w:p w14:paraId="23AC19F9">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《政府采购法》第二十二条第一款规定的供应商基础性资格的</w:t>
      </w:r>
    </w:p>
    <w:p w14:paraId="1AA7C910">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承诺函</w:t>
      </w:r>
    </w:p>
    <w:p w14:paraId="437FD310">
      <w:pPr>
        <w:spacing w:line="240" w:lineRule="auto"/>
        <w:jc w:val="left"/>
        <w:textAlignment w:val="auto"/>
        <w:rPr>
          <w:rFonts w:ascii="黑体" w:hAnsi="黑体" w:eastAsia="黑体"/>
          <w:b/>
          <w:color w:val="auto"/>
          <w:sz w:val="24"/>
          <w:szCs w:val="24"/>
        </w:rPr>
      </w:pPr>
    </w:p>
    <w:p w14:paraId="699136C2">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一、我公司郑重承诺，我公司符合《政府采购法》第二十二条第一款规定的供应商基础性资格条件，具体如下：</w:t>
      </w:r>
    </w:p>
    <w:p w14:paraId="704F410A">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1、我公司承诺具有独立承担民事责任能力；</w:t>
      </w:r>
    </w:p>
    <w:p w14:paraId="4ED89D0E">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2、我公司承诺具有良好的商业信誉和健全的财务会计制度；</w:t>
      </w:r>
    </w:p>
    <w:p w14:paraId="64A89D4F">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3、我公司承诺具备履行合同所必需的设备和专业技术能力；</w:t>
      </w:r>
    </w:p>
    <w:p w14:paraId="71833B23">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4、我公司承诺具有依法缴纳税收和社会保障资金的良好记录；</w:t>
      </w:r>
    </w:p>
    <w:p w14:paraId="0D442922">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5、我公司承诺在参加政府采购活动前三年内，在经营活动中没有重大违法记录。</w:t>
      </w:r>
    </w:p>
    <w:p w14:paraId="3D8CF804">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二、我公司保证上述承诺事项的真实性，如有虚假或其他违规违法行为，我公司愿意按《政府采购法》提供虚假材料的有关规定承担法律责任，并承担因此造成的一切损失。</w:t>
      </w:r>
    </w:p>
    <w:p w14:paraId="37D770EB">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三、我公司认同按照《磋商文件》“《政府采购法》第二十二条第一款规定的供应商基础性资格的承诺认定标准”对我公司或其他公司进行的供应商基础性资格的审查，对按照认定标准得出的审查结果无异议。</w:t>
      </w:r>
    </w:p>
    <w:p w14:paraId="1A95BD28">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四、我公司《响应文件》或公开资料或备案资料中，有不符合《磋商文件》“《政府采购法》第二十二条第一款规定的供应商基础性资格的承诺认定标准”的，我公司认同判定为无效投标、承担虚假承诺责任。</w:t>
      </w:r>
    </w:p>
    <w:p w14:paraId="4F25F9D6">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我公司在没有有效的证明材料，以证明其他供应商不符合《磋商文件》“《政府采购法》第二十二条第一款规定的供应商基础性资格的承诺认定标准”时，我公司承诺不对其他供应商的承诺函提起质疑投诉，同意对已提起的质疑投诉按缺乏事实依据、按无效质疑投诉处理。</w:t>
      </w:r>
    </w:p>
    <w:p w14:paraId="6FF80296">
      <w:pPr>
        <w:tabs>
          <w:tab w:val="left" w:pos="9365"/>
        </w:tabs>
        <w:spacing w:before="57" w:after="57" w:line="586" w:lineRule="atLeast"/>
        <w:ind w:right="85"/>
        <w:jc w:val="left"/>
        <w:textAlignment w:val="top"/>
        <w:rPr>
          <w:rFonts w:ascii="宋体" w:hAnsi="宋体"/>
          <w:color w:val="auto"/>
          <w:sz w:val="24"/>
          <w:szCs w:val="24"/>
        </w:rPr>
      </w:pPr>
    </w:p>
    <w:p w14:paraId="03DE19B5">
      <w:pPr>
        <w:tabs>
          <w:tab w:val="left" w:pos="9365"/>
        </w:tabs>
        <w:spacing w:before="57" w:after="57" w:line="586" w:lineRule="atLeast"/>
        <w:ind w:right="85"/>
        <w:jc w:val="left"/>
        <w:textAlignment w:val="top"/>
        <w:rPr>
          <w:rFonts w:ascii="宋体" w:hAnsi="宋体"/>
          <w:color w:val="auto"/>
          <w:sz w:val="24"/>
          <w:szCs w:val="24"/>
        </w:rPr>
      </w:pPr>
    </w:p>
    <w:p w14:paraId="0E6384FB">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6BF25DD4">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50B9FB31">
      <w:pPr>
        <w:spacing w:line="240" w:lineRule="auto"/>
        <w:rPr>
          <w:rFonts w:ascii="宋体"/>
          <w:color w:val="auto"/>
          <w:sz w:val="24"/>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r>
        <w:rPr>
          <w:rFonts w:ascii="宋体" w:hAnsi="宋体"/>
          <w:color w:val="auto"/>
          <w:sz w:val="24"/>
        </w:rPr>
        <w:t xml:space="preserve">        </w:t>
      </w:r>
    </w:p>
    <w:p w14:paraId="2D48C710">
      <w:pPr>
        <w:spacing w:line="240" w:lineRule="auto"/>
        <w:jc w:val="left"/>
        <w:textAlignment w:val="auto"/>
        <w:rPr>
          <w:rFonts w:ascii="宋体"/>
          <w:color w:val="auto"/>
          <w:sz w:val="24"/>
        </w:rPr>
      </w:pPr>
      <w:r>
        <w:rPr>
          <w:rFonts w:ascii="宋体"/>
          <w:color w:val="auto"/>
          <w:sz w:val="24"/>
        </w:rPr>
        <w:br w:type="page"/>
      </w:r>
    </w:p>
    <w:p w14:paraId="74C58E12">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《政府采购法》第二十二条第一款规定的供应商基础性资格的</w:t>
      </w:r>
    </w:p>
    <w:p w14:paraId="7AC74681">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承诺事项的认定标准</w:t>
      </w:r>
    </w:p>
    <w:p w14:paraId="27307006">
      <w:pPr>
        <w:spacing w:line="240" w:lineRule="auto"/>
        <w:jc w:val="left"/>
        <w:textAlignment w:val="auto"/>
        <w:rPr>
          <w:rFonts w:ascii="黑体" w:hAnsi="黑体" w:eastAsia="黑体"/>
          <w:b/>
          <w:color w:val="auto"/>
          <w:sz w:val="24"/>
          <w:szCs w:val="24"/>
        </w:rPr>
      </w:pPr>
    </w:p>
    <w:p w14:paraId="17624462">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政府采购监督检查、质疑投诉及政府采购行政处罚等情形中，需要对资格承诺的真实性的进行认定时，相关供应商应提供如下关于基础性资格的证明材料：</w:t>
      </w:r>
    </w:p>
    <w:p w14:paraId="1227C850">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（一）具有独立承担民事责任的能力。■提供营业执照或事业单位法人证书，■提供税务登记证（三证合一的只需提供三证合一的营业执照）。</w:t>
      </w:r>
    </w:p>
    <w:p w14:paraId="6DBA58A2">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（二）具有良好的商业信誉和健全的财务会计制度。■提供银行出具的近1年内资信证明（法人为基本开户行）、或2023年度以来（任一年度）经审计的财务报告、或银行（保险公司）出具的投标担保函。</w:t>
      </w:r>
    </w:p>
    <w:p w14:paraId="0CA3F951">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具备履行合同所必需的设备和专业技术能力。■提供相关设备或设施的购置发票或单据（任一）；■提供专业人员用工合同（任一人），或技术人员的职称证书或职业（执业）资格证或等级证书等相关证书（任一人）等的证明材料。</w:t>
      </w:r>
    </w:p>
    <w:p w14:paraId="780A29DA">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有依法缴纳税收和社会保障资金的良好记录。■提供近12个月内（任意1个月）已依法缴纳税收的凭据；■提供近12个月内（任意1个月）已依法缴纳社会保险的凭据。依法免税或不需要缴纳社会保障资金的供应商，应提供相应证明文件。</w:t>
      </w:r>
    </w:p>
    <w:p w14:paraId="71C322EF">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（五）参加政府采购活动前3年内在经营活动中没有重大违法记录。</w:t>
      </w:r>
    </w:p>
    <w:p w14:paraId="2F728D3C">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p>
    <w:p w14:paraId="557FDDAE">
      <w:pPr>
        <w:tabs>
          <w:tab w:val="left" w:pos="9354"/>
        </w:tabs>
        <w:adjustRightInd w:val="0"/>
        <w:snapToGrid w:val="0"/>
        <w:spacing w:before="120" w:beforeLines="50" w:line="30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供应商提供的证明材料不符合上述认定标准的，评定该供应商不满足《政府采购法》供应商资格要求，为提供虚假承诺，投标、中标无效，并上报财政部门对其违规违法行为作进一步处理。</w:t>
      </w:r>
    </w:p>
    <w:p w14:paraId="65F183B8">
      <w:pPr>
        <w:tabs>
          <w:tab w:val="left" w:pos="540"/>
        </w:tabs>
        <w:spacing w:line="440" w:lineRule="exact"/>
        <w:rPr>
          <w:rFonts w:ascii="宋体"/>
          <w:color w:val="auto"/>
          <w:sz w:val="24"/>
          <w:szCs w:val="24"/>
        </w:rPr>
      </w:pPr>
      <w:r>
        <w:rPr>
          <w:rFonts w:hint="eastAsia" w:ascii="宋体"/>
          <w:color w:val="auto"/>
          <w:sz w:val="24"/>
          <w:szCs w:val="24"/>
        </w:rPr>
        <w:t xml:space="preserve">    </w:t>
      </w:r>
    </w:p>
    <w:p w14:paraId="538D4813">
      <w:pPr>
        <w:snapToGrid w:val="0"/>
        <w:spacing w:line="560" w:lineRule="atLeast"/>
        <w:jc w:val="center"/>
        <w:rPr>
          <w:rFonts w:ascii="宋体"/>
          <w:color w:val="auto"/>
          <w:sz w:val="24"/>
        </w:rPr>
      </w:pPr>
    </w:p>
    <w:p w14:paraId="00BE2112">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2C365D3F">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62A97D2A">
      <w:pPr>
        <w:autoSpaceDE w:val="0"/>
        <w:autoSpaceDN w:val="0"/>
        <w:adjustRightInd w:val="0"/>
        <w:spacing w:line="480" w:lineRule="auto"/>
        <w:ind w:left="-2" w:right="-817" w:firstLine="2"/>
        <w:rPr>
          <w:rFonts w:ascii="宋体"/>
          <w:color w:val="auto"/>
          <w:sz w:val="24"/>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r>
        <w:rPr>
          <w:rFonts w:ascii="宋体" w:hAnsi="宋体"/>
          <w:color w:val="auto"/>
          <w:sz w:val="24"/>
        </w:rPr>
        <w:t xml:space="preserve">          </w:t>
      </w:r>
    </w:p>
    <w:p w14:paraId="36909E03">
      <w:pPr>
        <w:spacing w:line="240" w:lineRule="auto"/>
        <w:jc w:val="left"/>
        <w:textAlignment w:val="auto"/>
        <w:rPr>
          <w:rFonts w:ascii="黑体" w:hAnsi="黑体" w:eastAsia="黑体"/>
          <w:b/>
          <w:color w:val="auto"/>
          <w:sz w:val="30"/>
          <w:szCs w:val="30"/>
        </w:rPr>
      </w:pPr>
      <w:r>
        <w:rPr>
          <w:rFonts w:ascii="宋体"/>
          <w:color w:val="auto"/>
          <w:sz w:val="24"/>
        </w:rPr>
        <w:br w:type="page"/>
      </w:r>
    </w:p>
    <w:p w14:paraId="2A6B7CEF">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供应商负责人控股、设计等相关承诺书</w:t>
      </w:r>
    </w:p>
    <w:p w14:paraId="6D6DB993">
      <w:pPr>
        <w:tabs>
          <w:tab w:val="left" w:pos="9365"/>
        </w:tabs>
        <w:spacing w:before="360" w:after="360" w:line="586" w:lineRule="atLeas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14:paraId="24970E7E">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的</w:t>
      </w:r>
      <w:r>
        <w:rPr>
          <w:rFonts w:hint="eastAsia" w:ascii="宋体" w:hAnsi="宋体"/>
          <w:color w:val="auto"/>
          <w:sz w:val="24"/>
          <w:szCs w:val="24"/>
          <w:u w:val="single"/>
        </w:rPr>
        <w:t xml:space="preserve">    （项目名称）  </w:t>
      </w:r>
      <w:r>
        <w:rPr>
          <w:rFonts w:hint="eastAsia" w:ascii="宋体" w:hAnsi="宋体"/>
          <w:color w:val="auto"/>
          <w:sz w:val="24"/>
          <w:szCs w:val="24"/>
        </w:rPr>
        <w:t>采购活动中，我单位承诺满足以下要求：</w:t>
      </w:r>
    </w:p>
    <w:p w14:paraId="6D6D7A4E">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14:paraId="581966C6">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14:paraId="09915BA6">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14:paraId="1341261C">
      <w:pPr>
        <w:tabs>
          <w:tab w:val="left" w:pos="9365"/>
        </w:tabs>
        <w:spacing w:before="57" w:after="57" w:line="586" w:lineRule="atLeast"/>
        <w:ind w:right="85"/>
        <w:jc w:val="left"/>
        <w:textAlignment w:val="top"/>
        <w:rPr>
          <w:rFonts w:ascii="宋体" w:hAnsi="宋体"/>
          <w:color w:val="auto"/>
          <w:sz w:val="24"/>
          <w:szCs w:val="24"/>
        </w:rPr>
      </w:pPr>
      <w:r>
        <w:rPr>
          <w:rFonts w:ascii="宋体" w:hAnsi="宋体"/>
          <w:color w:val="auto"/>
          <w:sz w:val="24"/>
          <w:szCs w:val="24"/>
        </w:rPr>
        <w:t> </w:t>
      </w:r>
    </w:p>
    <w:p w14:paraId="4C614EA9">
      <w:pPr>
        <w:tabs>
          <w:tab w:val="left" w:pos="9365"/>
        </w:tabs>
        <w:spacing w:before="57" w:after="57" w:line="586" w:lineRule="atLeast"/>
        <w:ind w:right="85"/>
        <w:jc w:val="left"/>
        <w:textAlignment w:val="top"/>
        <w:rPr>
          <w:rFonts w:ascii="宋体" w:hAnsi="宋体"/>
          <w:color w:val="auto"/>
          <w:sz w:val="24"/>
          <w:szCs w:val="24"/>
        </w:rPr>
      </w:pPr>
    </w:p>
    <w:p w14:paraId="0C118BE9">
      <w:pPr>
        <w:tabs>
          <w:tab w:val="left" w:pos="9365"/>
        </w:tabs>
        <w:spacing w:before="57" w:after="57" w:line="586" w:lineRule="atLeast"/>
        <w:ind w:right="85"/>
        <w:jc w:val="left"/>
        <w:textAlignment w:val="top"/>
        <w:rPr>
          <w:rFonts w:ascii="宋体" w:hAnsi="宋体"/>
          <w:color w:val="auto"/>
          <w:sz w:val="24"/>
          <w:szCs w:val="24"/>
        </w:rPr>
      </w:pPr>
    </w:p>
    <w:p w14:paraId="6F78CE01">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450175DB">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29973C6F">
      <w:pPr>
        <w:autoSpaceDE w:val="0"/>
        <w:autoSpaceDN w:val="0"/>
        <w:adjustRightInd w:val="0"/>
        <w:spacing w:line="360" w:lineRule="auto"/>
        <w:rPr>
          <w:rFonts w:ascii="宋体"/>
          <w:color w:val="auto"/>
          <w:sz w:val="24"/>
          <w:szCs w:val="24"/>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r>
        <w:rPr>
          <w:rFonts w:ascii="宋体" w:hAnsi="宋体"/>
          <w:color w:val="auto"/>
          <w:sz w:val="24"/>
        </w:rPr>
        <w:t xml:space="preserve">    </w:t>
      </w:r>
    </w:p>
    <w:p w14:paraId="779E4B55">
      <w:pPr>
        <w:autoSpaceDE w:val="0"/>
        <w:autoSpaceDN w:val="0"/>
        <w:adjustRightInd w:val="0"/>
        <w:spacing w:line="360" w:lineRule="auto"/>
        <w:jc w:val="center"/>
        <w:rPr>
          <w:rFonts w:ascii="宋体"/>
          <w:color w:val="auto"/>
          <w:sz w:val="24"/>
          <w:szCs w:val="24"/>
        </w:rPr>
      </w:pPr>
    </w:p>
    <w:p w14:paraId="24DDE61A">
      <w:pPr>
        <w:autoSpaceDE w:val="0"/>
        <w:autoSpaceDN w:val="0"/>
        <w:adjustRightInd w:val="0"/>
        <w:spacing w:line="360" w:lineRule="auto"/>
        <w:jc w:val="center"/>
        <w:rPr>
          <w:rFonts w:ascii="宋体"/>
          <w:color w:val="auto"/>
          <w:sz w:val="24"/>
          <w:szCs w:val="24"/>
        </w:rPr>
      </w:pPr>
    </w:p>
    <w:p w14:paraId="2E468494">
      <w:pPr>
        <w:autoSpaceDE w:val="0"/>
        <w:autoSpaceDN w:val="0"/>
        <w:adjustRightInd w:val="0"/>
        <w:spacing w:line="360" w:lineRule="auto"/>
        <w:jc w:val="center"/>
        <w:rPr>
          <w:rFonts w:ascii="宋体"/>
          <w:color w:val="auto"/>
          <w:sz w:val="24"/>
          <w:szCs w:val="24"/>
        </w:rPr>
      </w:pPr>
    </w:p>
    <w:p w14:paraId="13231CE5">
      <w:pPr>
        <w:spacing w:line="240" w:lineRule="auto"/>
        <w:jc w:val="left"/>
        <w:textAlignment w:val="auto"/>
        <w:rPr>
          <w:rFonts w:ascii="宋体"/>
          <w:color w:val="auto"/>
          <w:sz w:val="24"/>
          <w:szCs w:val="24"/>
        </w:rPr>
      </w:pPr>
      <w:r>
        <w:rPr>
          <w:rFonts w:ascii="宋体"/>
          <w:color w:val="auto"/>
          <w:sz w:val="24"/>
          <w:szCs w:val="24"/>
        </w:rPr>
        <w:br w:type="page"/>
      </w:r>
    </w:p>
    <w:p w14:paraId="6947732E">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投标承诺函</w:t>
      </w:r>
    </w:p>
    <w:p w14:paraId="5D9C29AC">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（以投标承诺函形式，替代投标保证金的相关承诺事项）</w:t>
      </w:r>
    </w:p>
    <w:p w14:paraId="2FE71DF1">
      <w:pPr>
        <w:widowControl w:val="0"/>
        <w:tabs>
          <w:tab w:val="left" w:pos="9365"/>
        </w:tabs>
        <w:spacing w:before="360" w:after="360" w:line="360" w:lineRule="auto"/>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r>
        <w:rPr>
          <w:rFonts w:hint="eastAsia" w:ascii="宋体" w:hAnsi="宋体"/>
          <w:color w:val="auto"/>
          <w:spacing w:val="11"/>
          <w:sz w:val="24"/>
          <w:szCs w:val="24"/>
        </w:rPr>
        <w:t>、</w:t>
      </w:r>
      <w:r>
        <w:rPr>
          <w:rFonts w:hint="eastAsia"/>
          <w:color w:val="auto"/>
          <w:sz w:val="24"/>
          <w:szCs w:val="24"/>
        </w:rPr>
        <w:t>安阳市方正招标采购服务有限责任公司</w:t>
      </w:r>
    </w:p>
    <w:p w14:paraId="30FB01C8">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的</w:t>
      </w:r>
      <w:r>
        <w:rPr>
          <w:rFonts w:hint="eastAsia" w:ascii="宋体" w:hAnsi="宋体"/>
          <w:color w:val="auto"/>
          <w:sz w:val="24"/>
          <w:szCs w:val="24"/>
          <w:u w:val="single"/>
        </w:rPr>
        <w:t xml:space="preserve">    （项目名称）   </w:t>
      </w:r>
      <w:r>
        <w:rPr>
          <w:rFonts w:hint="eastAsia" w:ascii="宋体" w:hAnsi="宋体"/>
          <w:color w:val="auto"/>
          <w:sz w:val="24"/>
          <w:szCs w:val="24"/>
        </w:rPr>
        <w:t>采购活动中，我</w:t>
      </w:r>
      <w:r>
        <w:rPr>
          <w:rFonts w:hint="eastAsia"/>
          <w:color w:val="auto"/>
          <w:sz w:val="24"/>
        </w:rPr>
        <w:t>单位</w:t>
      </w:r>
      <w:r>
        <w:rPr>
          <w:rFonts w:hint="eastAsia" w:ascii="宋体" w:hAnsi="宋体"/>
          <w:color w:val="auto"/>
          <w:sz w:val="24"/>
          <w:szCs w:val="24"/>
        </w:rPr>
        <w:t>承诺：</w:t>
      </w:r>
    </w:p>
    <w:p w14:paraId="5E23CAAE">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rPr>
          <w:color w:val="auto"/>
        </w:rPr>
        <w:fldChar w:fldCharType="begin"/>
      </w:r>
      <w:r>
        <w:rPr>
          <w:color w:val="auto"/>
        </w:rPr>
        <w:instrText xml:space="preserve"> HYPERLINK "http://www.so.com/s?q=%E8%AF%9A%E5%AE%9E%E4%BF%A1%E7%94%A8&amp;ie=utf-8&amp;src=internal_wenda_recommend_textn" \t "https://wenda.so.com/q/_blank" </w:instrText>
      </w:r>
      <w:r>
        <w:rPr>
          <w:color w:val="auto"/>
        </w:rP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r>
        <w:rPr>
          <w:rFonts w:hint="eastAsia" w:ascii="宋体" w:hAnsi="宋体"/>
          <w:color w:val="auto"/>
          <w:sz w:val="24"/>
          <w:szCs w:val="24"/>
        </w:rPr>
        <w:br w:type="textWrapping"/>
      </w:r>
      <w:r>
        <w:rPr>
          <w:rFonts w:hint="eastAsia" w:ascii="宋体" w:hAnsi="宋体"/>
          <w:color w:val="auto"/>
          <w:sz w:val="24"/>
          <w:szCs w:val="24"/>
        </w:rPr>
        <w:t xml:space="preserve">    二、在政府采购活动中提供真实、准确、有效、合法的材料，不</w:t>
      </w:r>
      <w:r>
        <w:rPr>
          <w:rFonts w:hint="eastAsia" w:ascii="宋体" w:hAnsi="宋体"/>
          <w:color w:val="auto"/>
          <w:sz w:val="24"/>
          <w:szCs w:val="24"/>
          <w:lang w:val="zh-CN"/>
        </w:rPr>
        <w:t>提供虚假材料；</w:t>
      </w:r>
    </w:p>
    <w:p w14:paraId="54F6F046">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三、</w:t>
      </w:r>
      <w:r>
        <w:rPr>
          <w:rFonts w:hint="eastAsia" w:ascii="宋体" w:hAnsi="宋体"/>
          <w:color w:val="auto"/>
          <w:sz w:val="24"/>
          <w:szCs w:val="24"/>
          <w:lang w:val="zh-CN"/>
        </w:rPr>
        <w:t>按照</w:t>
      </w:r>
      <w:r>
        <w:rPr>
          <w:rFonts w:hint="eastAsia" w:ascii="宋体" w:hAnsi="宋体"/>
          <w:color w:val="auto"/>
          <w:sz w:val="24"/>
          <w:szCs w:val="24"/>
        </w:rPr>
        <w:t>《磋商文件》</w:t>
      </w:r>
      <w:r>
        <w:rPr>
          <w:rFonts w:hint="eastAsia" w:ascii="宋体" w:hAnsi="宋体"/>
          <w:color w:val="auto"/>
          <w:sz w:val="24"/>
          <w:szCs w:val="24"/>
          <w:lang w:val="zh-CN"/>
        </w:rPr>
        <w:t>规定，在提交《响应文件》截止时间后，在</w:t>
      </w:r>
      <w:r>
        <w:rPr>
          <w:rFonts w:hint="eastAsia" w:ascii="宋体" w:hAnsi="宋体"/>
          <w:color w:val="auto"/>
          <w:sz w:val="24"/>
          <w:szCs w:val="24"/>
        </w:rPr>
        <w:t>《磋商文件》</w:t>
      </w:r>
      <w:r>
        <w:rPr>
          <w:rFonts w:hint="eastAsia" w:ascii="宋体" w:hAnsi="宋体"/>
          <w:color w:val="auto"/>
          <w:sz w:val="24"/>
          <w:szCs w:val="24"/>
          <w:lang w:val="zh-CN"/>
        </w:rPr>
        <w:t>规定的投标有效期限内不撤回《响应文件》；</w:t>
      </w:r>
    </w:p>
    <w:p w14:paraId="1A24F759">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四、不</w:t>
      </w:r>
      <w:r>
        <w:rPr>
          <w:rFonts w:hint="eastAsia" w:ascii="宋体" w:hAnsi="宋体"/>
          <w:color w:val="auto"/>
          <w:sz w:val="24"/>
          <w:szCs w:val="24"/>
          <w:lang w:val="zh-CN"/>
        </w:rPr>
        <w:t>与其他供应商、采购人或采购代理机构串通或恶意串通；</w:t>
      </w:r>
    </w:p>
    <w:p w14:paraId="45EE4942">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五、如我单位中标，</w:t>
      </w:r>
      <w:r>
        <w:rPr>
          <w:rFonts w:hint="eastAsia" w:ascii="宋体" w:hAnsi="宋体"/>
          <w:color w:val="auto"/>
          <w:sz w:val="24"/>
          <w:szCs w:val="24"/>
          <w:lang w:val="zh-CN"/>
        </w:rPr>
        <w:t>除不可抗拒力或</w:t>
      </w:r>
      <w:r>
        <w:rPr>
          <w:rFonts w:hint="eastAsia" w:ascii="宋体" w:hAnsi="宋体"/>
          <w:color w:val="auto"/>
          <w:sz w:val="24"/>
          <w:szCs w:val="24"/>
        </w:rPr>
        <w:t>《磋商文件》</w:t>
      </w:r>
      <w:r>
        <w:rPr>
          <w:rFonts w:hint="eastAsia" w:ascii="宋体" w:hAnsi="宋体"/>
          <w:color w:val="auto"/>
          <w:sz w:val="24"/>
          <w:szCs w:val="24"/>
          <w:lang w:val="zh-CN"/>
        </w:rPr>
        <w:t>认可的情形外</w:t>
      </w:r>
      <w:r>
        <w:rPr>
          <w:rFonts w:hint="eastAsia" w:ascii="宋体" w:hAnsi="宋体"/>
          <w:color w:val="auto"/>
          <w:sz w:val="24"/>
          <w:szCs w:val="24"/>
        </w:rPr>
        <w:t>，我单位承诺及时领取中标通知书，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六、</w:t>
      </w:r>
      <w:r>
        <w:rPr>
          <w:rFonts w:hint="eastAsia" w:ascii="宋体" w:hAnsi="宋体"/>
          <w:color w:val="auto"/>
          <w:sz w:val="24"/>
          <w:szCs w:val="24"/>
          <w:lang w:val="zh-CN"/>
        </w:rPr>
        <w:t>遵守法律法规及</w:t>
      </w:r>
      <w:r>
        <w:rPr>
          <w:rFonts w:hint="eastAsia" w:ascii="宋体" w:hAnsi="宋体"/>
          <w:color w:val="auto"/>
          <w:sz w:val="24"/>
          <w:szCs w:val="24"/>
        </w:rPr>
        <w:t>《磋商文件》</w:t>
      </w:r>
      <w:r>
        <w:rPr>
          <w:rFonts w:hint="eastAsia" w:ascii="宋体" w:hAnsi="宋体"/>
          <w:color w:val="auto"/>
          <w:sz w:val="24"/>
          <w:szCs w:val="24"/>
          <w:lang w:val="zh-CN"/>
        </w:rPr>
        <w:t>规定的其他情况；</w:t>
      </w:r>
    </w:p>
    <w:p w14:paraId="0CDF1E9A">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七、按《磋商文件》规定及时缴纳中标服务费。</w:t>
      </w:r>
    </w:p>
    <w:p w14:paraId="064EC093">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八、违背上述承诺事项的，我单位无条件接受以下责任追究：</w:t>
      </w:r>
    </w:p>
    <w:p w14:paraId="654BB499">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（一）法定责任：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272FFD8E">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给采购人及他人造成损失的，愿承担相应的赔偿责任。</w:t>
      </w:r>
    </w:p>
    <w:p w14:paraId="6A62A177">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（二）违约责任：</w:t>
      </w:r>
      <w:r>
        <w:rPr>
          <w:rFonts w:hint="eastAsia" w:ascii="宋体" w:hAnsi="宋体"/>
          <w:color w:val="auto"/>
          <w:sz w:val="24"/>
          <w:szCs w:val="24"/>
        </w:rPr>
        <w:t xml:space="preserve"> </w:t>
      </w:r>
    </w:p>
    <w:p w14:paraId="3CD93E22">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1、已中标的，中标（成交）无效；</w:t>
      </w:r>
    </w:p>
    <w:p w14:paraId="3D0C53CB">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2、支付采购人违约标的预算金额2%的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14:paraId="5B5BAB79">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3、中标后未缴中标服务费的，作为违约及违背</w:t>
      </w:r>
      <w:r>
        <w:rPr>
          <w:color w:val="auto"/>
        </w:rPr>
        <w:fldChar w:fldCharType="begin"/>
      </w:r>
      <w:r>
        <w:rPr>
          <w:color w:val="auto"/>
        </w:rPr>
        <w:instrText xml:space="preserve"> HYPERLINK "http://www.so.com/s?q=%E8%AF%9A%E5%AE%9E%E4%BF%A1%E7%94%A8&amp;ie=utf-8&amp;src=internal_wenda_recommend_textn" \t "https://wenda.so.com/q/_blank" </w:instrText>
      </w:r>
      <w:r>
        <w:rPr>
          <w:color w:val="auto"/>
        </w:rP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14:paraId="2D466FB0">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14:paraId="34F3CA41">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14:paraId="5BDA65B7">
      <w:pPr>
        <w:autoSpaceDE w:val="0"/>
        <w:autoSpaceDN w:val="0"/>
        <w:adjustRightInd w:val="0"/>
        <w:spacing w:line="48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3AB46609">
      <w:pPr>
        <w:autoSpaceDE w:val="0"/>
        <w:autoSpaceDN w:val="0"/>
        <w:adjustRightInd w:val="0"/>
        <w:spacing w:line="480" w:lineRule="auto"/>
        <w:ind w:left="-2" w:right="-817" w:firstLine="2"/>
        <w:rPr>
          <w:rFonts w:ascii="宋体" w:hAns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1626EFDE">
      <w:pPr>
        <w:autoSpaceDE w:val="0"/>
        <w:autoSpaceDN w:val="0"/>
        <w:adjustRightInd w:val="0"/>
        <w:spacing w:line="480" w:lineRule="auto"/>
        <w:ind w:left="-2" w:right="-817" w:firstLine="2"/>
        <w:rPr>
          <w:rFonts w:ascii="宋体"/>
          <w:color w:val="auto"/>
          <w:sz w:val="24"/>
          <w:szCs w:val="24"/>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r>
        <w:rPr>
          <w:rFonts w:ascii="宋体" w:hAnsi="宋体"/>
          <w:color w:val="auto"/>
          <w:sz w:val="24"/>
        </w:rPr>
        <w:t xml:space="preserve">  </w:t>
      </w:r>
    </w:p>
    <w:p w14:paraId="7CEEE159">
      <w:pPr>
        <w:autoSpaceDE w:val="0"/>
        <w:autoSpaceDN w:val="0"/>
        <w:adjustRightInd w:val="0"/>
        <w:spacing w:line="360" w:lineRule="auto"/>
        <w:rPr>
          <w:rFonts w:ascii="宋体"/>
          <w:color w:val="auto"/>
          <w:sz w:val="24"/>
          <w:szCs w:val="24"/>
        </w:rPr>
      </w:pPr>
    </w:p>
    <w:p w14:paraId="3E845617">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十二、采购项目及技术服务要求所需的其他材料</w:t>
      </w:r>
    </w:p>
    <w:p w14:paraId="56A3CBEC">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章&gt;或供应商</w:t>
      </w:r>
      <w:r>
        <w:rPr>
          <w:rFonts w:hint="eastAsia" w:ascii="宋体" w:hAnsi="宋体" w:cs="楷体_GB2312"/>
          <w:color w:val="auto"/>
          <w:sz w:val="24"/>
          <w:lang w:val="zh-CN"/>
        </w:rPr>
        <w:t>电子签</w:t>
      </w:r>
      <w:r>
        <w:rPr>
          <w:rFonts w:hint="eastAsia" w:ascii="宋体" w:hAnsi="宋体"/>
          <w:color w:val="auto"/>
          <w:sz w:val="24"/>
          <w:szCs w:val="24"/>
        </w:rPr>
        <w:t>章）</w:t>
      </w:r>
    </w:p>
    <w:p w14:paraId="0189DD6F">
      <w:pPr>
        <w:widowControl w:val="0"/>
        <w:snapToGrid w:val="0"/>
        <w:spacing w:line="560" w:lineRule="exact"/>
        <w:ind w:firstLine="555"/>
        <w:rPr>
          <w:rFonts w:ascii="宋体"/>
          <w:color w:val="auto"/>
          <w:sz w:val="24"/>
          <w:szCs w:val="24"/>
        </w:rPr>
      </w:pPr>
    </w:p>
    <w:p w14:paraId="0211D03C">
      <w:pPr>
        <w:widowControl w:val="0"/>
        <w:snapToGrid w:val="0"/>
        <w:spacing w:line="560" w:lineRule="exact"/>
        <w:ind w:firstLine="555"/>
        <w:rPr>
          <w:rFonts w:ascii="宋体"/>
          <w:color w:val="auto"/>
          <w:sz w:val="24"/>
          <w:szCs w:val="24"/>
        </w:rPr>
      </w:pPr>
    </w:p>
    <w:p w14:paraId="01789168">
      <w:pPr>
        <w:widowControl w:val="0"/>
        <w:snapToGrid w:val="0"/>
        <w:spacing w:line="560" w:lineRule="exact"/>
        <w:ind w:firstLine="555"/>
        <w:rPr>
          <w:rFonts w:ascii="宋体"/>
          <w:color w:val="auto"/>
          <w:sz w:val="24"/>
          <w:szCs w:val="24"/>
        </w:rPr>
      </w:pPr>
    </w:p>
    <w:p w14:paraId="7EB9EDBA">
      <w:pPr>
        <w:autoSpaceDE w:val="0"/>
        <w:autoSpaceDN w:val="0"/>
        <w:adjustRightInd w:val="0"/>
        <w:spacing w:line="360" w:lineRule="auto"/>
        <w:jc w:val="center"/>
        <w:rPr>
          <w:rFonts w:eastAsia="方正黑体简体"/>
          <w:b/>
          <w:color w:val="auto"/>
          <w:sz w:val="30"/>
          <w:szCs w:val="30"/>
        </w:rPr>
      </w:pPr>
    </w:p>
    <w:p w14:paraId="23A14607">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十三、供应商须知所需的其他材料</w:t>
      </w:r>
    </w:p>
    <w:p w14:paraId="7225F3D0">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（按条款需要填列；并按条款要求</w:t>
      </w:r>
      <w:r>
        <w:rPr>
          <w:rFonts w:hint="eastAsia" w:ascii="宋体" w:hAnsi="宋体"/>
          <w:color w:val="auto"/>
          <w:sz w:val="24"/>
          <w:szCs w:val="24"/>
          <w:lang w:val="zh-CN"/>
        </w:rPr>
        <w:t>电子签名&lt;签</w:t>
      </w:r>
      <w:r>
        <w:rPr>
          <w:rFonts w:hint="eastAsia" w:ascii="宋体" w:hAnsi="宋体"/>
          <w:color w:val="auto"/>
          <w:sz w:val="24"/>
          <w:szCs w:val="24"/>
        </w:rPr>
        <w:t>章&gt;。条款中对</w:t>
      </w:r>
      <w:r>
        <w:rPr>
          <w:rFonts w:hint="eastAsia" w:ascii="宋体" w:hAnsi="宋体"/>
          <w:color w:val="auto"/>
          <w:sz w:val="24"/>
          <w:szCs w:val="24"/>
          <w:lang w:val="zh-CN"/>
        </w:rPr>
        <w:t>电子签名&lt;签</w:t>
      </w:r>
      <w:r>
        <w:rPr>
          <w:rFonts w:hint="eastAsia" w:ascii="宋体" w:hAnsi="宋体"/>
          <w:color w:val="auto"/>
          <w:sz w:val="24"/>
          <w:szCs w:val="24"/>
        </w:rPr>
        <w:t>章&gt;未作明确要求的，由法定代表人</w:t>
      </w:r>
      <w:r>
        <w:rPr>
          <w:rFonts w:hint="eastAsia" w:ascii="宋体" w:hAnsi="宋体"/>
          <w:color w:val="auto"/>
          <w:sz w:val="24"/>
          <w:szCs w:val="24"/>
          <w:lang w:val="zh-CN"/>
        </w:rPr>
        <w:t>电子签名&lt;签</w:t>
      </w:r>
      <w:r>
        <w:rPr>
          <w:rFonts w:hint="eastAsia" w:ascii="宋体" w:hAnsi="宋体"/>
          <w:color w:val="auto"/>
          <w:sz w:val="24"/>
          <w:szCs w:val="24"/>
        </w:rPr>
        <w:t>章&gt;或供应商</w:t>
      </w:r>
      <w:r>
        <w:rPr>
          <w:rFonts w:hint="eastAsia" w:ascii="宋体" w:hAnsi="宋体"/>
          <w:color w:val="auto"/>
          <w:sz w:val="24"/>
          <w:szCs w:val="24"/>
          <w:lang w:val="zh-CN"/>
        </w:rPr>
        <w:t>电子签</w:t>
      </w:r>
      <w:r>
        <w:rPr>
          <w:rFonts w:hint="eastAsia" w:ascii="宋体" w:hAnsi="宋体"/>
          <w:color w:val="auto"/>
          <w:sz w:val="24"/>
          <w:szCs w:val="24"/>
        </w:rPr>
        <w:t>章）</w:t>
      </w:r>
    </w:p>
    <w:p w14:paraId="47EB9EBC">
      <w:pPr>
        <w:widowControl w:val="0"/>
        <w:snapToGrid w:val="0"/>
        <w:spacing w:line="560" w:lineRule="exact"/>
        <w:ind w:firstLine="555"/>
        <w:rPr>
          <w:rFonts w:ascii="宋体"/>
          <w:color w:val="auto"/>
          <w:sz w:val="24"/>
          <w:szCs w:val="24"/>
        </w:rPr>
      </w:pPr>
    </w:p>
    <w:p w14:paraId="4ACDFE5D">
      <w:pPr>
        <w:widowControl w:val="0"/>
        <w:snapToGrid w:val="0"/>
        <w:spacing w:line="560" w:lineRule="exact"/>
        <w:ind w:firstLine="555"/>
        <w:rPr>
          <w:rFonts w:ascii="宋体"/>
          <w:color w:val="auto"/>
          <w:sz w:val="24"/>
          <w:szCs w:val="24"/>
        </w:rPr>
      </w:pPr>
    </w:p>
    <w:p w14:paraId="398F78E7">
      <w:pPr>
        <w:widowControl w:val="0"/>
        <w:snapToGrid w:val="0"/>
        <w:spacing w:line="560" w:lineRule="exact"/>
        <w:ind w:firstLine="555"/>
        <w:rPr>
          <w:rFonts w:ascii="宋体"/>
          <w:color w:val="auto"/>
          <w:sz w:val="24"/>
          <w:szCs w:val="24"/>
        </w:rPr>
      </w:pPr>
    </w:p>
    <w:p w14:paraId="7C07808E">
      <w:pPr>
        <w:autoSpaceDE w:val="0"/>
        <w:autoSpaceDN w:val="0"/>
        <w:adjustRightInd w:val="0"/>
        <w:spacing w:line="360" w:lineRule="auto"/>
        <w:jc w:val="center"/>
        <w:rPr>
          <w:rFonts w:eastAsia="方正黑体简体"/>
          <w:b/>
          <w:color w:val="auto"/>
          <w:sz w:val="30"/>
          <w:szCs w:val="30"/>
        </w:rPr>
      </w:pPr>
    </w:p>
    <w:p w14:paraId="329C89ED">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十四、评审办法所需的其他材料</w:t>
      </w:r>
    </w:p>
    <w:p w14:paraId="21B16811">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（按条款需要填列；并按条款要求</w:t>
      </w:r>
      <w:r>
        <w:rPr>
          <w:rFonts w:hint="eastAsia" w:ascii="宋体" w:hAnsi="宋体"/>
          <w:color w:val="auto"/>
          <w:sz w:val="24"/>
          <w:szCs w:val="24"/>
          <w:lang w:val="zh-CN"/>
        </w:rPr>
        <w:t>电子签名&lt;签</w:t>
      </w:r>
      <w:r>
        <w:rPr>
          <w:rFonts w:hint="eastAsia" w:ascii="宋体" w:hAnsi="宋体"/>
          <w:color w:val="auto"/>
          <w:sz w:val="24"/>
          <w:szCs w:val="24"/>
        </w:rPr>
        <w:t>章&gt;。条款中对</w:t>
      </w:r>
      <w:r>
        <w:rPr>
          <w:rFonts w:hint="eastAsia" w:ascii="宋体" w:hAnsi="宋体"/>
          <w:color w:val="auto"/>
          <w:sz w:val="24"/>
          <w:szCs w:val="24"/>
          <w:lang w:val="zh-CN"/>
        </w:rPr>
        <w:t>电子签名&lt;签</w:t>
      </w:r>
      <w:r>
        <w:rPr>
          <w:rFonts w:hint="eastAsia" w:ascii="宋体" w:hAnsi="宋体"/>
          <w:color w:val="auto"/>
          <w:sz w:val="24"/>
          <w:szCs w:val="24"/>
        </w:rPr>
        <w:t>章&gt;未作明确要求的，由法定代表人</w:t>
      </w:r>
      <w:r>
        <w:rPr>
          <w:rFonts w:hint="eastAsia" w:ascii="宋体" w:hAnsi="宋体"/>
          <w:color w:val="auto"/>
          <w:sz w:val="24"/>
          <w:szCs w:val="24"/>
          <w:lang w:val="zh-CN"/>
        </w:rPr>
        <w:t>电子签名&lt;签</w:t>
      </w:r>
      <w:r>
        <w:rPr>
          <w:rFonts w:hint="eastAsia" w:ascii="宋体" w:hAnsi="宋体"/>
          <w:color w:val="auto"/>
          <w:sz w:val="24"/>
          <w:szCs w:val="24"/>
        </w:rPr>
        <w:t>章&gt;或供应商</w:t>
      </w:r>
      <w:r>
        <w:rPr>
          <w:rFonts w:hint="eastAsia" w:ascii="宋体" w:hAnsi="宋体"/>
          <w:color w:val="auto"/>
          <w:sz w:val="24"/>
          <w:szCs w:val="24"/>
          <w:lang w:val="zh-CN"/>
        </w:rPr>
        <w:t>电子签</w:t>
      </w:r>
      <w:r>
        <w:rPr>
          <w:rFonts w:hint="eastAsia" w:ascii="宋体" w:hAnsi="宋体"/>
          <w:color w:val="auto"/>
          <w:sz w:val="24"/>
          <w:szCs w:val="24"/>
        </w:rPr>
        <w:t>章）</w:t>
      </w:r>
    </w:p>
    <w:p w14:paraId="50A22798">
      <w:pPr>
        <w:autoSpaceDE w:val="0"/>
        <w:autoSpaceDN w:val="0"/>
        <w:adjustRightInd w:val="0"/>
        <w:spacing w:line="360" w:lineRule="auto"/>
        <w:jc w:val="center"/>
        <w:rPr>
          <w:rFonts w:ascii="宋体"/>
          <w:color w:val="auto"/>
          <w:sz w:val="24"/>
          <w:szCs w:val="24"/>
        </w:rPr>
      </w:pPr>
    </w:p>
    <w:p w14:paraId="6C0CFB1C">
      <w:pPr>
        <w:adjustRightInd w:val="0"/>
        <w:snapToGrid w:val="0"/>
        <w:spacing w:line="300" w:lineRule="auto"/>
        <w:textAlignment w:val="top"/>
        <w:rPr>
          <w:rFonts w:ascii="宋体"/>
          <w:color w:val="auto"/>
          <w:sz w:val="24"/>
          <w:szCs w:val="24"/>
        </w:rPr>
      </w:pPr>
    </w:p>
    <w:p w14:paraId="1C359195">
      <w:pPr>
        <w:widowControl w:val="0"/>
        <w:snapToGrid w:val="0"/>
        <w:spacing w:line="560" w:lineRule="exact"/>
        <w:jc w:val="left"/>
        <w:rPr>
          <w:rFonts w:ascii="黑体" w:hAnsi="黑体" w:eastAsia="黑体"/>
          <w:b/>
          <w:color w:val="auto"/>
          <w:sz w:val="30"/>
          <w:szCs w:val="30"/>
        </w:rPr>
      </w:pPr>
      <w:r>
        <w:rPr>
          <w:rFonts w:ascii="黑体" w:hAnsi="黑体" w:eastAsia="黑体"/>
          <w:b/>
          <w:color w:val="auto"/>
          <w:sz w:val="30"/>
          <w:szCs w:val="30"/>
        </w:rPr>
        <w:br w:type="page"/>
      </w:r>
      <w:r>
        <w:rPr>
          <w:rFonts w:hint="eastAsia" w:eastAsia="方正黑体简体"/>
          <w:b/>
          <w:color w:val="auto"/>
          <w:sz w:val="30"/>
          <w:szCs w:val="30"/>
        </w:rPr>
        <w:t>14-1附件：</w:t>
      </w:r>
    </w:p>
    <w:p w14:paraId="06A89B27">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供应商按照“证明材料查询核验工作的清单及要求”（下述）提供核验材料。</w:t>
      </w:r>
    </w:p>
    <w:p w14:paraId="1ED234DB">
      <w:pPr>
        <w:spacing w:line="520" w:lineRule="exact"/>
        <w:rPr>
          <w:rFonts w:ascii="宋体" w:hAnsi="宋体"/>
          <w:color w:val="auto"/>
          <w:sz w:val="28"/>
          <w:szCs w:val="28"/>
        </w:rPr>
      </w:pPr>
    </w:p>
    <w:p w14:paraId="7957A5D7">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（核验材料需加盖供应商电子签章）</w:t>
      </w:r>
    </w:p>
    <w:p w14:paraId="1E4758F1">
      <w:pPr>
        <w:spacing w:line="520" w:lineRule="exact"/>
        <w:rPr>
          <w:rFonts w:ascii="宋体" w:hAnsi="宋体"/>
          <w:color w:val="auto"/>
          <w:sz w:val="28"/>
          <w:szCs w:val="28"/>
        </w:rPr>
      </w:pPr>
    </w:p>
    <w:p w14:paraId="063722BC">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证明材料查询核验工作的清单及要求</w:t>
      </w:r>
    </w:p>
    <w:p w14:paraId="33D80026">
      <w:pPr>
        <w:spacing w:line="360" w:lineRule="auto"/>
        <w:ind w:firstLine="560" w:firstLineChars="200"/>
        <w:jc w:val="left"/>
        <w:rPr>
          <w:rFonts w:ascii="宋体" w:hAnsi="宋体"/>
          <w:color w:val="auto"/>
          <w:sz w:val="28"/>
          <w:szCs w:val="28"/>
        </w:rPr>
      </w:pPr>
    </w:p>
    <w:p w14:paraId="2848EE9F">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一、《响应文件》所提供的证明材料中、需网上公开查询核验的材料清单（依据2023年度监督检查工作指引网上公开查验网址）</w:t>
      </w:r>
    </w:p>
    <w:tbl>
      <w:tblPr>
        <w:tblStyle w:val="1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5"/>
        <w:gridCol w:w="4266"/>
        <w:gridCol w:w="2820"/>
      </w:tblGrid>
      <w:tr w14:paraId="585E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Align w:val="center"/>
          </w:tcPr>
          <w:p w14:paraId="44E7F30B">
            <w:pPr>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755" w:type="dxa"/>
            <w:vAlign w:val="center"/>
          </w:tcPr>
          <w:p w14:paraId="0C7F307A">
            <w:pPr>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名称</w:t>
            </w:r>
          </w:p>
        </w:tc>
        <w:tc>
          <w:tcPr>
            <w:tcW w:w="4266" w:type="dxa"/>
            <w:vAlign w:val="center"/>
          </w:tcPr>
          <w:p w14:paraId="148181F2">
            <w:pPr>
              <w:spacing w:line="240" w:lineRule="auto"/>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查验网址</w:t>
            </w:r>
          </w:p>
        </w:tc>
        <w:tc>
          <w:tcPr>
            <w:tcW w:w="2820" w:type="dxa"/>
            <w:vAlign w:val="center"/>
          </w:tcPr>
          <w:p w14:paraId="6EADFD3B">
            <w:pPr>
              <w:spacing w:line="240" w:lineRule="auto"/>
              <w:jc w:val="center"/>
              <w:rPr>
                <w:rFonts w:asciiTheme="minorEastAsia" w:hAnsiTheme="minorEastAsia" w:eastAsiaTheme="minorEastAsia" w:cstheme="minorEastAsia"/>
                <w:b/>
                <w:color w:val="auto"/>
                <w:sz w:val="24"/>
                <w:szCs w:val="24"/>
              </w:rPr>
            </w:pPr>
            <w:bookmarkStart w:id="49" w:name="OLE_LINK13"/>
            <w:r>
              <w:rPr>
                <w:rFonts w:hint="eastAsia" w:asciiTheme="minorEastAsia" w:hAnsiTheme="minorEastAsia" w:eastAsiaTheme="minorEastAsia" w:cstheme="minorEastAsia"/>
                <w:b/>
                <w:color w:val="auto"/>
                <w:sz w:val="24"/>
                <w:szCs w:val="24"/>
              </w:rPr>
              <w:t>备注</w:t>
            </w:r>
            <w:bookmarkEnd w:id="49"/>
          </w:p>
        </w:tc>
      </w:tr>
      <w:tr w14:paraId="2A8C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14:paraId="54F8E652">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755" w:type="dxa"/>
            <w:shd w:val="clear" w:color="auto" w:fill="auto"/>
            <w:vAlign w:val="center"/>
          </w:tcPr>
          <w:p w14:paraId="41FFD07D">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软件著作权登记证书或软件产品登记证书</w:t>
            </w:r>
          </w:p>
        </w:tc>
        <w:tc>
          <w:tcPr>
            <w:tcW w:w="4266" w:type="dxa"/>
            <w:shd w:val="clear" w:color="auto" w:fill="auto"/>
            <w:vAlign w:val="center"/>
          </w:tcPr>
          <w:p w14:paraId="75DD604E">
            <w:pPr>
              <w:spacing w:line="240" w:lineRule="auto"/>
              <w:jc w:val="center"/>
              <w:rPr>
                <w:rStyle w:val="22"/>
                <w:rFonts w:asciiTheme="minorEastAsia" w:hAnsiTheme="minorEastAsia" w:eastAsiaTheme="minorEastAsia" w:cstheme="minorEastAsia"/>
                <w:color w:val="auto"/>
                <w:sz w:val="24"/>
                <w:szCs w:val="24"/>
              </w:rPr>
            </w:pPr>
            <w:r>
              <w:rPr>
                <w:rStyle w:val="22"/>
                <w:rFonts w:hint="eastAsia" w:asciiTheme="minorEastAsia" w:hAnsiTheme="minorEastAsia" w:eastAsiaTheme="minorEastAsia" w:cstheme="minorEastAsia"/>
                <w:color w:val="auto"/>
                <w:sz w:val="24"/>
                <w:szCs w:val="24"/>
              </w:rPr>
              <w:t>中国版权保护中心官网</w:t>
            </w:r>
          </w:p>
        </w:tc>
        <w:tc>
          <w:tcPr>
            <w:tcW w:w="2820" w:type="dxa"/>
            <w:vAlign w:val="center"/>
          </w:tcPr>
          <w:p w14:paraId="7A70EBA8">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《磋商文件》第四章“评审办法前附表”中列示的“开发能力”评审因素。</w:t>
            </w:r>
          </w:p>
        </w:tc>
      </w:tr>
      <w:tr w14:paraId="7AD2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14:paraId="19A3FD66">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755" w:type="dxa"/>
            <w:shd w:val="clear" w:color="auto" w:fill="auto"/>
            <w:vAlign w:val="center"/>
          </w:tcPr>
          <w:p w14:paraId="2ACD3E5B">
            <w:pPr>
              <w:spacing w:line="240" w:lineRule="auto"/>
              <w:jc w:val="center"/>
              <w:rPr>
                <w:rFonts w:asciiTheme="minorEastAsia" w:hAnsiTheme="minorEastAsia" w:eastAsiaTheme="minorEastAsia" w:cstheme="minorEastAsia"/>
                <w:color w:val="auto"/>
                <w:sz w:val="24"/>
                <w:szCs w:val="24"/>
              </w:rPr>
            </w:pPr>
            <w:r>
              <w:rPr>
                <w:rFonts w:hint="eastAsia"/>
                <w:color w:val="auto"/>
                <w:sz w:val="24"/>
                <w:szCs w:val="24"/>
              </w:rPr>
              <w:t>软件设计师、网络工程师</w:t>
            </w:r>
          </w:p>
        </w:tc>
        <w:tc>
          <w:tcPr>
            <w:tcW w:w="4266" w:type="dxa"/>
            <w:shd w:val="clear" w:color="auto" w:fill="auto"/>
            <w:vAlign w:val="center"/>
          </w:tcPr>
          <w:p w14:paraId="588CD5A7">
            <w:pPr>
              <w:spacing w:line="24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https://zs.cpta.com.cn/certMng/loginPage.jsp</w:t>
            </w:r>
          </w:p>
        </w:tc>
        <w:tc>
          <w:tcPr>
            <w:tcW w:w="2820" w:type="dxa"/>
            <w:vAlign w:val="center"/>
          </w:tcPr>
          <w:p w14:paraId="7521CAAB">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《磋商文件》第四章“评审办法前附表”中列示的“拟派团队”评审因素。</w:t>
            </w:r>
          </w:p>
        </w:tc>
      </w:tr>
      <w:tr w14:paraId="4C54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14:paraId="74C7531C">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755" w:type="dxa"/>
            <w:shd w:val="clear" w:color="auto" w:fill="auto"/>
            <w:vAlign w:val="center"/>
          </w:tcPr>
          <w:p w14:paraId="783DA973">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社保缴费记录</w:t>
            </w:r>
          </w:p>
        </w:tc>
        <w:tc>
          <w:tcPr>
            <w:tcW w:w="4266" w:type="dxa"/>
            <w:shd w:val="clear" w:color="auto" w:fill="auto"/>
            <w:vAlign w:val="center"/>
          </w:tcPr>
          <w:p w14:paraId="1D1DECCC">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缴费地人力资源和社会保障局官网</w:t>
            </w:r>
          </w:p>
        </w:tc>
        <w:tc>
          <w:tcPr>
            <w:tcW w:w="2820" w:type="dxa"/>
            <w:vAlign w:val="center"/>
          </w:tcPr>
          <w:p w14:paraId="6C53EE32">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《磋商文件》第四章“评审办法前附表”中列示的“拟派团队”评审因素。</w:t>
            </w:r>
          </w:p>
        </w:tc>
      </w:tr>
      <w:tr w14:paraId="7658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14:paraId="6DC23FFE">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841" w:type="dxa"/>
            <w:gridSpan w:val="3"/>
            <w:vAlign w:val="center"/>
          </w:tcPr>
          <w:p w14:paraId="30B15995">
            <w:pPr>
              <w:spacing w:line="24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除上述外，供应商认为有必要的相关核实官方证明材料。（可选）</w:t>
            </w:r>
          </w:p>
        </w:tc>
      </w:tr>
    </w:tbl>
    <w:p w14:paraId="124E4780">
      <w:pPr>
        <w:spacing w:line="360" w:lineRule="auto"/>
        <w:rPr>
          <w:rFonts w:ascii="宋体" w:hAnsi="宋体"/>
          <w:color w:val="auto"/>
          <w:sz w:val="24"/>
          <w:szCs w:val="24"/>
        </w:rPr>
      </w:pPr>
    </w:p>
    <w:p w14:paraId="6F615C98">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二、本采购项目必要的其他核验证明材料（除监督检查工作指引网上公开查验网址外的）</w:t>
      </w:r>
    </w:p>
    <w:tbl>
      <w:tblPr>
        <w:tblStyle w:val="18"/>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10"/>
        <w:gridCol w:w="3480"/>
        <w:gridCol w:w="3351"/>
      </w:tblGrid>
      <w:tr w14:paraId="3352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8" w:type="dxa"/>
            <w:vAlign w:val="center"/>
          </w:tcPr>
          <w:p w14:paraId="6D9B474B">
            <w:pPr>
              <w:spacing w:line="24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序号</w:t>
            </w:r>
          </w:p>
        </w:tc>
        <w:tc>
          <w:tcPr>
            <w:tcW w:w="2010" w:type="dxa"/>
            <w:vAlign w:val="center"/>
          </w:tcPr>
          <w:p w14:paraId="4A53CD04">
            <w:pPr>
              <w:spacing w:line="24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名称</w:t>
            </w:r>
          </w:p>
        </w:tc>
        <w:tc>
          <w:tcPr>
            <w:tcW w:w="3480" w:type="dxa"/>
            <w:vAlign w:val="center"/>
          </w:tcPr>
          <w:p w14:paraId="6548F399">
            <w:pPr>
              <w:spacing w:line="24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查验网址</w:t>
            </w:r>
          </w:p>
        </w:tc>
        <w:tc>
          <w:tcPr>
            <w:tcW w:w="3351" w:type="dxa"/>
            <w:vAlign w:val="center"/>
          </w:tcPr>
          <w:p w14:paraId="1E9C18B6">
            <w:pPr>
              <w:spacing w:line="24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cstheme="minorEastAsia"/>
                <w:b/>
                <w:color w:val="auto"/>
                <w:sz w:val="24"/>
                <w:szCs w:val="24"/>
              </w:rPr>
              <w:t>备注</w:t>
            </w:r>
          </w:p>
        </w:tc>
      </w:tr>
      <w:tr w14:paraId="5E79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08" w:type="dxa"/>
            <w:vAlign w:val="center"/>
          </w:tcPr>
          <w:p w14:paraId="54BF9BAA">
            <w:pPr>
              <w:spacing w:line="24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2010" w:type="dxa"/>
            <w:vAlign w:val="center"/>
          </w:tcPr>
          <w:p w14:paraId="43E26402">
            <w:pPr>
              <w:spacing w:line="24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ISO体系认证</w:t>
            </w:r>
          </w:p>
        </w:tc>
        <w:tc>
          <w:tcPr>
            <w:tcW w:w="3480" w:type="dxa"/>
            <w:vAlign w:val="center"/>
          </w:tcPr>
          <w:p w14:paraId="1ABE8336">
            <w:pPr>
              <w:spacing w:line="240"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国家认证认可监督管理委员会“https://www.cnca.gov.cn/”</w:t>
            </w:r>
          </w:p>
        </w:tc>
        <w:tc>
          <w:tcPr>
            <w:tcW w:w="3351" w:type="dxa"/>
            <w:vAlign w:val="center"/>
          </w:tcPr>
          <w:p w14:paraId="6957F273">
            <w:pPr>
              <w:spacing w:line="24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《磋商文件》第四章“评审办法前附表”中列示的“体系”评审因素。</w:t>
            </w:r>
          </w:p>
        </w:tc>
      </w:tr>
    </w:tbl>
    <w:p w14:paraId="4AB63BF1">
      <w:pPr>
        <w:spacing w:line="360" w:lineRule="auto"/>
        <w:rPr>
          <w:rFonts w:ascii="宋体" w:hAnsi="宋体"/>
          <w:color w:val="auto"/>
          <w:sz w:val="24"/>
          <w:szCs w:val="24"/>
        </w:rPr>
      </w:pPr>
    </w:p>
    <w:p w14:paraId="13FA0F70">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三、对《响应文件》所提供的证明材料中、需网上查询核验的说明及要求。</w:t>
      </w:r>
    </w:p>
    <w:p w14:paraId="1F78844F">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（一）《响应文件》中</w:t>
      </w:r>
    </w:p>
    <w:p w14:paraId="70D321CF">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1、基于当前监督检查工作要求，为防范虚假材料，供应商应按本14-1附件“证明材料查询核验工作的清单及要求”列示的证明材料及对应网址（监督检查工作指引列示的网上公开查询核验网址）、对《响应文件》中所提供证明材料进行核验，并将查询结果截图作为所提供证明材料的附件，以佐证所提供证明材料的真实性。</w:t>
      </w:r>
    </w:p>
    <w:p w14:paraId="4B74A307">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响应文件》中、对本14-1附件“证明材料查询核验工作的清单及要求”中的每份证明材料，均应在该证明材料后附对应的查询结果截图（并注明该截图的对应网址）、或查询异常情况说明资料。否则，磋商小组按缺少要件不予认可该份证明材料。</w:t>
      </w:r>
    </w:p>
    <w:p w14:paraId="082FF242">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2、供应商查询异常情况的处理</w:t>
      </w:r>
    </w:p>
    <w:p w14:paraId="695D790A">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1）供应商按本附件列示网址查询异常的，但供应商确保其真实性的，供应商应当单独对异常情况作出说明解释，并可提供同等及以上权威部门（政府职能部门或下属机构、或其公开的认可机构）的可公开验证的查询资料、以证实证明材料的真实性。</w:t>
      </w:r>
    </w:p>
    <w:p w14:paraId="3E56CD75">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供应商无法按本附件列示网址（监督检查工作指引列示的网上公开查询核验网址）核验《响应文件》中所提供证明材料的真实性的，无法确保证明材料真实性的，不建议投标，以免中标（成交）后，在质疑处理、监督检查等工作中核验不一致、被视为虚假材料而承责。</w:t>
      </w:r>
    </w:p>
    <w:p w14:paraId="05923306">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（2）网站异常</w:t>
      </w:r>
    </w:p>
    <w:p w14:paraId="28AEF631">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基于全国政务持续发展、持续革新的大好局面，供应商在按本附件列示网址查询核验时，如遇部分网站更新等无法查询情况时，需及时书面反馈（请按第一章采购公告联系方式书面反馈）。经核实会商、将对此证明材料的查询核验事项发布澄清修改公告。</w:t>
      </w:r>
    </w:p>
    <w:p w14:paraId="43997E58">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未发布查询核验事项的澄清修改公告的，为供应商自身原因的查询异常，请该供应商深入认真自查自身原因或向相应网站反馈解决。</w:t>
      </w:r>
    </w:p>
    <w:p w14:paraId="2268F56D">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（3）网站异常产生的外在投标风险由供应商自行承担。</w:t>
      </w:r>
    </w:p>
    <w:p w14:paraId="0D07DC5A">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（二）评审时的要件审核</w:t>
      </w:r>
    </w:p>
    <w:p w14:paraId="046D5C76">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基于部分证明材料的查询核验需供应商（或个人）相关信息登录查询，基于评审工作保密性不具备查询条件等客观因素，评审中，磋商小组只对核验材料进行形式要件审核（评委对证明材料按《磋商文件》要求进行详细评审），对核验材料的形式要件审核为：核对有无查询结果截图（或查询异常情况说明资料）、核对证明材料与查询结果截图的对应一致性。</w:t>
      </w:r>
    </w:p>
    <w:p w14:paraId="5600EA58">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证明材料未附查询结果截图或查询异常情况说明资料的，磋商小组按缺少要件不予认可该份证明材料。</w:t>
      </w:r>
    </w:p>
    <w:p w14:paraId="24ABFAD3">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三）在质疑处理（或其他工作要求）中，成交供应商（被质疑方）应当配合提供相应信息，以对《响应文件》中所提供证明材料进行核验工作（按照监督检查工作指引列示的网上公开查询核验网址进行核验）。如查询异常或虚假，均将上报监督部门按提供虚假材料规定给予处罚。</w:t>
      </w:r>
    </w:p>
    <w:p w14:paraId="0B162B9C">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查询异常的，成交供应商如无其他权威证明，将视作提供虚假材料。</w:t>
      </w:r>
    </w:p>
    <w:p w14:paraId="1ADD9320">
      <w:pPr>
        <w:spacing w:line="360" w:lineRule="auto"/>
        <w:rPr>
          <w:rFonts w:ascii="宋体" w:hAnsi="宋体"/>
          <w:color w:val="auto"/>
          <w:sz w:val="24"/>
          <w:szCs w:val="24"/>
        </w:rPr>
      </w:pPr>
    </w:p>
    <w:p w14:paraId="4B2ED867">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四、除本14-1附件列示的网上公开查询核验的材料清单外，对其他证明材料，在质疑处理（或其他工作要求）中，成交供应商应当提供证明材料原件以证实证明材料的真实性。</w:t>
      </w:r>
    </w:p>
    <w:p w14:paraId="073D4A84">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除本14-1附件列示的网上公开查询核验的材料清单外，对其他证明材料，基于质疑处理（或其他工作要求）的法定时效，调查取证的权限，依据政府采购相关法规依据书面材料评审的规定，对没有提供发证机关（单位）等相应权威机构证伪书面材料的质疑，对怀疑猜测事项，经核对原件后、将视为缺乏事实依据处理。</w:t>
      </w:r>
    </w:p>
    <w:p w14:paraId="4C7590C0">
      <w:pPr>
        <w:spacing w:line="360" w:lineRule="auto"/>
        <w:rPr>
          <w:rFonts w:ascii="宋体" w:hAnsi="宋体"/>
          <w:color w:val="auto"/>
          <w:sz w:val="24"/>
          <w:szCs w:val="24"/>
        </w:rPr>
      </w:pPr>
    </w:p>
    <w:p w14:paraId="6E6EA8A5">
      <w:pPr>
        <w:spacing w:line="360" w:lineRule="auto"/>
        <w:ind w:firstLine="607" w:firstLineChars="253"/>
        <w:jc w:val="left"/>
        <w:rPr>
          <w:rFonts w:eastAsia="方正黑体简体"/>
          <w:b/>
          <w:color w:val="auto"/>
          <w:sz w:val="30"/>
          <w:szCs w:val="30"/>
        </w:rPr>
      </w:pPr>
      <w:r>
        <w:rPr>
          <w:rFonts w:hint="eastAsia" w:ascii="宋体" w:hAnsi="宋体"/>
          <w:color w:val="auto"/>
          <w:sz w:val="24"/>
          <w:szCs w:val="24"/>
        </w:rPr>
        <w:t>五、供应商对《响应文件》中所提供证明材料及核验证明材料的真实性负责、自行承担相应责任。核验过程中涉及供应商（或个人）自身账号、密码等信息时，供应商（或个人）应积极配合核验工作。</w:t>
      </w:r>
      <w:r>
        <w:rPr>
          <w:rFonts w:ascii="黑体" w:hAnsi="黑体" w:eastAsia="黑体"/>
          <w:b/>
          <w:color w:val="auto"/>
          <w:sz w:val="30"/>
          <w:szCs w:val="30"/>
        </w:rPr>
        <w:br w:type="page"/>
      </w:r>
      <w:r>
        <w:rPr>
          <w:rFonts w:eastAsia="方正黑体简体"/>
          <w:b/>
          <w:color w:val="auto"/>
          <w:sz w:val="30"/>
          <w:szCs w:val="30"/>
        </w:rPr>
        <w:t xml:space="preserve"> </w:t>
      </w:r>
    </w:p>
    <w:p w14:paraId="31AC2858">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十五、供应商认为有必要提交的其它材料</w:t>
      </w:r>
    </w:p>
    <w:p w14:paraId="4EC7FC0B">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（由法定代表人</w:t>
      </w:r>
      <w:r>
        <w:rPr>
          <w:rFonts w:hint="eastAsia" w:ascii="宋体" w:hAnsi="宋体"/>
          <w:color w:val="auto"/>
          <w:sz w:val="24"/>
          <w:szCs w:val="24"/>
          <w:lang w:val="zh-CN"/>
        </w:rPr>
        <w:t>电子签名&lt;签</w:t>
      </w:r>
      <w:r>
        <w:rPr>
          <w:rFonts w:hint="eastAsia" w:ascii="宋体" w:hAnsi="宋体"/>
          <w:color w:val="auto"/>
          <w:sz w:val="24"/>
          <w:szCs w:val="24"/>
        </w:rPr>
        <w:t>章&gt;或供应商</w:t>
      </w:r>
      <w:r>
        <w:rPr>
          <w:rFonts w:hint="eastAsia" w:ascii="宋体" w:hAnsi="宋体"/>
          <w:color w:val="auto"/>
          <w:sz w:val="24"/>
          <w:szCs w:val="24"/>
          <w:lang w:val="zh-CN"/>
        </w:rPr>
        <w:t>电子签</w:t>
      </w:r>
      <w:r>
        <w:rPr>
          <w:rFonts w:hint="eastAsia" w:ascii="宋体" w:hAnsi="宋体"/>
          <w:color w:val="auto"/>
          <w:sz w:val="24"/>
          <w:szCs w:val="24"/>
        </w:rPr>
        <w:t>章）</w:t>
      </w:r>
    </w:p>
    <w:p w14:paraId="3B1CE0D5">
      <w:pPr>
        <w:autoSpaceDE w:val="0"/>
        <w:autoSpaceDN w:val="0"/>
        <w:adjustRightInd w:val="0"/>
        <w:spacing w:line="360" w:lineRule="auto"/>
        <w:ind w:left="-2" w:right="-817" w:hanging="149"/>
        <w:rPr>
          <w:rFonts w:ascii="宋体" w:cs="楷体_GB2312"/>
          <w:color w:val="auto"/>
          <w:sz w:val="24"/>
        </w:rPr>
      </w:pPr>
    </w:p>
    <w:p w14:paraId="63B63C16">
      <w:pPr>
        <w:spacing w:line="240" w:lineRule="auto"/>
        <w:jc w:val="left"/>
        <w:textAlignment w:val="auto"/>
        <w:rPr>
          <w:rFonts w:eastAsia="方正黑体简体"/>
          <w:b/>
          <w:color w:val="auto"/>
          <w:sz w:val="24"/>
          <w:szCs w:val="24"/>
        </w:rPr>
      </w:pPr>
      <w:r>
        <w:rPr>
          <w:rFonts w:eastAsia="方正黑体简体"/>
          <w:b/>
          <w:color w:val="auto"/>
          <w:sz w:val="30"/>
          <w:szCs w:val="30"/>
        </w:rPr>
        <w:br w:type="page"/>
      </w:r>
    </w:p>
    <w:p w14:paraId="6D9C334A">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 xml:space="preserve">十六、中小企业声明函 （如有） </w:t>
      </w:r>
    </w:p>
    <w:p w14:paraId="7132A832">
      <w:pPr>
        <w:spacing w:line="240" w:lineRule="auto"/>
        <w:jc w:val="left"/>
        <w:textAlignment w:val="auto"/>
        <w:rPr>
          <w:rFonts w:ascii="宋体" w:hAnsi="宋体"/>
          <w:color w:val="auto"/>
          <w:sz w:val="24"/>
          <w:szCs w:val="24"/>
        </w:rPr>
      </w:pPr>
    </w:p>
    <w:p w14:paraId="43117C33">
      <w:pPr>
        <w:pStyle w:val="63"/>
        <w:shd w:val="clear" w:color="auto" w:fill="auto"/>
        <w:spacing w:after="0" w:line="518" w:lineRule="exact"/>
        <w:ind w:firstLine="680"/>
        <w:jc w:val="both"/>
        <w:rPr>
          <w:rFonts w:ascii="宋体" w:hAnsi="宋体" w:eastAsia="宋体"/>
          <w:color w:val="auto"/>
          <w:sz w:val="24"/>
          <w:szCs w:val="24"/>
        </w:rPr>
      </w:pPr>
      <w:r>
        <w:rPr>
          <w:rFonts w:ascii="宋体" w:hAnsi="宋体" w:eastAsia="宋体"/>
          <w:color w:val="auto"/>
          <w:sz w:val="24"/>
          <w:szCs w:val="24"/>
        </w:rPr>
        <w:t>本公司（联合体）郑重声明，根据《政府采购促进中小企业发展管理办法》（财库〔2020〕46号）的规定，本公司 (联合体</w:t>
      </w:r>
      <w:r>
        <w:rPr>
          <w:rFonts w:ascii="宋体" w:hAnsi="宋体" w:eastAsia="宋体"/>
          <w:i/>
          <w:color w:val="auto"/>
          <w:sz w:val="24"/>
          <w:szCs w:val="24"/>
        </w:rPr>
        <w:t>）</w:t>
      </w:r>
      <w:r>
        <w:rPr>
          <w:rStyle w:val="64"/>
          <w:rFonts w:ascii="宋体" w:hAnsi="宋体" w:eastAsia="宋体"/>
          <w:i w:val="0"/>
          <w:color w:val="auto"/>
          <w:sz w:val="24"/>
          <w:szCs w:val="24"/>
        </w:rPr>
        <w:t>参加</w:t>
      </w:r>
      <w:r>
        <w:rPr>
          <w:rStyle w:val="64"/>
          <w:rFonts w:ascii="宋体" w:hAnsi="宋体" w:eastAsia="宋体"/>
          <w:i w:val="0"/>
          <w:color w:val="auto"/>
          <w:sz w:val="24"/>
          <w:szCs w:val="24"/>
          <w:u w:val="single"/>
        </w:rPr>
        <w:t>（单位名称）</w:t>
      </w:r>
      <w:r>
        <w:rPr>
          <w:rStyle w:val="64"/>
          <w:rFonts w:ascii="宋体" w:hAnsi="宋体" w:eastAsia="宋体"/>
          <w:i w:val="0"/>
          <w:color w:val="auto"/>
          <w:sz w:val="24"/>
          <w:szCs w:val="24"/>
        </w:rPr>
        <w:t>的</w:t>
      </w:r>
      <w:r>
        <w:rPr>
          <w:rStyle w:val="64"/>
          <w:rFonts w:ascii="宋体" w:hAnsi="宋体" w:eastAsia="宋体"/>
          <w:i w:val="0"/>
          <w:color w:val="auto"/>
          <w:sz w:val="24"/>
          <w:szCs w:val="24"/>
          <w:u w:val="single"/>
        </w:rPr>
        <w:t>（项目名称）</w:t>
      </w:r>
      <w:r>
        <w:rPr>
          <w:rStyle w:val="64"/>
          <w:rFonts w:ascii="宋体" w:hAnsi="宋体" w:eastAsia="宋体"/>
          <w:i w:val="0"/>
          <w:color w:val="auto"/>
          <w:sz w:val="24"/>
          <w:szCs w:val="24"/>
        </w:rPr>
        <w:t>采购活动，</w:t>
      </w:r>
      <w:r>
        <w:rPr>
          <w:rFonts w:hint="eastAsia" w:ascii="宋体" w:hAnsi="宋体" w:eastAsia="宋体"/>
          <w:color w:val="auto"/>
          <w:sz w:val="24"/>
          <w:szCs w:val="24"/>
        </w:rPr>
        <w:t>服务</w:t>
      </w:r>
      <w:r>
        <w:rPr>
          <w:rFonts w:ascii="宋体" w:hAnsi="宋体" w:eastAsia="宋体"/>
          <w:color w:val="auto"/>
          <w:sz w:val="24"/>
          <w:szCs w:val="24"/>
        </w:rPr>
        <w:t>全部</w:t>
      </w:r>
      <w:r>
        <w:rPr>
          <w:rFonts w:hint="eastAsia" w:ascii="宋体" w:hAnsi="宋体" w:eastAsia="宋体"/>
          <w:color w:val="auto"/>
          <w:sz w:val="24"/>
          <w:szCs w:val="24"/>
        </w:rPr>
        <w:t>由</w:t>
      </w:r>
      <w:r>
        <w:rPr>
          <w:rFonts w:ascii="宋体" w:hAnsi="宋体" w:eastAsia="宋体"/>
          <w:color w:val="auto"/>
          <w:sz w:val="24"/>
          <w:szCs w:val="24"/>
        </w:rPr>
        <w:t>符合政策要求的中小企业</w:t>
      </w:r>
      <w:r>
        <w:rPr>
          <w:rFonts w:hint="eastAsia" w:ascii="宋体" w:hAnsi="宋体" w:eastAsia="宋体"/>
          <w:color w:val="auto"/>
          <w:sz w:val="24"/>
          <w:szCs w:val="24"/>
        </w:rPr>
        <w:t>承接</w:t>
      </w:r>
      <w:r>
        <w:rPr>
          <w:rFonts w:ascii="宋体" w:hAnsi="宋体" w:eastAsia="宋体"/>
          <w:color w:val="auto"/>
          <w:sz w:val="24"/>
          <w:szCs w:val="24"/>
        </w:rPr>
        <w:t>。相关企业</w:t>
      </w:r>
      <w:r>
        <w:rPr>
          <w:rFonts w:ascii="宋体" w:hAnsi="宋体" w:eastAsia="宋体"/>
          <w:color w:val="auto"/>
          <w:sz w:val="24"/>
          <w:szCs w:val="24"/>
          <w:lang w:bidi="en-US"/>
        </w:rPr>
        <w:t>（</w:t>
      </w:r>
      <w:r>
        <w:rPr>
          <w:rFonts w:ascii="宋体" w:hAnsi="宋体" w:eastAsia="宋体"/>
          <w:color w:val="auto"/>
          <w:sz w:val="24"/>
          <w:szCs w:val="24"/>
        </w:rPr>
        <w:t>含联合体中的中小企业、签订分包意向协议的中小企业）的具体情况如下：</w:t>
      </w:r>
    </w:p>
    <w:p w14:paraId="5E87A89E">
      <w:pPr>
        <w:spacing w:line="588" w:lineRule="exact"/>
        <w:ind w:firstLine="480" w:firstLineChars="200"/>
        <w:rPr>
          <w:rFonts w:ascii="宋体" w:hAnsi="宋体"/>
          <w:color w:val="auto"/>
          <w:sz w:val="24"/>
          <w:szCs w:val="24"/>
        </w:rPr>
      </w:pPr>
      <w:r>
        <w:rPr>
          <w:rFonts w:hint="eastAsia" w:ascii="宋体" w:hAnsi="宋体"/>
          <w:color w:val="auto"/>
          <w:sz w:val="24"/>
          <w:szCs w:val="24"/>
        </w:rPr>
        <w:t>1.</w:t>
      </w:r>
      <w:r>
        <w:rPr>
          <w:rFonts w:ascii="宋体" w:hAnsi="宋体"/>
          <w:iCs/>
          <w:color w:val="auto"/>
          <w:sz w:val="24"/>
          <w:szCs w:val="24"/>
          <w:u w:val="single"/>
        </w:rPr>
        <w:t>(标的名称)</w:t>
      </w:r>
      <w:r>
        <w:rPr>
          <w:rFonts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w:t>
      </w:r>
      <w:r>
        <w:rPr>
          <w:rFonts w:hint="eastAsia" w:ascii="宋体" w:hAnsi="宋体"/>
          <w:iCs/>
          <w:color w:val="auto"/>
          <w:sz w:val="24"/>
          <w:szCs w:val="24"/>
          <w:u w:val="single"/>
        </w:rPr>
        <w:t>《磋商文件》</w:t>
      </w:r>
      <w:r>
        <w:rPr>
          <w:rFonts w:ascii="宋体" w:hAnsi="宋体"/>
          <w:iCs/>
          <w:color w:val="auto"/>
          <w:sz w:val="24"/>
          <w:szCs w:val="24"/>
          <w:u w:val="single"/>
        </w:rPr>
        <w:t>中明确的所属行业)</w:t>
      </w:r>
      <w:r>
        <w:rPr>
          <w:rFonts w:hint="eastAsia" w:ascii="宋体" w:hAnsi="宋体"/>
          <w:iCs/>
          <w:color w:val="auto"/>
          <w:sz w:val="24"/>
          <w:szCs w:val="24"/>
        </w:rPr>
        <w:t>，</w:t>
      </w:r>
      <w:r>
        <w:rPr>
          <w:rFonts w:ascii="宋体" w:hAnsi="宋体"/>
          <w:color w:val="auto"/>
          <w:sz w:val="24"/>
          <w:szCs w:val="24"/>
        </w:rPr>
        <w:t>承</w:t>
      </w:r>
      <w:r>
        <w:rPr>
          <w:rFonts w:hint="eastAsia" w:ascii="宋体" w:hAnsi="宋体"/>
          <w:color w:val="auto"/>
          <w:sz w:val="24"/>
          <w:szCs w:val="24"/>
        </w:rPr>
        <w:t>接</w:t>
      </w:r>
      <w:r>
        <w:rPr>
          <w:rFonts w:ascii="宋体" w:hAnsi="宋体"/>
          <w:iCs/>
          <w:color w:val="auto"/>
          <w:sz w:val="24"/>
          <w:szCs w:val="24"/>
        </w:rPr>
        <w:t>企业为</w:t>
      </w:r>
      <w:r>
        <w:rPr>
          <w:rFonts w:ascii="宋体" w:hAnsi="宋体"/>
          <w:color w:val="auto"/>
          <w:sz w:val="24"/>
          <w:szCs w:val="24"/>
          <w:u w:val="single"/>
        </w:rPr>
        <w:t>（企业名称)</w:t>
      </w:r>
      <w:r>
        <w:rPr>
          <w:rFonts w:ascii="宋体" w:hAnsi="宋体"/>
          <w:color w:val="auto"/>
          <w:sz w:val="24"/>
          <w:szCs w:val="24"/>
        </w:rPr>
        <w:t>，从业人员</w:t>
      </w:r>
      <w:r>
        <w:rPr>
          <w:rFonts w:hint="eastAsia" w:ascii="宋体" w:hAnsi="宋体"/>
          <w:color w:val="auto"/>
          <w:sz w:val="24"/>
          <w:szCs w:val="24"/>
          <w:u w:val="single"/>
        </w:rPr>
        <w:t xml:space="preserve">    </w:t>
      </w:r>
      <w:r>
        <w:rPr>
          <w:rFonts w:ascii="宋体" w:hAnsi="宋体"/>
          <w:color w:val="auto"/>
          <w:sz w:val="24"/>
          <w:szCs w:val="24"/>
        </w:rPr>
        <w:t>人，营业收</w:t>
      </w:r>
      <w:r>
        <w:rPr>
          <w:rFonts w:ascii="宋体" w:hAnsi="宋体"/>
          <w:iCs/>
          <w:color w:val="auto"/>
          <w:sz w:val="24"/>
          <w:szCs w:val="24"/>
        </w:rPr>
        <w:t>入为</w:t>
      </w:r>
      <w:r>
        <w:rPr>
          <w:rFonts w:ascii="宋体" w:hAnsi="宋体"/>
          <w:iCs/>
          <w:color w:val="auto"/>
          <w:sz w:val="24"/>
          <w:szCs w:val="24"/>
          <w:u w:val="single"/>
        </w:rPr>
        <w:t>_</w:t>
      </w:r>
      <w:r>
        <w:rPr>
          <w:rFonts w:hint="eastAsia" w:ascii="宋体" w:hAnsi="宋体"/>
          <w:iCs/>
          <w:color w:val="auto"/>
          <w:sz w:val="24"/>
          <w:szCs w:val="24"/>
          <w:u w:val="single"/>
        </w:rPr>
        <w:t xml:space="preserve">    </w:t>
      </w:r>
      <w:r>
        <w:rPr>
          <w:rFonts w:ascii="宋体" w:hAnsi="宋体"/>
          <w:iCs/>
          <w:color w:val="auto"/>
          <w:sz w:val="24"/>
          <w:szCs w:val="24"/>
        </w:rPr>
        <w:t>万元，资产总额为</w:t>
      </w:r>
      <w:r>
        <w:rPr>
          <w:rFonts w:hint="eastAsia" w:ascii="宋体" w:hAnsi="宋体"/>
          <w:iCs/>
          <w:color w:val="auto"/>
          <w:sz w:val="24"/>
          <w:szCs w:val="24"/>
          <w:u w:val="single"/>
        </w:rPr>
        <w:t xml:space="preserve">    </w:t>
      </w:r>
      <w:r>
        <w:rPr>
          <w:rFonts w:ascii="宋体" w:hAnsi="宋体"/>
          <w:iCs/>
          <w:color w:val="auto"/>
          <w:sz w:val="24"/>
          <w:szCs w:val="24"/>
          <w:u w:val="single"/>
        </w:rPr>
        <w:t>_</w:t>
      </w:r>
      <w:r>
        <w:rPr>
          <w:rFonts w:ascii="宋体" w:hAnsi="宋体"/>
          <w:iCs/>
          <w:color w:val="auto"/>
          <w:sz w:val="24"/>
          <w:szCs w:val="24"/>
        </w:rPr>
        <w:t>万元</w:t>
      </w:r>
      <w:r>
        <w:rPr>
          <w:rFonts w:hint="eastAsia" w:ascii="宋体" w:hAnsi="宋体"/>
          <w:iCs/>
          <w:color w:val="auto"/>
          <w:sz w:val="24"/>
          <w:szCs w:val="24"/>
          <w:vertAlign w:val="superscript"/>
        </w:rPr>
        <w:t>1</w:t>
      </w:r>
      <w:r>
        <w:rPr>
          <w:rFonts w:hint="eastAsia" w:ascii="宋体" w:hAnsi="宋体"/>
          <w:iCs/>
          <w:color w:val="auto"/>
          <w:sz w:val="24"/>
          <w:szCs w:val="24"/>
        </w:rPr>
        <w:t>，按《磋商文件》中明确的所属行业</w:t>
      </w:r>
      <w:r>
        <w:rPr>
          <w:rFonts w:ascii="宋体" w:hAnsi="宋体"/>
          <w:color w:val="auto"/>
          <w:sz w:val="24"/>
          <w:szCs w:val="24"/>
        </w:rPr>
        <w:t>属于</w:t>
      </w:r>
      <w:r>
        <w:rPr>
          <w:rFonts w:ascii="宋体" w:hAnsi="宋体"/>
          <w:iCs/>
          <w:color w:val="auto"/>
          <w:sz w:val="24"/>
          <w:szCs w:val="24"/>
          <w:u w:val="single"/>
        </w:rPr>
        <w:t>（中型企业、小型企业、微型企业）</w:t>
      </w:r>
      <w:r>
        <w:rPr>
          <w:rFonts w:hint="eastAsia" w:ascii="宋体" w:hAnsi="宋体"/>
          <w:color w:val="auto"/>
          <w:sz w:val="24"/>
          <w:szCs w:val="24"/>
        </w:rPr>
        <w:t>；</w:t>
      </w:r>
    </w:p>
    <w:p w14:paraId="7D308132">
      <w:pPr>
        <w:spacing w:line="588" w:lineRule="exact"/>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iCs/>
          <w:color w:val="auto"/>
          <w:sz w:val="24"/>
          <w:szCs w:val="24"/>
          <w:u w:val="single"/>
        </w:rPr>
        <w:t>(标的名称)</w:t>
      </w:r>
      <w:r>
        <w:rPr>
          <w:rFonts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w:t>
      </w:r>
      <w:r>
        <w:rPr>
          <w:rFonts w:hint="eastAsia" w:ascii="宋体" w:hAnsi="宋体"/>
          <w:iCs/>
          <w:color w:val="auto"/>
          <w:sz w:val="24"/>
          <w:szCs w:val="24"/>
          <w:u w:val="single"/>
        </w:rPr>
        <w:t>《磋商文件》</w:t>
      </w:r>
      <w:r>
        <w:rPr>
          <w:rFonts w:ascii="宋体" w:hAnsi="宋体"/>
          <w:iCs/>
          <w:color w:val="auto"/>
          <w:sz w:val="24"/>
          <w:szCs w:val="24"/>
          <w:u w:val="single"/>
        </w:rPr>
        <w:t>中明确的所属行业)</w:t>
      </w:r>
      <w:r>
        <w:rPr>
          <w:rFonts w:hint="eastAsia" w:ascii="宋体" w:hAnsi="宋体"/>
          <w:iCs/>
          <w:color w:val="auto"/>
          <w:sz w:val="24"/>
          <w:szCs w:val="24"/>
        </w:rPr>
        <w:t>，</w:t>
      </w:r>
      <w:r>
        <w:rPr>
          <w:rFonts w:ascii="宋体" w:hAnsi="宋体"/>
          <w:color w:val="auto"/>
          <w:sz w:val="24"/>
          <w:szCs w:val="24"/>
        </w:rPr>
        <w:t>承</w:t>
      </w:r>
      <w:r>
        <w:rPr>
          <w:rFonts w:hint="eastAsia" w:ascii="宋体" w:hAnsi="宋体"/>
          <w:color w:val="auto"/>
          <w:sz w:val="24"/>
          <w:szCs w:val="24"/>
        </w:rPr>
        <w:t>接</w:t>
      </w:r>
      <w:r>
        <w:rPr>
          <w:rFonts w:ascii="宋体" w:hAnsi="宋体"/>
          <w:iCs/>
          <w:color w:val="auto"/>
          <w:sz w:val="24"/>
          <w:szCs w:val="24"/>
        </w:rPr>
        <w:t>企业为</w:t>
      </w:r>
      <w:r>
        <w:rPr>
          <w:rFonts w:ascii="宋体" w:hAnsi="宋体"/>
          <w:color w:val="auto"/>
          <w:sz w:val="24"/>
          <w:szCs w:val="24"/>
          <w:u w:val="single"/>
        </w:rPr>
        <w:t>（企业名称)</w:t>
      </w:r>
      <w:r>
        <w:rPr>
          <w:rFonts w:ascii="宋体" w:hAnsi="宋体"/>
          <w:color w:val="auto"/>
          <w:sz w:val="24"/>
          <w:szCs w:val="24"/>
        </w:rPr>
        <w:t>，从业人员</w:t>
      </w:r>
      <w:r>
        <w:rPr>
          <w:rFonts w:hint="eastAsia" w:ascii="宋体" w:hAnsi="宋体"/>
          <w:color w:val="auto"/>
          <w:sz w:val="24"/>
          <w:szCs w:val="24"/>
          <w:u w:val="single"/>
        </w:rPr>
        <w:t xml:space="preserve">    </w:t>
      </w:r>
      <w:r>
        <w:rPr>
          <w:rFonts w:ascii="宋体" w:hAnsi="宋体"/>
          <w:color w:val="auto"/>
          <w:sz w:val="24"/>
          <w:szCs w:val="24"/>
        </w:rPr>
        <w:t>人，营业收</w:t>
      </w:r>
      <w:r>
        <w:rPr>
          <w:rFonts w:ascii="宋体" w:hAnsi="宋体"/>
          <w:iCs/>
          <w:color w:val="auto"/>
          <w:sz w:val="24"/>
          <w:szCs w:val="24"/>
        </w:rPr>
        <w:t>入为</w:t>
      </w:r>
      <w:r>
        <w:rPr>
          <w:rFonts w:ascii="宋体" w:hAnsi="宋体"/>
          <w:iCs/>
          <w:color w:val="auto"/>
          <w:sz w:val="24"/>
          <w:szCs w:val="24"/>
          <w:u w:val="single"/>
        </w:rPr>
        <w:t>_</w:t>
      </w:r>
      <w:r>
        <w:rPr>
          <w:rFonts w:hint="eastAsia" w:ascii="宋体" w:hAnsi="宋体"/>
          <w:iCs/>
          <w:color w:val="auto"/>
          <w:sz w:val="24"/>
          <w:szCs w:val="24"/>
          <w:u w:val="single"/>
        </w:rPr>
        <w:t xml:space="preserve">    </w:t>
      </w:r>
      <w:r>
        <w:rPr>
          <w:rFonts w:ascii="宋体" w:hAnsi="宋体"/>
          <w:iCs/>
          <w:color w:val="auto"/>
          <w:sz w:val="24"/>
          <w:szCs w:val="24"/>
        </w:rPr>
        <w:t>万元，资产总额为</w:t>
      </w:r>
      <w:r>
        <w:rPr>
          <w:rFonts w:hint="eastAsia" w:ascii="宋体" w:hAnsi="宋体"/>
          <w:iCs/>
          <w:color w:val="auto"/>
          <w:sz w:val="24"/>
          <w:szCs w:val="24"/>
          <w:u w:val="single"/>
        </w:rPr>
        <w:t xml:space="preserve">    </w:t>
      </w:r>
      <w:r>
        <w:rPr>
          <w:rFonts w:ascii="宋体" w:hAnsi="宋体"/>
          <w:iCs/>
          <w:color w:val="auto"/>
          <w:sz w:val="24"/>
          <w:szCs w:val="24"/>
          <w:u w:val="single"/>
        </w:rPr>
        <w:t>_</w:t>
      </w:r>
      <w:r>
        <w:rPr>
          <w:rFonts w:ascii="宋体" w:hAnsi="宋体"/>
          <w:iCs/>
          <w:color w:val="auto"/>
          <w:sz w:val="24"/>
          <w:szCs w:val="24"/>
        </w:rPr>
        <w:t>万元</w:t>
      </w:r>
      <w:r>
        <w:rPr>
          <w:rFonts w:hint="eastAsia" w:ascii="宋体" w:hAnsi="宋体"/>
          <w:iCs/>
          <w:color w:val="auto"/>
          <w:sz w:val="24"/>
          <w:szCs w:val="24"/>
        </w:rPr>
        <w:t>，按《磋商文件》中明确的所属行业</w:t>
      </w:r>
      <w:r>
        <w:rPr>
          <w:rFonts w:ascii="宋体" w:hAnsi="宋体"/>
          <w:color w:val="auto"/>
          <w:sz w:val="24"/>
          <w:szCs w:val="24"/>
        </w:rPr>
        <w:t>属于</w:t>
      </w:r>
      <w:r>
        <w:rPr>
          <w:rFonts w:ascii="宋体" w:hAnsi="宋体"/>
          <w:iCs/>
          <w:color w:val="auto"/>
          <w:sz w:val="24"/>
          <w:szCs w:val="24"/>
          <w:u w:val="single"/>
        </w:rPr>
        <w:t>（中型企业、小型企业、微型企业）</w:t>
      </w:r>
      <w:r>
        <w:rPr>
          <w:rFonts w:hint="eastAsia" w:ascii="宋体" w:hAnsi="宋体"/>
          <w:color w:val="auto"/>
          <w:sz w:val="24"/>
          <w:szCs w:val="24"/>
        </w:rPr>
        <w:t>；</w:t>
      </w:r>
    </w:p>
    <w:p w14:paraId="618E1F64">
      <w:pPr>
        <w:pStyle w:val="63"/>
        <w:shd w:val="clear" w:color="auto" w:fill="auto"/>
        <w:spacing w:after="0" w:line="518" w:lineRule="exact"/>
        <w:ind w:firstLine="680"/>
        <w:jc w:val="both"/>
        <w:rPr>
          <w:rFonts w:ascii="宋体" w:hAnsi="宋体" w:eastAsia="宋体"/>
          <w:color w:val="auto"/>
          <w:sz w:val="24"/>
          <w:szCs w:val="24"/>
        </w:rPr>
      </w:pPr>
      <w:r>
        <w:rPr>
          <w:rFonts w:hint="eastAsia" w:ascii="宋体" w:hAnsi="宋体" w:eastAsia="宋体"/>
          <w:color w:val="auto"/>
          <w:sz w:val="24"/>
          <w:szCs w:val="24"/>
        </w:rPr>
        <w:t>……</w:t>
      </w:r>
    </w:p>
    <w:p w14:paraId="062348D6">
      <w:pPr>
        <w:pStyle w:val="63"/>
        <w:shd w:val="clear" w:color="auto" w:fill="auto"/>
        <w:spacing w:after="0" w:line="518" w:lineRule="exact"/>
        <w:ind w:firstLine="680"/>
        <w:jc w:val="both"/>
        <w:rPr>
          <w:rFonts w:ascii="宋体" w:hAnsi="宋体" w:eastAsia="宋体"/>
          <w:color w:val="auto"/>
          <w:sz w:val="24"/>
          <w:szCs w:val="24"/>
        </w:rPr>
      </w:pPr>
      <w:r>
        <w:rPr>
          <w:rFonts w:ascii="宋体" w:hAnsi="宋体" w:eastAsia="宋体"/>
          <w:color w:val="auto"/>
          <w:sz w:val="24"/>
          <w:szCs w:val="24"/>
        </w:rPr>
        <w:t>以上企业，不属于大企业的分支机构，不存在控股股东为大企业的情形，也不存在与大企业的负责人为同一人的情形。</w:t>
      </w:r>
    </w:p>
    <w:p w14:paraId="1CF8989C">
      <w:pPr>
        <w:pStyle w:val="63"/>
        <w:shd w:val="clear" w:color="auto" w:fill="auto"/>
        <w:spacing w:after="0" w:line="518" w:lineRule="exact"/>
        <w:ind w:firstLine="680"/>
        <w:jc w:val="both"/>
        <w:rPr>
          <w:rFonts w:ascii="宋体" w:hAnsi="宋体" w:eastAsia="宋体"/>
          <w:color w:val="auto"/>
          <w:sz w:val="24"/>
          <w:szCs w:val="24"/>
        </w:rPr>
      </w:pPr>
      <w:r>
        <w:rPr>
          <w:rFonts w:ascii="宋体" w:hAnsi="宋体" w:eastAsia="宋体"/>
          <w:color w:val="auto"/>
          <w:sz w:val="24"/>
          <w:szCs w:val="24"/>
        </w:rPr>
        <w:t>本企业对上述声明内容的真实性负责。如有虚假，将依法承担相应责任。</w:t>
      </w:r>
    </w:p>
    <w:p w14:paraId="17C62CB9">
      <w:pPr>
        <w:pStyle w:val="63"/>
        <w:shd w:val="clear" w:color="auto" w:fill="auto"/>
        <w:spacing w:after="228" w:line="300" w:lineRule="exact"/>
        <w:ind w:left="3900"/>
        <w:rPr>
          <w:rFonts w:ascii="宋体" w:hAnsi="宋体" w:eastAsia="宋体"/>
          <w:color w:val="auto"/>
          <w:sz w:val="24"/>
          <w:szCs w:val="24"/>
        </w:rPr>
      </w:pPr>
    </w:p>
    <w:p w14:paraId="31EC48C1">
      <w:pPr>
        <w:pStyle w:val="63"/>
        <w:shd w:val="clear" w:color="auto" w:fill="auto"/>
        <w:spacing w:after="228" w:line="300" w:lineRule="exact"/>
        <w:ind w:firstLine="4536" w:firstLineChars="1512"/>
        <w:rPr>
          <w:rFonts w:ascii="宋体" w:hAnsi="宋体" w:eastAsia="宋体"/>
          <w:color w:val="auto"/>
          <w:sz w:val="24"/>
          <w:szCs w:val="24"/>
        </w:rPr>
      </w:pPr>
      <w:r>
        <w:rPr>
          <w:rFonts w:ascii="宋体" w:hAnsi="宋体" w:eastAsia="宋体"/>
          <w:color w:val="auto"/>
          <w:sz w:val="24"/>
          <w:szCs w:val="24"/>
        </w:rPr>
        <w:t>企业名称（盖章</w:t>
      </w:r>
      <w:r>
        <w:rPr>
          <w:rFonts w:ascii="宋体" w:hAnsi="宋体" w:eastAsia="宋体"/>
          <w:color w:val="auto"/>
          <w:sz w:val="24"/>
          <w:szCs w:val="24"/>
          <w:lang w:bidi="en-US"/>
        </w:rPr>
        <w:t>）</w:t>
      </w:r>
    </w:p>
    <w:p w14:paraId="62896E39">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w:t>
      </w:r>
      <w:r>
        <w:rPr>
          <w:rFonts w:hint="eastAsia" w:ascii="宋体" w:hAnsi="宋体"/>
          <w:color w:val="auto"/>
          <w:sz w:val="24"/>
          <w:szCs w:val="24"/>
        </w:rPr>
        <w:t xml:space="preserve"> </w:t>
      </w:r>
      <w:r>
        <w:rPr>
          <w:rFonts w:ascii="宋体" w:hAnsi="宋体"/>
          <w:color w:val="auto"/>
          <w:sz w:val="24"/>
          <w:szCs w:val="24"/>
        </w:rPr>
        <w:t>期：</w:t>
      </w:r>
    </w:p>
    <w:p w14:paraId="6CF76AAA">
      <w:pPr>
        <w:autoSpaceDE w:val="0"/>
        <w:autoSpaceDN w:val="0"/>
        <w:adjustRightInd w:val="0"/>
        <w:spacing w:line="360" w:lineRule="auto"/>
        <w:jc w:val="center"/>
        <w:rPr>
          <w:rFonts w:ascii="宋体" w:hAnsi="宋体"/>
          <w:color w:val="auto"/>
          <w:sz w:val="24"/>
          <w:szCs w:val="24"/>
        </w:rPr>
      </w:pPr>
    </w:p>
    <w:p w14:paraId="7E545DB8">
      <w:pPr>
        <w:autoSpaceDE w:val="0"/>
        <w:autoSpaceDN w:val="0"/>
        <w:adjustRightInd w:val="0"/>
        <w:spacing w:line="360" w:lineRule="auto"/>
        <w:jc w:val="center"/>
        <w:rPr>
          <w:rFonts w:ascii="宋体" w:hAnsi="宋体"/>
          <w:color w:val="auto"/>
          <w:sz w:val="24"/>
          <w:szCs w:val="24"/>
        </w:rPr>
      </w:pPr>
    </w:p>
    <w:p w14:paraId="6DA3F8C7">
      <w:pPr>
        <w:widowControl w:val="0"/>
        <w:tabs>
          <w:tab w:val="left" w:pos="9365"/>
        </w:tabs>
        <w:snapToGrid w:val="0"/>
        <w:spacing w:after="56" w:line="240" w:lineRule="auto"/>
        <w:ind w:right="85" w:firstLine="180" w:firstLineChars="100"/>
        <w:textAlignment w:val="top"/>
        <w:rPr>
          <w:rStyle w:val="66"/>
          <w:rFonts w:ascii="宋体" w:hAnsi="宋体" w:eastAsia="宋体"/>
          <w:color w:val="auto"/>
        </w:rPr>
      </w:pPr>
      <w:r>
        <w:rPr>
          <w:rFonts w:hint="eastAsia" w:ascii="宋体" w:hAnsi="宋体"/>
          <w:color w:val="auto"/>
          <w:sz w:val="18"/>
          <w:szCs w:val="18"/>
        </w:rPr>
        <w:t>注：1.</w:t>
      </w:r>
      <w:r>
        <w:rPr>
          <w:rStyle w:val="65"/>
          <w:rFonts w:ascii="宋体" w:hAnsi="宋体" w:eastAsia="宋体"/>
          <w:color w:val="auto"/>
          <w:sz w:val="18"/>
          <w:szCs w:val="18"/>
          <w:vertAlign w:val="superscript"/>
        </w:rPr>
        <w:t>1</w:t>
      </w:r>
      <w:r>
        <w:rPr>
          <w:rStyle w:val="66"/>
          <w:rFonts w:ascii="宋体" w:hAnsi="宋体" w:eastAsia="宋体"/>
          <w:color w:val="auto"/>
        </w:rPr>
        <w:t>从业人员、营业收入、资产总额填报上一年度数据，无上一年度数据的新成立企业可不填报</w:t>
      </w:r>
      <w:r>
        <w:rPr>
          <w:rStyle w:val="66"/>
          <w:rFonts w:hint="eastAsia" w:ascii="宋体" w:hAnsi="宋体" w:eastAsia="宋体"/>
          <w:color w:val="auto"/>
        </w:rPr>
        <w:t>。</w:t>
      </w:r>
    </w:p>
    <w:p w14:paraId="5809437F">
      <w:pPr>
        <w:widowControl w:val="0"/>
        <w:tabs>
          <w:tab w:val="left" w:pos="9365"/>
        </w:tabs>
        <w:snapToGrid w:val="0"/>
        <w:spacing w:after="56" w:line="240" w:lineRule="auto"/>
        <w:ind w:right="85" w:firstLine="540" w:firstLineChars="300"/>
        <w:textAlignment w:val="top"/>
        <w:rPr>
          <w:rFonts w:ascii="宋体" w:hAnsi="宋体"/>
          <w:color w:val="auto"/>
          <w:sz w:val="18"/>
          <w:szCs w:val="18"/>
        </w:rPr>
      </w:pPr>
      <w:r>
        <w:rPr>
          <w:rStyle w:val="66"/>
          <w:rFonts w:hint="eastAsia" w:ascii="宋体" w:hAnsi="宋体" w:eastAsia="宋体"/>
          <w:color w:val="auto"/>
        </w:rPr>
        <w:t>2</w:t>
      </w:r>
      <w:r>
        <w:rPr>
          <w:rStyle w:val="66"/>
          <w:rFonts w:hint="eastAsia" w:ascii="宋体" w:hAnsi="宋体"/>
          <w:color w:val="auto"/>
          <w:lang w:val="en-US"/>
        </w:rPr>
        <w:t>.</w:t>
      </w:r>
      <w:r>
        <w:rPr>
          <w:rStyle w:val="66"/>
          <w:rFonts w:hint="eastAsia" w:ascii="宋体" w:hAnsi="宋体"/>
          <w:color w:val="auto"/>
        </w:rPr>
        <w:t>《磋商文件》</w:t>
      </w:r>
      <w:r>
        <w:rPr>
          <w:rStyle w:val="66"/>
          <w:rFonts w:hint="eastAsia" w:ascii="宋体" w:hAnsi="宋体" w:eastAsia="宋体"/>
          <w:color w:val="auto"/>
        </w:rPr>
        <w:t>中未标注“专门面向中小企业采购”的未预留（非预留）项目，供应商可以根据自身情况提供《中小企业声明函》，未提供《中小企业声明函》的、将不享受小微企业价格扣除扶持政策。</w:t>
      </w:r>
    </w:p>
    <w:p w14:paraId="79ADA3BF">
      <w:pPr>
        <w:widowControl w:val="0"/>
        <w:tabs>
          <w:tab w:val="left" w:pos="9365"/>
        </w:tabs>
        <w:snapToGrid w:val="0"/>
        <w:spacing w:after="56" w:line="560" w:lineRule="exact"/>
        <w:ind w:right="85"/>
        <w:jc w:val="center"/>
        <w:textAlignment w:val="top"/>
        <w:rPr>
          <w:rStyle w:val="66"/>
          <w:rFonts w:ascii="宋体" w:hAnsi="宋体" w:eastAsia="宋体"/>
          <w:color w:val="auto"/>
          <w:szCs w:val="21"/>
          <w:lang w:val="en-US"/>
        </w:rPr>
      </w:pPr>
    </w:p>
    <w:p w14:paraId="6FB2E640">
      <w:pPr>
        <w:spacing w:line="588" w:lineRule="exact"/>
        <w:rPr>
          <w:rFonts w:ascii="黑体" w:hAnsi="黑体" w:eastAsia="黑体"/>
          <w:b/>
          <w:color w:val="auto"/>
          <w:sz w:val="30"/>
          <w:szCs w:val="30"/>
        </w:rPr>
      </w:pPr>
    </w:p>
    <w:p w14:paraId="624A1697">
      <w:pPr>
        <w:spacing w:line="240" w:lineRule="auto"/>
        <w:jc w:val="left"/>
        <w:textAlignment w:val="auto"/>
        <w:rPr>
          <w:rFonts w:eastAsia="方正黑体简体"/>
          <w:b/>
          <w:color w:val="auto"/>
          <w:sz w:val="30"/>
          <w:szCs w:val="30"/>
        </w:rPr>
      </w:pPr>
    </w:p>
    <w:p w14:paraId="70BC2B33">
      <w:pPr>
        <w:spacing w:line="240" w:lineRule="auto"/>
        <w:jc w:val="left"/>
        <w:textAlignment w:val="auto"/>
        <w:rPr>
          <w:rFonts w:eastAsia="方正黑体简体"/>
          <w:b/>
          <w:color w:val="auto"/>
          <w:sz w:val="24"/>
          <w:szCs w:val="24"/>
        </w:rPr>
      </w:pPr>
    </w:p>
    <w:p w14:paraId="4E537367">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残疾人福利性单位声明函（如符合条件时填写*）</w:t>
      </w:r>
    </w:p>
    <w:p w14:paraId="69B4717D">
      <w:pPr>
        <w:spacing w:line="240" w:lineRule="auto"/>
        <w:jc w:val="left"/>
        <w:textAlignment w:val="auto"/>
        <w:rPr>
          <w:rFonts w:ascii="仿宋_GB2312" w:eastAsia="仿宋_GB2312"/>
          <w:b/>
          <w:color w:val="auto"/>
          <w:spacing w:val="6"/>
          <w:sz w:val="24"/>
          <w:szCs w:val="24"/>
        </w:rPr>
      </w:pPr>
    </w:p>
    <w:p w14:paraId="595E1C72">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5676997">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14:paraId="4E06496E">
      <w:pPr>
        <w:spacing w:line="588" w:lineRule="exact"/>
        <w:ind w:firstLine="504" w:firstLineChars="200"/>
        <w:rPr>
          <w:rFonts w:ascii="宋体" w:hAnsi="宋体"/>
          <w:color w:val="auto"/>
          <w:spacing w:val="6"/>
          <w:sz w:val="24"/>
          <w:szCs w:val="24"/>
        </w:rPr>
      </w:pPr>
    </w:p>
    <w:p w14:paraId="551C1101">
      <w:pPr>
        <w:spacing w:line="588" w:lineRule="exact"/>
        <w:ind w:firstLine="504" w:firstLineChars="200"/>
        <w:rPr>
          <w:rFonts w:ascii="宋体" w:hAnsi="宋体"/>
          <w:color w:val="auto"/>
          <w:spacing w:val="6"/>
          <w:sz w:val="24"/>
          <w:szCs w:val="24"/>
        </w:rPr>
      </w:pPr>
    </w:p>
    <w:p w14:paraId="0F55B62C">
      <w:pPr>
        <w:spacing w:line="588" w:lineRule="exact"/>
        <w:ind w:firstLine="504" w:firstLineChars="200"/>
        <w:rPr>
          <w:rFonts w:ascii="宋体" w:hAnsi="宋体"/>
          <w:color w:val="auto"/>
          <w:spacing w:val="6"/>
          <w:sz w:val="24"/>
          <w:szCs w:val="24"/>
        </w:rPr>
      </w:pPr>
    </w:p>
    <w:p w14:paraId="1489C36F">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14:paraId="4A4AD2C4">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 期：</w:t>
      </w:r>
    </w:p>
    <w:p w14:paraId="7D45C453">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14:paraId="0BD7464F">
      <w:pPr>
        <w:snapToGrid w:val="0"/>
        <w:spacing w:before="100" w:beforeAutospacing="1" w:after="100" w:afterAutospacing="1" w:line="540" w:lineRule="exact"/>
        <w:ind w:right="85"/>
        <w:jc w:val="left"/>
        <w:textAlignment w:val="top"/>
        <w:rPr>
          <w:rFonts w:ascii="宋体" w:hAnsi="宋体"/>
          <w:color w:val="auto"/>
          <w:sz w:val="24"/>
          <w:szCs w:val="24"/>
        </w:rPr>
      </w:pPr>
    </w:p>
    <w:p w14:paraId="4181AD7C">
      <w:pPr>
        <w:snapToGrid w:val="0"/>
        <w:spacing w:before="100" w:beforeAutospacing="1" w:after="100" w:afterAutospacing="1" w:line="240" w:lineRule="auto"/>
        <w:ind w:right="85" w:firstLine="5016" w:firstLineChars="2090"/>
        <w:jc w:val="left"/>
        <w:textAlignment w:val="top"/>
        <w:rPr>
          <w:rFonts w:ascii="宋体" w:hAnsi="宋体"/>
          <w:color w:val="auto"/>
          <w:sz w:val="24"/>
          <w:szCs w:val="24"/>
        </w:rPr>
      </w:pPr>
    </w:p>
    <w:p w14:paraId="36325CB0">
      <w:pPr>
        <w:snapToGrid w:val="0"/>
        <w:spacing w:before="100" w:beforeAutospacing="1" w:after="100" w:afterAutospacing="1" w:line="240" w:lineRule="auto"/>
        <w:ind w:right="85" w:firstLine="5016" w:firstLineChars="2090"/>
        <w:jc w:val="left"/>
        <w:textAlignment w:val="top"/>
        <w:rPr>
          <w:rFonts w:ascii="宋体" w:hAnsi="宋体"/>
          <w:color w:val="auto"/>
          <w:sz w:val="24"/>
          <w:szCs w:val="24"/>
        </w:rPr>
      </w:pPr>
    </w:p>
    <w:p w14:paraId="01338D52">
      <w:pPr>
        <w:snapToGrid w:val="0"/>
        <w:spacing w:before="100" w:beforeAutospacing="1" w:after="100" w:afterAutospacing="1" w:line="240" w:lineRule="auto"/>
        <w:ind w:right="85" w:firstLine="5016" w:firstLineChars="2090"/>
        <w:jc w:val="left"/>
        <w:textAlignment w:val="top"/>
        <w:rPr>
          <w:rFonts w:ascii="宋体" w:hAnsi="宋体"/>
          <w:color w:val="auto"/>
          <w:sz w:val="24"/>
          <w:szCs w:val="24"/>
        </w:rPr>
      </w:pPr>
    </w:p>
    <w:p w14:paraId="6314D910">
      <w:pPr>
        <w:shd w:val="clear" w:color="auto" w:fill="FFFFFF"/>
        <w:spacing w:line="240" w:lineRule="auto"/>
        <w:ind w:firstLine="180" w:firstLineChars="100"/>
        <w:jc w:val="left"/>
        <w:rPr>
          <w:rFonts w:ascii="宋体" w:hAnsi="宋体"/>
          <w:color w:val="auto"/>
          <w:sz w:val="18"/>
          <w:szCs w:val="18"/>
        </w:rPr>
      </w:pPr>
      <w:r>
        <w:rPr>
          <w:rFonts w:hint="eastAsia" w:ascii="宋体" w:hAnsi="宋体"/>
          <w:color w:val="auto"/>
          <w:sz w:val="18"/>
          <w:szCs w:val="18"/>
        </w:rPr>
        <w:t>注：1、按政策规定：符合条件的残疾人福利性单位视同小型、微型企业，享受评审价格扣除等促进中小企业发展的政府采购政策。残疾人福利性单位属于小型、微型企业的，不重复享受政策。</w:t>
      </w:r>
    </w:p>
    <w:p w14:paraId="7D965063">
      <w:pPr>
        <w:shd w:val="clear" w:color="auto" w:fill="FFFFFF"/>
        <w:spacing w:line="240" w:lineRule="auto"/>
        <w:ind w:firstLine="540" w:firstLineChars="300"/>
        <w:jc w:val="left"/>
        <w:rPr>
          <w:rFonts w:ascii="宋体" w:hAnsi="宋体"/>
          <w:color w:val="auto"/>
          <w:sz w:val="18"/>
          <w:szCs w:val="18"/>
        </w:rPr>
      </w:pPr>
      <w:r>
        <w:rPr>
          <w:rFonts w:hint="eastAsia" w:ascii="宋体" w:hAnsi="宋体"/>
          <w:color w:val="auto"/>
          <w:sz w:val="18"/>
          <w:szCs w:val="18"/>
        </w:rPr>
        <w:t>2、</w:t>
      </w:r>
      <w:r>
        <w:rPr>
          <w:rFonts w:hint="eastAsia" w:ascii="宋体" w:hAnsi="宋体"/>
          <w:b/>
          <w:color w:val="auto"/>
          <w:spacing w:val="6"/>
          <w:sz w:val="18"/>
          <w:szCs w:val="18"/>
          <w:vertAlign w:val="superscript"/>
        </w:rPr>
        <w:t>*</w:t>
      </w:r>
      <w:r>
        <w:rPr>
          <w:rFonts w:hint="eastAsia" w:ascii="宋体" w:hAnsi="宋体"/>
          <w:color w:val="auto"/>
          <w:sz w:val="18"/>
          <w:szCs w:val="18"/>
        </w:rPr>
        <w:t>本格式在残疾人福利性单位申请报价格扣除时填写，未填写不享受小微价格扣除，但不作为无效投标。</w:t>
      </w:r>
    </w:p>
    <w:p w14:paraId="42A7F917">
      <w:pPr>
        <w:spacing w:line="240" w:lineRule="auto"/>
        <w:ind w:firstLine="450" w:firstLineChars="250"/>
        <w:jc w:val="left"/>
        <w:rPr>
          <w:rFonts w:ascii="宋体" w:hAnsi="宋体"/>
          <w:color w:val="auto"/>
          <w:sz w:val="18"/>
          <w:szCs w:val="18"/>
        </w:rPr>
      </w:pPr>
      <w:r>
        <w:rPr>
          <w:rFonts w:hint="eastAsia" w:ascii="宋体" w:hAnsi="宋体"/>
          <w:color w:val="auto"/>
          <w:sz w:val="18"/>
          <w:szCs w:val="18"/>
        </w:rPr>
        <w:t>残疾人福利性单位属于小型、微型企业的，可只填写“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14:paraId="6799F765">
      <w:pPr>
        <w:spacing w:line="240" w:lineRule="auto"/>
        <w:ind w:firstLine="540" w:firstLineChars="300"/>
        <w:jc w:val="left"/>
        <w:rPr>
          <w:rFonts w:ascii="宋体" w:hAnsi="宋体" w:cs="宋体"/>
          <w:b/>
          <w:color w:val="auto"/>
          <w:sz w:val="24"/>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14:paraId="01CE4837">
      <w:pPr>
        <w:spacing w:line="240" w:lineRule="auto"/>
        <w:jc w:val="left"/>
        <w:textAlignment w:val="auto"/>
        <w:rPr>
          <w:rFonts w:eastAsia="方正黑体简体"/>
          <w:b/>
          <w:color w:val="auto"/>
          <w:sz w:val="30"/>
          <w:szCs w:val="30"/>
          <w:lang w:val="zh-CN"/>
        </w:rPr>
      </w:pPr>
    </w:p>
    <w:sectPr>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方正黑体简体">
    <w:altName w:val="微软雅黑"/>
    <w:panose1 w:val="00000000000000000000"/>
    <w:charset w:val="86"/>
    <w:family w:val="auto"/>
    <w:pitch w:val="default"/>
    <w:sig w:usb0="00000000" w:usb1="0000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742E9">
    <w:pPr>
      <w:widowControl w:val="0"/>
      <w:snapToGrid w:val="0"/>
      <w:spacing w:line="240" w:lineRule="atLeast"/>
      <w:ind w:right="21"/>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《磋商文件》                                                              </w:t>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NUMPAGES-1\* Arabic \* MERGEFORMAT</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Style w:val="21"/>
        <w:rFonts w:hint="eastAsia" w:asciiTheme="minorEastAsia" w:hAnsiTheme="minorEastAsia" w:eastAsiaTheme="minorEastAsia" w:cstheme="minorEastAsia"/>
        <w:szCs w:val="21"/>
        <w:u w:val="single"/>
      </w:rPr>
      <w:fldChar w:fldCharType="begin"/>
    </w:r>
    <w:r>
      <w:rPr>
        <w:rStyle w:val="21"/>
        <w:rFonts w:hint="eastAsia" w:asciiTheme="minorEastAsia" w:hAnsiTheme="minorEastAsia" w:eastAsiaTheme="minorEastAsia" w:cstheme="minorEastAsia"/>
        <w:szCs w:val="21"/>
        <w:u w:val="single"/>
      </w:rPr>
      <w:instrText xml:space="preserve"> PAGE </w:instrText>
    </w:r>
    <w:r>
      <w:rPr>
        <w:rStyle w:val="21"/>
        <w:rFonts w:hint="eastAsia" w:asciiTheme="minorEastAsia" w:hAnsiTheme="minorEastAsia" w:eastAsiaTheme="minorEastAsia" w:cstheme="minorEastAsia"/>
        <w:szCs w:val="21"/>
        <w:u w:val="single"/>
      </w:rPr>
      <w:fldChar w:fldCharType="separate"/>
    </w:r>
    <w:r>
      <w:rPr>
        <w:rStyle w:val="21"/>
        <w:rFonts w:asciiTheme="minorEastAsia" w:hAnsiTheme="minorEastAsia" w:eastAsiaTheme="minorEastAsia" w:cstheme="minorEastAsia"/>
        <w:szCs w:val="21"/>
        <w:u w:val="single"/>
      </w:rPr>
      <w:t>- 40 -</w:t>
    </w:r>
    <w:r>
      <w:rPr>
        <w:rStyle w:val="21"/>
        <w:rFonts w:hint="eastAsia" w:asciiTheme="minorEastAsia" w:hAnsiTheme="minorEastAsia" w:eastAsiaTheme="minorEastAsia" w:cstheme="minorEastAsia"/>
        <w:szCs w:val="21"/>
        <w:u w:val="single"/>
      </w:rPr>
      <w:fldChar w:fldCharType="end"/>
    </w:r>
    <w:r>
      <w:rPr>
        <w:rStyle w:val="21"/>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共</w:t>
    </w:r>
    <w:r>
      <w:rPr>
        <w:rFonts w:hint="eastAsia"/>
      </w:rPr>
      <w:fldChar w:fldCharType="begin"/>
    </w:r>
    <w:r>
      <w:rPr>
        <w:rFonts w:hint="eastAsia" w:asciiTheme="minorEastAsia" w:hAnsiTheme="minorEastAsia" w:eastAsiaTheme="minorEastAsia" w:cstheme="minorEastAsia"/>
      </w:rPr>
      <w:instrText xml:space="preserve"> SECTIONPAGES   \* MERGEFORMAT </w:instrText>
    </w:r>
    <w:r>
      <w:rPr>
        <w:rFonts w:hint="eastAsia"/>
      </w:rPr>
      <w:fldChar w:fldCharType="separate"/>
    </w:r>
    <w:r>
      <w:rPr>
        <w:rStyle w:val="21"/>
        <w:rFonts w:cstheme="minorEastAsia"/>
        <w:szCs w:val="21"/>
        <w:u w:val="single"/>
      </w:rPr>
      <w:t>76</w:t>
    </w:r>
    <w:r>
      <w:rPr>
        <w:rStyle w:val="21"/>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t>页)</w:t>
    </w:r>
    <w:r>
      <w:rPr>
        <w:rFonts w:asciiTheme="minorEastAsia" w:hAnsiTheme="minorEastAsia" w:eastAsiaTheme="minorEastAsia" w:cstheme="minorEastAsia"/>
      </w:rPr>
      <w:pict>
        <v:shape id="_x0000_s4098" o:spid="_x0000_s4098" o:spt="202" type="#_x0000_t202" style="position:absolute;left:0pt;margin-left:70.85pt;margin-top:799.35pt;height:14.15pt;width:453.5pt;mso-position-horizontal-relative:page;mso-position-vertical-relative:page;z-index:-251656192;mso-width-relative:page;mso-height-relative:page;" filled="f" o:preferrelative="t" stroked="f" coordsize="21600,21600" o:allowincell="f">
          <v:path/>
          <v:fill on="f" opacity="0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2404">
    <w:pPr>
      <w:pStyle w:val="10"/>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14:paraId="0D0541A5">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6E17">
    <w:pPr>
      <w:pStyle w:val="1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B8BC">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 xml:space="preserve">      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w:t>
    </w:r>
    <w:r>
      <w:rPr>
        <w:rFonts w:ascii="宋体" w:hAnsi="宋体"/>
      </w:rPr>
      <w:pict>
        <v:shape id="Text Box 1" o:spid="_x0000_s4097" o:spt="202" type="#_x0000_t202" style="position:absolute;left:0pt;margin-left:70.85pt;margin-top:28.3pt;height:14.15pt;width:453.5pt;mso-position-horizontal-relative:page;mso-position-vertical-relative:page;z-index:-251657216;mso-width-relative:page;mso-height-relative:page;" filled="f" o:preferrelative="t" stroked="f" coordsize="21600,21600" o:allowincell="f">
          <v:path/>
          <v:fill on="f" opacity="0f" focussize="0,0"/>
          <v:stroke on="f" joinstyle="miter"/>
          <v:imagedata o:title=""/>
          <o:lock v:ext="edit"/>
          <v:textbox inset="0mm,0mm,0mm,0m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BBAC">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DFC0D"/>
    <w:multiLevelType w:val="singleLevel"/>
    <w:tmpl w:val="4DDDFC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NotTrackMoves/>
  <w:documentProtection w:edit="forms" w:formatting="1" w:enforcement="1" w:cryptProviderType="rsaFull" w:cryptAlgorithmClass="hash" w:cryptAlgorithmType="typeAny" w:cryptAlgorithmSid="4" w:cryptSpinCount="0" w:hash="6FB8KV0lZnOIlgRkXVwuMhGAzSc=" w:salt="RNnoKMV4OTqYm59HGek+xg=="/>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ExMTUwNDk1M2RmZDExMGM3NDQ3N2I3NzBhM2IwMDQifQ=="/>
  </w:docVars>
  <w:rsids>
    <w:rsidRoot w:val="00172A27"/>
    <w:rsid w:val="000012F0"/>
    <w:rsid w:val="00001D7A"/>
    <w:rsid w:val="00004B3A"/>
    <w:rsid w:val="00007E7D"/>
    <w:rsid w:val="0001069F"/>
    <w:rsid w:val="00013814"/>
    <w:rsid w:val="00013DB2"/>
    <w:rsid w:val="00017DBF"/>
    <w:rsid w:val="00017E1E"/>
    <w:rsid w:val="0002046F"/>
    <w:rsid w:val="00023676"/>
    <w:rsid w:val="00024608"/>
    <w:rsid w:val="00025F1E"/>
    <w:rsid w:val="0002701F"/>
    <w:rsid w:val="0002739B"/>
    <w:rsid w:val="0003351F"/>
    <w:rsid w:val="000339BC"/>
    <w:rsid w:val="00033BB5"/>
    <w:rsid w:val="00035118"/>
    <w:rsid w:val="0003567F"/>
    <w:rsid w:val="00035BA8"/>
    <w:rsid w:val="00036AA4"/>
    <w:rsid w:val="00040BE7"/>
    <w:rsid w:val="00041891"/>
    <w:rsid w:val="00042CA8"/>
    <w:rsid w:val="00043821"/>
    <w:rsid w:val="00043CBA"/>
    <w:rsid w:val="0004440A"/>
    <w:rsid w:val="00044F84"/>
    <w:rsid w:val="000464B0"/>
    <w:rsid w:val="00046A4B"/>
    <w:rsid w:val="00054E34"/>
    <w:rsid w:val="00055755"/>
    <w:rsid w:val="00056832"/>
    <w:rsid w:val="000570E1"/>
    <w:rsid w:val="00057F78"/>
    <w:rsid w:val="000602CF"/>
    <w:rsid w:val="0006134B"/>
    <w:rsid w:val="00062821"/>
    <w:rsid w:val="00067307"/>
    <w:rsid w:val="000673ED"/>
    <w:rsid w:val="00070AA2"/>
    <w:rsid w:val="00070FA8"/>
    <w:rsid w:val="00071870"/>
    <w:rsid w:val="00072834"/>
    <w:rsid w:val="0007390E"/>
    <w:rsid w:val="00073A45"/>
    <w:rsid w:val="00073DBF"/>
    <w:rsid w:val="00074766"/>
    <w:rsid w:val="00076A72"/>
    <w:rsid w:val="00077629"/>
    <w:rsid w:val="00080AE9"/>
    <w:rsid w:val="00081801"/>
    <w:rsid w:val="00081C6C"/>
    <w:rsid w:val="000823AD"/>
    <w:rsid w:val="000829A8"/>
    <w:rsid w:val="00086B70"/>
    <w:rsid w:val="00086B8A"/>
    <w:rsid w:val="0009065B"/>
    <w:rsid w:val="00090D6B"/>
    <w:rsid w:val="00090EB6"/>
    <w:rsid w:val="00091C5E"/>
    <w:rsid w:val="0009268E"/>
    <w:rsid w:val="00093A6B"/>
    <w:rsid w:val="00095619"/>
    <w:rsid w:val="000956CE"/>
    <w:rsid w:val="00095F8C"/>
    <w:rsid w:val="000A152E"/>
    <w:rsid w:val="000A1C72"/>
    <w:rsid w:val="000A23B3"/>
    <w:rsid w:val="000A2667"/>
    <w:rsid w:val="000A39F6"/>
    <w:rsid w:val="000A3FE8"/>
    <w:rsid w:val="000A4640"/>
    <w:rsid w:val="000A55EE"/>
    <w:rsid w:val="000A6CD3"/>
    <w:rsid w:val="000A7CCE"/>
    <w:rsid w:val="000B0EC6"/>
    <w:rsid w:val="000B1334"/>
    <w:rsid w:val="000B1594"/>
    <w:rsid w:val="000B2047"/>
    <w:rsid w:val="000B4758"/>
    <w:rsid w:val="000B53BD"/>
    <w:rsid w:val="000B5412"/>
    <w:rsid w:val="000B6571"/>
    <w:rsid w:val="000C2342"/>
    <w:rsid w:val="000C2AA6"/>
    <w:rsid w:val="000C4BA5"/>
    <w:rsid w:val="000C540C"/>
    <w:rsid w:val="000D2631"/>
    <w:rsid w:val="000D69FD"/>
    <w:rsid w:val="000E02FC"/>
    <w:rsid w:val="000E52DB"/>
    <w:rsid w:val="000E54A0"/>
    <w:rsid w:val="000E6D5E"/>
    <w:rsid w:val="000F01A2"/>
    <w:rsid w:val="000F108C"/>
    <w:rsid w:val="000F1C87"/>
    <w:rsid w:val="000F3188"/>
    <w:rsid w:val="000F3D46"/>
    <w:rsid w:val="000F4146"/>
    <w:rsid w:val="000F599B"/>
    <w:rsid w:val="000F5A50"/>
    <w:rsid w:val="000F71A3"/>
    <w:rsid w:val="000F7815"/>
    <w:rsid w:val="000F7917"/>
    <w:rsid w:val="00101EAB"/>
    <w:rsid w:val="001028BA"/>
    <w:rsid w:val="00107435"/>
    <w:rsid w:val="00107CF2"/>
    <w:rsid w:val="00110434"/>
    <w:rsid w:val="001118D4"/>
    <w:rsid w:val="00111995"/>
    <w:rsid w:val="00111C7B"/>
    <w:rsid w:val="00115EF5"/>
    <w:rsid w:val="001163D8"/>
    <w:rsid w:val="00117877"/>
    <w:rsid w:val="001215D2"/>
    <w:rsid w:val="00123128"/>
    <w:rsid w:val="001234C9"/>
    <w:rsid w:val="00125A47"/>
    <w:rsid w:val="00126132"/>
    <w:rsid w:val="001263CF"/>
    <w:rsid w:val="00131B13"/>
    <w:rsid w:val="00131CCB"/>
    <w:rsid w:val="00132364"/>
    <w:rsid w:val="00133DE9"/>
    <w:rsid w:val="001342A5"/>
    <w:rsid w:val="00135227"/>
    <w:rsid w:val="001378C9"/>
    <w:rsid w:val="001401E4"/>
    <w:rsid w:val="0014277A"/>
    <w:rsid w:val="001439BF"/>
    <w:rsid w:val="001443E8"/>
    <w:rsid w:val="00144E92"/>
    <w:rsid w:val="0015053C"/>
    <w:rsid w:val="001532B2"/>
    <w:rsid w:val="001537D5"/>
    <w:rsid w:val="00153A06"/>
    <w:rsid w:val="0016042E"/>
    <w:rsid w:val="001641D5"/>
    <w:rsid w:val="001667B4"/>
    <w:rsid w:val="00166938"/>
    <w:rsid w:val="0016693E"/>
    <w:rsid w:val="0016783C"/>
    <w:rsid w:val="001678FA"/>
    <w:rsid w:val="001708C3"/>
    <w:rsid w:val="00170AE1"/>
    <w:rsid w:val="00170E55"/>
    <w:rsid w:val="001719D7"/>
    <w:rsid w:val="00172A27"/>
    <w:rsid w:val="00172A7E"/>
    <w:rsid w:val="0017374F"/>
    <w:rsid w:val="00175E3A"/>
    <w:rsid w:val="00181A52"/>
    <w:rsid w:val="00183040"/>
    <w:rsid w:val="00183C38"/>
    <w:rsid w:val="001863F6"/>
    <w:rsid w:val="00187D1F"/>
    <w:rsid w:val="00191752"/>
    <w:rsid w:val="00194451"/>
    <w:rsid w:val="0019579F"/>
    <w:rsid w:val="0019697C"/>
    <w:rsid w:val="001A1BB5"/>
    <w:rsid w:val="001A1D5B"/>
    <w:rsid w:val="001A2082"/>
    <w:rsid w:val="001A6EC8"/>
    <w:rsid w:val="001A733E"/>
    <w:rsid w:val="001A7781"/>
    <w:rsid w:val="001B2A9F"/>
    <w:rsid w:val="001B4914"/>
    <w:rsid w:val="001B5626"/>
    <w:rsid w:val="001B6072"/>
    <w:rsid w:val="001B6806"/>
    <w:rsid w:val="001B7C99"/>
    <w:rsid w:val="001C050D"/>
    <w:rsid w:val="001C2D34"/>
    <w:rsid w:val="001C397C"/>
    <w:rsid w:val="001C3DAF"/>
    <w:rsid w:val="001C528B"/>
    <w:rsid w:val="001C6505"/>
    <w:rsid w:val="001D0DA4"/>
    <w:rsid w:val="001D14A1"/>
    <w:rsid w:val="001D17A7"/>
    <w:rsid w:val="001D22C4"/>
    <w:rsid w:val="001D2F63"/>
    <w:rsid w:val="001D3921"/>
    <w:rsid w:val="001D3B0B"/>
    <w:rsid w:val="001D4345"/>
    <w:rsid w:val="001D6398"/>
    <w:rsid w:val="001D6640"/>
    <w:rsid w:val="001E04F2"/>
    <w:rsid w:val="001E0705"/>
    <w:rsid w:val="001E0A3F"/>
    <w:rsid w:val="001E1A46"/>
    <w:rsid w:val="001E1FAC"/>
    <w:rsid w:val="001E30AE"/>
    <w:rsid w:val="001E45BE"/>
    <w:rsid w:val="001E55A2"/>
    <w:rsid w:val="001E571D"/>
    <w:rsid w:val="001E60A9"/>
    <w:rsid w:val="001F1D57"/>
    <w:rsid w:val="001F4C70"/>
    <w:rsid w:val="001F6921"/>
    <w:rsid w:val="001F6B5C"/>
    <w:rsid w:val="00203DFD"/>
    <w:rsid w:val="00204738"/>
    <w:rsid w:val="002052BF"/>
    <w:rsid w:val="00205670"/>
    <w:rsid w:val="00205716"/>
    <w:rsid w:val="00205DC9"/>
    <w:rsid w:val="0020635B"/>
    <w:rsid w:val="002064E1"/>
    <w:rsid w:val="00207A71"/>
    <w:rsid w:val="00210346"/>
    <w:rsid w:val="00210733"/>
    <w:rsid w:val="00212022"/>
    <w:rsid w:val="002132BD"/>
    <w:rsid w:val="002146E7"/>
    <w:rsid w:val="00214DD7"/>
    <w:rsid w:val="00214F54"/>
    <w:rsid w:val="002155C5"/>
    <w:rsid w:val="0021781F"/>
    <w:rsid w:val="00221964"/>
    <w:rsid w:val="002228C6"/>
    <w:rsid w:val="00222D4B"/>
    <w:rsid w:val="002238AE"/>
    <w:rsid w:val="00223B73"/>
    <w:rsid w:val="0023012A"/>
    <w:rsid w:val="00231508"/>
    <w:rsid w:val="00231A9D"/>
    <w:rsid w:val="00231D21"/>
    <w:rsid w:val="0023255F"/>
    <w:rsid w:val="002341A2"/>
    <w:rsid w:val="00237A15"/>
    <w:rsid w:val="00240733"/>
    <w:rsid w:val="00241D3A"/>
    <w:rsid w:val="0024269B"/>
    <w:rsid w:val="00244532"/>
    <w:rsid w:val="0024502A"/>
    <w:rsid w:val="0024541C"/>
    <w:rsid w:val="00247523"/>
    <w:rsid w:val="00247993"/>
    <w:rsid w:val="002511FE"/>
    <w:rsid w:val="0025383B"/>
    <w:rsid w:val="00254F6E"/>
    <w:rsid w:val="002574D7"/>
    <w:rsid w:val="00257B22"/>
    <w:rsid w:val="002602F6"/>
    <w:rsid w:val="00260435"/>
    <w:rsid w:val="00262D1F"/>
    <w:rsid w:val="00264999"/>
    <w:rsid w:val="00264BD8"/>
    <w:rsid w:val="002665E4"/>
    <w:rsid w:val="002673AF"/>
    <w:rsid w:val="0027067C"/>
    <w:rsid w:val="00270FE1"/>
    <w:rsid w:val="00271ABB"/>
    <w:rsid w:val="00272B6B"/>
    <w:rsid w:val="00272CD3"/>
    <w:rsid w:val="00272DEC"/>
    <w:rsid w:val="0027329A"/>
    <w:rsid w:val="00273FB6"/>
    <w:rsid w:val="00275945"/>
    <w:rsid w:val="002759A2"/>
    <w:rsid w:val="00276204"/>
    <w:rsid w:val="00280E45"/>
    <w:rsid w:val="002810F8"/>
    <w:rsid w:val="0028181D"/>
    <w:rsid w:val="00281F3D"/>
    <w:rsid w:val="0028247F"/>
    <w:rsid w:val="0028291D"/>
    <w:rsid w:val="00284F1E"/>
    <w:rsid w:val="00285BA0"/>
    <w:rsid w:val="00290D50"/>
    <w:rsid w:val="00291608"/>
    <w:rsid w:val="0029442F"/>
    <w:rsid w:val="00294947"/>
    <w:rsid w:val="0029595B"/>
    <w:rsid w:val="00295A34"/>
    <w:rsid w:val="00296060"/>
    <w:rsid w:val="00296501"/>
    <w:rsid w:val="002968C0"/>
    <w:rsid w:val="00297171"/>
    <w:rsid w:val="002975BF"/>
    <w:rsid w:val="002A0696"/>
    <w:rsid w:val="002A2037"/>
    <w:rsid w:val="002A2B5C"/>
    <w:rsid w:val="002A35F6"/>
    <w:rsid w:val="002A4898"/>
    <w:rsid w:val="002A4F6F"/>
    <w:rsid w:val="002A5411"/>
    <w:rsid w:val="002A6D86"/>
    <w:rsid w:val="002A7073"/>
    <w:rsid w:val="002A7814"/>
    <w:rsid w:val="002B1A64"/>
    <w:rsid w:val="002B3090"/>
    <w:rsid w:val="002B5E0D"/>
    <w:rsid w:val="002C00FF"/>
    <w:rsid w:val="002C11FF"/>
    <w:rsid w:val="002C3330"/>
    <w:rsid w:val="002D1708"/>
    <w:rsid w:val="002D1EC7"/>
    <w:rsid w:val="002D2579"/>
    <w:rsid w:val="002D2CB8"/>
    <w:rsid w:val="002D40A9"/>
    <w:rsid w:val="002D6349"/>
    <w:rsid w:val="002D6B6F"/>
    <w:rsid w:val="002D7628"/>
    <w:rsid w:val="002D7A77"/>
    <w:rsid w:val="002D7BE8"/>
    <w:rsid w:val="002E098C"/>
    <w:rsid w:val="002E1D5A"/>
    <w:rsid w:val="002E3E40"/>
    <w:rsid w:val="002E76EF"/>
    <w:rsid w:val="002E7E70"/>
    <w:rsid w:val="002F08C6"/>
    <w:rsid w:val="002F1AE5"/>
    <w:rsid w:val="002F24F3"/>
    <w:rsid w:val="002F2754"/>
    <w:rsid w:val="002F37CB"/>
    <w:rsid w:val="002F4ADA"/>
    <w:rsid w:val="002F5465"/>
    <w:rsid w:val="002F7AD0"/>
    <w:rsid w:val="002F7EF3"/>
    <w:rsid w:val="002F7F3A"/>
    <w:rsid w:val="00300601"/>
    <w:rsid w:val="0030084A"/>
    <w:rsid w:val="00300C59"/>
    <w:rsid w:val="0030169A"/>
    <w:rsid w:val="00306123"/>
    <w:rsid w:val="00306D02"/>
    <w:rsid w:val="00307CF1"/>
    <w:rsid w:val="0031007D"/>
    <w:rsid w:val="003110D4"/>
    <w:rsid w:val="00311B9B"/>
    <w:rsid w:val="003157D1"/>
    <w:rsid w:val="00316A48"/>
    <w:rsid w:val="00316CF6"/>
    <w:rsid w:val="00317222"/>
    <w:rsid w:val="00320DF9"/>
    <w:rsid w:val="003214B1"/>
    <w:rsid w:val="00322799"/>
    <w:rsid w:val="003241F1"/>
    <w:rsid w:val="0032688F"/>
    <w:rsid w:val="00331D60"/>
    <w:rsid w:val="00332C6F"/>
    <w:rsid w:val="00334CC7"/>
    <w:rsid w:val="003355B7"/>
    <w:rsid w:val="00336AAB"/>
    <w:rsid w:val="0034150B"/>
    <w:rsid w:val="00342477"/>
    <w:rsid w:val="0034283D"/>
    <w:rsid w:val="00343634"/>
    <w:rsid w:val="00343968"/>
    <w:rsid w:val="00343A1D"/>
    <w:rsid w:val="00343D9C"/>
    <w:rsid w:val="0035121B"/>
    <w:rsid w:val="003521AC"/>
    <w:rsid w:val="00352D4E"/>
    <w:rsid w:val="00354452"/>
    <w:rsid w:val="0035447C"/>
    <w:rsid w:val="00356193"/>
    <w:rsid w:val="00356631"/>
    <w:rsid w:val="00356A9C"/>
    <w:rsid w:val="00357F64"/>
    <w:rsid w:val="00360068"/>
    <w:rsid w:val="0036067C"/>
    <w:rsid w:val="0036276F"/>
    <w:rsid w:val="003634F4"/>
    <w:rsid w:val="00363B02"/>
    <w:rsid w:val="003642B6"/>
    <w:rsid w:val="003655E9"/>
    <w:rsid w:val="00365BD8"/>
    <w:rsid w:val="00367D22"/>
    <w:rsid w:val="00370880"/>
    <w:rsid w:val="00371760"/>
    <w:rsid w:val="00371CE6"/>
    <w:rsid w:val="00376869"/>
    <w:rsid w:val="00377440"/>
    <w:rsid w:val="00377AE0"/>
    <w:rsid w:val="00380598"/>
    <w:rsid w:val="00381B01"/>
    <w:rsid w:val="003829D9"/>
    <w:rsid w:val="00383B17"/>
    <w:rsid w:val="0038471F"/>
    <w:rsid w:val="00384A92"/>
    <w:rsid w:val="003854F3"/>
    <w:rsid w:val="00386518"/>
    <w:rsid w:val="003875CD"/>
    <w:rsid w:val="00387FBB"/>
    <w:rsid w:val="00391A61"/>
    <w:rsid w:val="00393F93"/>
    <w:rsid w:val="0039420F"/>
    <w:rsid w:val="00397B1C"/>
    <w:rsid w:val="00397E86"/>
    <w:rsid w:val="003A0C28"/>
    <w:rsid w:val="003A1388"/>
    <w:rsid w:val="003A1D20"/>
    <w:rsid w:val="003A258C"/>
    <w:rsid w:val="003A3330"/>
    <w:rsid w:val="003A37AB"/>
    <w:rsid w:val="003A40E7"/>
    <w:rsid w:val="003A4472"/>
    <w:rsid w:val="003A47C4"/>
    <w:rsid w:val="003A78B7"/>
    <w:rsid w:val="003B2E00"/>
    <w:rsid w:val="003B4A06"/>
    <w:rsid w:val="003B5D7B"/>
    <w:rsid w:val="003B5F19"/>
    <w:rsid w:val="003B67A0"/>
    <w:rsid w:val="003B72E5"/>
    <w:rsid w:val="003B7ACE"/>
    <w:rsid w:val="003C0859"/>
    <w:rsid w:val="003C0E0B"/>
    <w:rsid w:val="003C1220"/>
    <w:rsid w:val="003C1768"/>
    <w:rsid w:val="003C4B29"/>
    <w:rsid w:val="003C5626"/>
    <w:rsid w:val="003C6339"/>
    <w:rsid w:val="003C6B76"/>
    <w:rsid w:val="003D3B92"/>
    <w:rsid w:val="003D4056"/>
    <w:rsid w:val="003D415D"/>
    <w:rsid w:val="003D46D1"/>
    <w:rsid w:val="003D7911"/>
    <w:rsid w:val="003D7EC2"/>
    <w:rsid w:val="003E1BD5"/>
    <w:rsid w:val="003E3136"/>
    <w:rsid w:val="003E3AC3"/>
    <w:rsid w:val="003E58E5"/>
    <w:rsid w:val="003E58FF"/>
    <w:rsid w:val="003E5EE1"/>
    <w:rsid w:val="003E7C9B"/>
    <w:rsid w:val="003E7D25"/>
    <w:rsid w:val="003F0417"/>
    <w:rsid w:val="003F688C"/>
    <w:rsid w:val="00400DD3"/>
    <w:rsid w:val="00403958"/>
    <w:rsid w:val="004073DB"/>
    <w:rsid w:val="004137F3"/>
    <w:rsid w:val="00414F84"/>
    <w:rsid w:val="00415470"/>
    <w:rsid w:val="00415CFA"/>
    <w:rsid w:val="00416388"/>
    <w:rsid w:val="00417D4F"/>
    <w:rsid w:val="00421975"/>
    <w:rsid w:val="004223F4"/>
    <w:rsid w:val="004223F7"/>
    <w:rsid w:val="004237AF"/>
    <w:rsid w:val="004253ED"/>
    <w:rsid w:val="00426990"/>
    <w:rsid w:val="004300B5"/>
    <w:rsid w:val="00430A20"/>
    <w:rsid w:val="00431A82"/>
    <w:rsid w:val="00433561"/>
    <w:rsid w:val="004342C9"/>
    <w:rsid w:val="0043683E"/>
    <w:rsid w:val="00440412"/>
    <w:rsid w:val="00440804"/>
    <w:rsid w:val="004408D4"/>
    <w:rsid w:val="00443935"/>
    <w:rsid w:val="00443963"/>
    <w:rsid w:val="00443E0B"/>
    <w:rsid w:val="004442B3"/>
    <w:rsid w:val="00444D59"/>
    <w:rsid w:val="00446551"/>
    <w:rsid w:val="00447654"/>
    <w:rsid w:val="00447D75"/>
    <w:rsid w:val="004513F9"/>
    <w:rsid w:val="00451DAE"/>
    <w:rsid w:val="00452F36"/>
    <w:rsid w:val="00453130"/>
    <w:rsid w:val="00453345"/>
    <w:rsid w:val="0045394E"/>
    <w:rsid w:val="00454535"/>
    <w:rsid w:val="004545DF"/>
    <w:rsid w:val="00454B5D"/>
    <w:rsid w:val="00455B44"/>
    <w:rsid w:val="00456CDF"/>
    <w:rsid w:val="00456FA3"/>
    <w:rsid w:val="0045754E"/>
    <w:rsid w:val="00460E98"/>
    <w:rsid w:val="00461626"/>
    <w:rsid w:val="0046275C"/>
    <w:rsid w:val="004640E1"/>
    <w:rsid w:val="00465462"/>
    <w:rsid w:val="00471684"/>
    <w:rsid w:val="00471F6B"/>
    <w:rsid w:val="0047305B"/>
    <w:rsid w:val="0047493D"/>
    <w:rsid w:val="00475A0F"/>
    <w:rsid w:val="004771A7"/>
    <w:rsid w:val="00477DF1"/>
    <w:rsid w:val="004805E1"/>
    <w:rsid w:val="0048194E"/>
    <w:rsid w:val="004819D3"/>
    <w:rsid w:val="00481D33"/>
    <w:rsid w:val="00481EFC"/>
    <w:rsid w:val="0048481A"/>
    <w:rsid w:val="00486D4E"/>
    <w:rsid w:val="00487F50"/>
    <w:rsid w:val="00490DEF"/>
    <w:rsid w:val="0049307F"/>
    <w:rsid w:val="0049352F"/>
    <w:rsid w:val="004958E2"/>
    <w:rsid w:val="004961FF"/>
    <w:rsid w:val="00497B97"/>
    <w:rsid w:val="004A28E9"/>
    <w:rsid w:val="004A4443"/>
    <w:rsid w:val="004A465C"/>
    <w:rsid w:val="004A5683"/>
    <w:rsid w:val="004A5A5E"/>
    <w:rsid w:val="004A647D"/>
    <w:rsid w:val="004A6BB2"/>
    <w:rsid w:val="004A7816"/>
    <w:rsid w:val="004A791C"/>
    <w:rsid w:val="004B0A0E"/>
    <w:rsid w:val="004B10CD"/>
    <w:rsid w:val="004B2765"/>
    <w:rsid w:val="004B4A29"/>
    <w:rsid w:val="004B6984"/>
    <w:rsid w:val="004C05F2"/>
    <w:rsid w:val="004C1E04"/>
    <w:rsid w:val="004C1EBB"/>
    <w:rsid w:val="004C1F46"/>
    <w:rsid w:val="004C407E"/>
    <w:rsid w:val="004C506F"/>
    <w:rsid w:val="004C7A15"/>
    <w:rsid w:val="004D10B1"/>
    <w:rsid w:val="004D11B7"/>
    <w:rsid w:val="004D57A0"/>
    <w:rsid w:val="004D5F36"/>
    <w:rsid w:val="004E0791"/>
    <w:rsid w:val="004E44CC"/>
    <w:rsid w:val="004E50CC"/>
    <w:rsid w:val="004E587A"/>
    <w:rsid w:val="004E5CA5"/>
    <w:rsid w:val="004E6F0E"/>
    <w:rsid w:val="004E797E"/>
    <w:rsid w:val="004F02F2"/>
    <w:rsid w:val="004F16A1"/>
    <w:rsid w:val="004F1918"/>
    <w:rsid w:val="004F2DDA"/>
    <w:rsid w:val="004F48F5"/>
    <w:rsid w:val="004F4B65"/>
    <w:rsid w:val="004F6370"/>
    <w:rsid w:val="00502DF4"/>
    <w:rsid w:val="005034FC"/>
    <w:rsid w:val="00503795"/>
    <w:rsid w:val="00503F67"/>
    <w:rsid w:val="005044B9"/>
    <w:rsid w:val="005055E2"/>
    <w:rsid w:val="00507AFA"/>
    <w:rsid w:val="005106D5"/>
    <w:rsid w:val="005112F3"/>
    <w:rsid w:val="00517BF1"/>
    <w:rsid w:val="00520645"/>
    <w:rsid w:val="00520920"/>
    <w:rsid w:val="00521C1F"/>
    <w:rsid w:val="0052426A"/>
    <w:rsid w:val="00524C98"/>
    <w:rsid w:val="00524D6D"/>
    <w:rsid w:val="005252C0"/>
    <w:rsid w:val="00530CE7"/>
    <w:rsid w:val="005316A8"/>
    <w:rsid w:val="00533E6B"/>
    <w:rsid w:val="00535C65"/>
    <w:rsid w:val="0053682D"/>
    <w:rsid w:val="00540FEC"/>
    <w:rsid w:val="005414D6"/>
    <w:rsid w:val="00541F83"/>
    <w:rsid w:val="00542766"/>
    <w:rsid w:val="005430C7"/>
    <w:rsid w:val="00543809"/>
    <w:rsid w:val="00543CB6"/>
    <w:rsid w:val="00543EC9"/>
    <w:rsid w:val="005446B0"/>
    <w:rsid w:val="00546DF7"/>
    <w:rsid w:val="005475A9"/>
    <w:rsid w:val="00547E4F"/>
    <w:rsid w:val="00551DFC"/>
    <w:rsid w:val="0055211A"/>
    <w:rsid w:val="00554187"/>
    <w:rsid w:val="00555958"/>
    <w:rsid w:val="005605F8"/>
    <w:rsid w:val="005615D4"/>
    <w:rsid w:val="005650C2"/>
    <w:rsid w:val="00565A8C"/>
    <w:rsid w:val="00573012"/>
    <w:rsid w:val="005731AA"/>
    <w:rsid w:val="00574068"/>
    <w:rsid w:val="00575709"/>
    <w:rsid w:val="005773BE"/>
    <w:rsid w:val="005804F3"/>
    <w:rsid w:val="00580954"/>
    <w:rsid w:val="005824F8"/>
    <w:rsid w:val="00583A5C"/>
    <w:rsid w:val="00584C19"/>
    <w:rsid w:val="005850D6"/>
    <w:rsid w:val="005863B3"/>
    <w:rsid w:val="0058643C"/>
    <w:rsid w:val="005866BD"/>
    <w:rsid w:val="00586EDA"/>
    <w:rsid w:val="005927CD"/>
    <w:rsid w:val="0059343A"/>
    <w:rsid w:val="005964EC"/>
    <w:rsid w:val="005A0661"/>
    <w:rsid w:val="005A1FDF"/>
    <w:rsid w:val="005A2BEB"/>
    <w:rsid w:val="005A39AF"/>
    <w:rsid w:val="005A4F1F"/>
    <w:rsid w:val="005A61BC"/>
    <w:rsid w:val="005A6544"/>
    <w:rsid w:val="005A6732"/>
    <w:rsid w:val="005A69C1"/>
    <w:rsid w:val="005A6A62"/>
    <w:rsid w:val="005A7272"/>
    <w:rsid w:val="005A7EC2"/>
    <w:rsid w:val="005B19C2"/>
    <w:rsid w:val="005B334E"/>
    <w:rsid w:val="005B3FB5"/>
    <w:rsid w:val="005B68EC"/>
    <w:rsid w:val="005C2B56"/>
    <w:rsid w:val="005C3B65"/>
    <w:rsid w:val="005C71EA"/>
    <w:rsid w:val="005D248A"/>
    <w:rsid w:val="005D2C74"/>
    <w:rsid w:val="005D2CB5"/>
    <w:rsid w:val="005D386F"/>
    <w:rsid w:val="005D511D"/>
    <w:rsid w:val="005D7100"/>
    <w:rsid w:val="005D72C1"/>
    <w:rsid w:val="005E3DC5"/>
    <w:rsid w:val="005E4813"/>
    <w:rsid w:val="005E6DAD"/>
    <w:rsid w:val="005E6E82"/>
    <w:rsid w:val="005F2B98"/>
    <w:rsid w:val="005F6167"/>
    <w:rsid w:val="006031DC"/>
    <w:rsid w:val="006035CB"/>
    <w:rsid w:val="00604122"/>
    <w:rsid w:val="0060535C"/>
    <w:rsid w:val="00606709"/>
    <w:rsid w:val="00613D71"/>
    <w:rsid w:val="00615523"/>
    <w:rsid w:val="00615DBE"/>
    <w:rsid w:val="006161C5"/>
    <w:rsid w:val="0062380A"/>
    <w:rsid w:val="00624E86"/>
    <w:rsid w:val="00625C51"/>
    <w:rsid w:val="00626E6E"/>
    <w:rsid w:val="006313EC"/>
    <w:rsid w:val="00632120"/>
    <w:rsid w:val="00633872"/>
    <w:rsid w:val="0063507E"/>
    <w:rsid w:val="006353A6"/>
    <w:rsid w:val="006369CC"/>
    <w:rsid w:val="006374EF"/>
    <w:rsid w:val="00642485"/>
    <w:rsid w:val="00643CAC"/>
    <w:rsid w:val="00643E16"/>
    <w:rsid w:val="0064421B"/>
    <w:rsid w:val="00646631"/>
    <w:rsid w:val="00647F26"/>
    <w:rsid w:val="006536D6"/>
    <w:rsid w:val="00654B00"/>
    <w:rsid w:val="00655415"/>
    <w:rsid w:val="006555FF"/>
    <w:rsid w:val="006560FF"/>
    <w:rsid w:val="00657569"/>
    <w:rsid w:val="00662875"/>
    <w:rsid w:val="00662C7C"/>
    <w:rsid w:val="00663399"/>
    <w:rsid w:val="006635A7"/>
    <w:rsid w:val="006649C6"/>
    <w:rsid w:val="006656A2"/>
    <w:rsid w:val="00665738"/>
    <w:rsid w:val="00666247"/>
    <w:rsid w:val="006668D9"/>
    <w:rsid w:val="006679EB"/>
    <w:rsid w:val="00671EF7"/>
    <w:rsid w:val="00671FA8"/>
    <w:rsid w:val="00672684"/>
    <w:rsid w:val="00674F5E"/>
    <w:rsid w:val="006763B3"/>
    <w:rsid w:val="00682F0F"/>
    <w:rsid w:val="00683222"/>
    <w:rsid w:val="00685F1B"/>
    <w:rsid w:val="00686A7A"/>
    <w:rsid w:val="00686F46"/>
    <w:rsid w:val="00687B51"/>
    <w:rsid w:val="00687F5B"/>
    <w:rsid w:val="006900BC"/>
    <w:rsid w:val="006907CD"/>
    <w:rsid w:val="00692DDF"/>
    <w:rsid w:val="0069376A"/>
    <w:rsid w:val="00694554"/>
    <w:rsid w:val="00695074"/>
    <w:rsid w:val="006A077D"/>
    <w:rsid w:val="006A1725"/>
    <w:rsid w:val="006A1A2A"/>
    <w:rsid w:val="006A211F"/>
    <w:rsid w:val="006A4311"/>
    <w:rsid w:val="006A5EAE"/>
    <w:rsid w:val="006A76FE"/>
    <w:rsid w:val="006A7BB8"/>
    <w:rsid w:val="006B46DC"/>
    <w:rsid w:val="006B5CB6"/>
    <w:rsid w:val="006B666A"/>
    <w:rsid w:val="006B7F89"/>
    <w:rsid w:val="006C3846"/>
    <w:rsid w:val="006C3BF0"/>
    <w:rsid w:val="006C4725"/>
    <w:rsid w:val="006C760F"/>
    <w:rsid w:val="006D221B"/>
    <w:rsid w:val="006D4845"/>
    <w:rsid w:val="006D7839"/>
    <w:rsid w:val="006E02B1"/>
    <w:rsid w:val="006E157D"/>
    <w:rsid w:val="006E3615"/>
    <w:rsid w:val="006E6DDB"/>
    <w:rsid w:val="006F0352"/>
    <w:rsid w:val="006F0AC4"/>
    <w:rsid w:val="006F0EEC"/>
    <w:rsid w:val="006F2CEE"/>
    <w:rsid w:val="006F5195"/>
    <w:rsid w:val="006F5426"/>
    <w:rsid w:val="006F61C3"/>
    <w:rsid w:val="006F65DD"/>
    <w:rsid w:val="006F7546"/>
    <w:rsid w:val="00700495"/>
    <w:rsid w:val="00702286"/>
    <w:rsid w:val="0070375B"/>
    <w:rsid w:val="00705060"/>
    <w:rsid w:val="00705F0C"/>
    <w:rsid w:val="007064D1"/>
    <w:rsid w:val="00710F95"/>
    <w:rsid w:val="007132C1"/>
    <w:rsid w:val="0071345A"/>
    <w:rsid w:val="00714445"/>
    <w:rsid w:val="0072283F"/>
    <w:rsid w:val="00722DD9"/>
    <w:rsid w:val="0072306E"/>
    <w:rsid w:val="007269A4"/>
    <w:rsid w:val="00726C48"/>
    <w:rsid w:val="00733E60"/>
    <w:rsid w:val="00734BF0"/>
    <w:rsid w:val="007358D4"/>
    <w:rsid w:val="007362E1"/>
    <w:rsid w:val="007375A2"/>
    <w:rsid w:val="00737D3F"/>
    <w:rsid w:val="007411EA"/>
    <w:rsid w:val="00742808"/>
    <w:rsid w:val="00743133"/>
    <w:rsid w:val="0074512B"/>
    <w:rsid w:val="00745330"/>
    <w:rsid w:val="00745FC7"/>
    <w:rsid w:val="00746653"/>
    <w:rsid w:val="0075061D"/>
    <w:rsid w:val="007506CA"/>
    <w:rsid w:val="00753442"/>
    <w:rsid w:val="00754000"/>
    <w:rsid w:val="0075484A"/>
    <w:rsid w:val="0075584E"/>
    <w:rsid w:val="00760447"/>
    <w:rsid w:val="00760C76"/>
    <w:rsid w:val="00761258"/>
    <w:rsid w:val="007616E0"/>
    <w:rsid w:val="007623A6"/>
    <w:rsid w:val="007639A9"/>
    <w:rsid w:val="0076632F"/>
    <w:rsid w:val="00771BDB"/>
    <w:rsid w:val="0077232F"/>
    <w:rsid w:val="00774FCB"/>
    <w:rsid w:val="007824D4"/>
    <w:rsid w:val="007830DD"/>
    <w:rsid w:val="00783259"/>
    <w:rsid w:val="0078401E"/>
    <w:rsid w:val="00784AE6"/>
    <w:rsid w:val="00784CA4"/>
    <w:rsid w:val="00784D51"/>
    <w:rsid w:val="0078521D"/>
    <w:rsid w:val="00787769"/>
    <w:rsid w:val="0079034F"/>
    <w:rsid w:val="0079060C"/>
    <w:rsid w:val="007910EF"/>
    <w:rsid w:val="00791384"/>
    <w:rsid w:val="00794FBE"/>
    <w:rsid w:val="00797162"/>
    <w:rsid w:val="00797A49"/>
    <w:rsid w:val="00797B12"/>
    <w:rsid w:val="007A0227"/>
    <w:rsid w:val="007A1908"/>
    <w:rsid w:val="007A31E6"/>
    <w:rsid w:val="007A3201"/>
    <w:rsid w:val="007A4951"/>
    <w:rsid w:val="007A69E3"/>
    <w:rsid w:val="007A7D92"/>
    <w:rsid w:val="007B1D8C"/>
    <w:rsid w:val="007B2424"/>
    <w:rsid w:val="007B39B5"/>
    <w:rsid w:val="007B3C6E"/>
    <w:rsid w:val="007B62B0"/>
    <w:rsid w:val="007B677B"/>
    <w:rsid w:val="007B76CF"/>
    <w:rsid w:val="007C06DB"/>
    <w:rsid w:val="007C07F2"/>
    <w:rsid w:val="007C442F"/>
    <w:rsid w:val="007C4873"/>
    <w:rsid w:val="007C6E2F"/>
    <w:rsid w:val="007C7F1C"/>
    <w:rsid w:val="007D0693"/>
    <w:rsid w:val="007D26D0"/>
    <w:rsid w:val="007D2F6E"/>
    <w:rsid w:val="007D502C"/>
    <w:rsid w:val="007D53D2"/>
    <w:rsid w:val="007D542C"/>
    <w:rsid w:val="007D5FB6"/>
    <w:rsid w:val="007D6337"/>
    <w:rsid w:val="007D71B9"/>
    <w:rsid w:val="007E03DA"/>
    <w:rsid w:val="007E0E19"/>
    <w:rsid w:val="007E21C1"/>
    <w:rsid w:val="007E6B47"/>
    <w:rsid w:val="007E6C21"/>
    <w:rsid w:val="007E6C29"/>
    <w:rsid w:val="007E7CC7"/>
    <w:rsid w:val="007F12B7"/>
    <w:rsid w:val="007F25A9"/>
    <w:rsid w:val="007F33A7"/>
    <w:rsid w:val="007F35ED"/>
    <w:rsid w:val="00800944"/>
    <w:rsid w:val="00801036"/>
    <w:rsid w:val="00801199"/>
    <w:rsid w:val="00801575"/>
    <w:rsid w:val="0080418D"/>
    <w:rsid w:val="00804A64"/>
    <w:rsid w:val="00804F81"/>
    <w:rsid w:val="00810AAD"/>
    <w:rsid w:val="00810E4C"/>
    <w:rsid w:val="00811C1B"/>
    <w:rsid w:val="00813D5B"/>
    <w:rsid w:val="00815D71"/>
    <w:rsid w:val="00820836"/>
    <w:rsid w:val="00821591"/>
    <w:rsid w:val="008231BA"/>
    <w:rsid w:val="008236C3"/>
    <w:rsid w:val="00824005"/>
    <w:rsid w:val="00824E2B"/>
    <w:rsid w:val="00826779"/>
    <w:rsid w:val="00826980"/>
    <w:rsid w:val="008306DE"/>
    <w:rsid w:val="008313B2"/>
    <w:rsid w:val="00831E17"/>
    <w:rsid w:val="00832B98"/>
    <w:rsid w:val="008350F8"/>
    <w:rsid w:val="00835E18"/>
    <w:rsid w:val="00837F0A"/>
    <w:rsid w:val="00840199"/>
    <w:rsid w:val="008405A7"/>
    <w:rsid w:val="00842423"/>
    <w:rsid w:val="0084319C"/>
    <w:rsid w:val="008437C4"/>
    <w:rsid w:val="00853B0C"/>
    <w:rsid w:val="00853B1B"/>
    <w:rsid w:val="00854838"/>
    <w:rsid w:val="00857361"/>
    <w:rsid w:val="008577D4"/>
    <w:rsid w:val="00860BCB"/>
    <w:rsid w:val="00860DDC"/>
    <w:rsid w:val="00861136"/>
    <w:rsid w:val="00862065"/>
    <w:rsid w:val="00862400"/>
    <w:rsid w:val="00863DB6"/>
    <w:rsid w:val="00863FD0"/>
    <w:rsid w:val="00867539"/>
    <w:rsid w:val="008675E3"/>
    <w:rsid w:val="008720D8"/>
    <w:rsid w:val="0087367F"/>
    <w:rsid w:val="00873A06"/>
    <w:rsid w:val="008743C8"/>
    <w:rsid w:val="00874D70"/>
    <w:rsid w:val="00875555"/>
    <w:rsid w:val="00876C81"/>
    <w:rsid w:val="0087789D"/>
    <w:rsid w:val="008838C7"/>
    <w:rsid w:val="00883E6C"/>
    <w:rsid w:val="00885759"/>
    <w:rsid w:val="008862B5"/>
    <w:rsid w:val="0088721E"/>
    <w:rsid w:val="0088740B"/>
    <w:rsid w:val="00887544"/>
    <w:rsid w:val="008908F5"/>
    <w:rsid w:val="00890A4C"/>
    <w:rsid w:val="00890DDA"/>
    <w:rsid w:val="00891914"/>
    <w:rsid w:val="008945FD"/>
    <w:rsid w:val="00894A72"/>
    <w:rsid w:val="008951AC"/>
    <w:rsid w:val="008961B7"/>
    <w:rsid w:val="0089677E"/>
    <w:rsid w:val="00897483"/>
    <w:rsid w:val="008978CC"/>
    <w:rsid w:val="008A072A"/>
    <w:rsid w:val="008A1053"/>
    <w:rsid w:val="008A1FED"/>
    <w:rsid w:val="008A227F"/>
    <w:rsid w:val="008A2418"/>
    <w:rsid w:val="008A6931"/>
    <w:rsid w:val="008B5987"/>
    <w:rsid w:val="008C1F86"/>
    <w:rsid w:val="008C2A3C"/>
    <w:rsid w:val="008C2DAD"/>
    <w:rsid w:val="008C2E65"/>
    <w:rsid w:val="008C37C8"/>
    <w:rsid w:val="008C7F13"/>
    <w:rsid w:val="008D0652"/>
    <w:rsid w:val="008D0BF5"/>
    <w:rsid w:val="008D114B"/>
    <w:rsid w:val="008D2E88"/>
    <w:rsid w:val="008D45D9"/>
    <w:rsid w:val="008D7DDB"/>
    <w:rsid w:val="008E08F8"/>
    <w:rsid w:val="008E1F19"/>
    <w:rsid w:val="008E2631"/>
    <w:rsid w:val="008F11E2"/>
    <w:rsid w:val="008F3660"/>
    <w:rsid w:val="008F3F09"/>
    <w:rsid w:val="008F7719"/>
    <w:rsid w:val="008F7B87"/>
    <w:rsid w:val="00902C55"/>
    <w:rsid w:val="00905989"/>
    <w:rsid w:val="00906098"/>
    <w:rsid w:val="00907145"/>
    <w:rsid w:val="00907206"/>
    <w:rsid w:val="0090744F"/>
    <w:rsid w:val="0090749A"/>
    <w:rsid w:val="00907611"/>
    <w:rsid w:val="00910DFD"/>
    <w:rsid w:val="00911C69"/>
    <w:rsid w:val="00911E72"/>
    <w:rsid w:val="009129DD"/>
    <w:rsid w:val="00912DEC"/>
    <w:rsid w:val="00913366"/>
    <w:rsid w:val="0091364C"/>
    <w:rsid w:val="009149A9"/>
    <w:rsid w:val="00914C10"/>
    <w:rsid w:val="00915D80"/>
    <w:rsid w:val="00916C5B"/>
    <w:rsid w:val="00917556"/>
    <w:rsid w:val="009205BD"/>
    <w:rsid w:val="009209E2"/>
    <w:rsid w:val="00924B22"/>
    <w:rsid w:val="009258F6"/>
    <w:rsid w:val="00925E90"/>
    <w:rsid w:val="009273E2"/>
    <w:rsid w:val="00927F3E"/>
    <w:rsid w:val="00930A46"/>
    <w:rsid w:val="00930D8F"/>
    <w:rsid w:val="00934A69"/>
    <w:rsid w:val="00936103"/>
    <w:rsid w:val="00936722"/>
    <w:rsid w:val="009376A3"/>
    <w:rsid w:val="009405F0"/>
    <w:rsid w:val="0094106D"/>
    <w:rsid w:val="00942F37"/>
    <w:rsid w:val="00944207"/>
    <w:rsid w:val="009449A3"/>
    <w:rsid w:val="00945087"/>
    <w:rsid w:val="009451C2"/>
    <w:rsid w:val="0095018E"/>
    <w:rsid w:val="0095022F"/>
    <w:rsid w:val="00950C28"/>
    <w:rsid w:val="009528ED"/>
    <w:rsid w:val="009548FE"/>
    <w:rsid w:val="00954B36"/>
    <w:rsid w:val="00960CEC"/>
    <w:rsid w:val="00963473"/>
    <w:rsid w:val="00964509"/>
    <w:rsid w:val="00965A62"/>
    <w:rsid w:val="00965A8D"/>
    <w:rsid w:val="00966C54"/>
    <w:rsid w:val="009678FD"/>
    <w:rsid w:val="0097037F"/>
    <w:rsid w:val="0097282B"/>
    <w:rsid w:val="00972CB3"/>
    <w:rsid w:val="00974C3E"/>
    <w:rsid w:val="00975828"/>
    <w:rsid w:val="00975DA4"/>
    <w:rsid w:val="0097649D"/>
    <w:rsid w:val="00976CD4"/>
    <w:rsid w:val="00976EC3"/>
    <w:rsid w:val="00977466"/>
    <w:rsid w:val="00977987"/>
    <w:rsid w:val="00980CD8"/>
    <w:rsid w:val="0098169D"/>
    <w:rsid w:val="0098287F"/>
    <w:rsid w:val="00982C43"/>
    <w:rsid w:val="00984F86"/>
    <w:rsid w:val="009853EE"/>
    <w:rsid w:val="009862FF"/>
    <w:rsid w:val="00986463"/>
    <w:rsid w:val="009872D8"/>
    <w:rsid w:val="00990627"/>
    <w:rsid w:val="00990D29"/>
    <w:rsid w:val="009916C7"/>
    <w:rsid w:val="00991914"/>
    <w:rsid w:val="009937E4"/>
    <w:rsid w:val="009944E0"/>
    <w:rsid w:val="009946A0"/>
    <w:rsid w:val="00997BF8"/>
    <w:rsid w:val="009A32F5"/>
    <w:rsid w:val="009A4397"/>
    <w:rsid w:val="009A5462"/>
    <w:rsid w:val="009A58EC"/>
    <w:rsid w:val="009A5BBB"/>
    <w:rsid w:val="009A7DF7"/>
    <w:rsid w:val="009B0310"/>
    <w:rsid w:val="009B09C6"/>
    <w:rsid w:val="009B13D3"/>
    <w:rsid w:val="009B1ACA"/>
    <w:rsid w:val="009B31FA"/>
    <w:rsid w:val="009B4A2A"/>
    <w:rsid w:val="009B6EF7"/>
    <w:rsid w:val="009C0A02"/>
    <w:rsid w:val="009C3782"/>
    <w:rsid w:val="009C4B02"/>
    <w:rsid w:val="009D182C"/>
    <w:rsid w:val="009D4ED5"/>
    <w:rsid w:val="009D5869"/>
    <w:rsid w:val="009D6957"/>
    <w:rsid w:val="009D7CE9"/>
    <w:rsid w:val="009E0EE1"/>
    <w:rsid w:val="009E3979"/>
    <w:rsid w:val="009E40DD"/>
    <w:rsid w:val="009E56B5"/>
    <w:rsid w:val="009E6BFC"/>
    <w:rsid w:val="009E74C5"/>
    <w:rsid w:val="009E776F"/>
    <w:rsid w:val="009E7D0D"/>
    <w:rsid w:val="009F0DB1"/>
    <w:rsid w:val="009F11A1"/>
    <w:rsid w:val="009F18A3"/>
    <w:rsid w:val="009F1A5D"/>
    <w:rsid w:val="009F2104"/>
    <w:rsid w:val="009F2584"/>
    <w:rsid w:val="009F2800"/>
    <w:rsid w:val="009F6280"/>
    <w:rsid w:val="009F6808"/>
    <w:rsid w:val="009F775D"/>
    <w:rsid w:val="00A00951"/>
    <w:rsid w:val="00A00B8C"/>
    <w:rsid w:val="00A016A9"/>
    <w:rsid w:val="00A034E8"/>
    <w:rsid w:val="00A03BF8"/>
    <w:rsid w:val="00A059A1"/>
    <w:rsid w:val="00A111F1"/>
    <w:rsid w:val="00A13326"/>
    <w:rsid w:val="00A15BBF"/>
    <w:rsid w:val="00A16CCB"/>
    <w:rsid w:val="00A17418"/>
    <w:rsid w:val="00A179C6"/>
    <w:rsid w:val="00A22797"/>
    <w:rsid w:val="00A2594E"/>
    <w:rsid w:val="00A2690A"/>
    <w:rsid w:val="00A26A38"/>
    <w:rsid w:val="00A27A96"/>
    <w:rsid w:val="00A3056D"/>
    <w:rsid w:val="00A30F8F"/>
    <w:rsid w:val="00A32C0E"/>
    <w:rsid w:val="00A32EFD"/>
    <w:rsid w:val="00A3358B"/>
    <w:rsid w:val="00A348B7"/>
    <w:rsid w:val="00A34FE8"/>
    <w:rsid w:val="00A35F40"/>
    <w:rsid w:val="00A4131F"/>
    <w:rsid w:val="00A43ED6"/>
    <w:rsid w:val="00A44B4B"/>
    <w:rsid w:val="00A50E88"/>
    <w:rsid w:val="00A52609"/>
    <w:rsid w:val="00A52796"/>
    <w:rsid w:val="00A52E90"/>
    <w:rsid w:val="00A603FA"/>
    <w:rsid w:val="00A60D25"/>
    <w:rsid w:val="00A63BEB"/>
    <w:rsid w:val="00A6519F"/>
    <w:rsid w:val="00A6575E"/>
    <w:rsid w:val="00A65E12"/>
    <w:rsid w:val="00A66FC6"/>
    <w:rsid w:val="00A67467"/>
    <w:rsid w:val="00A71215"/>
    <w:rsid w:val="00A7196F"/>
    <w:rsid w:val="00A71BF5"/>
    <w:rsid w:val="00A72EAE"/>
    <w:rsid w:val="00A74B2E"/>
    <w:rsid w:val="00A758F4"/>
    <w:rsid w:val="00A75B86"/>
    <w:rsid w:val="00A8393C"/>
    <w:rsid w:val="00A866E0"/>
    <w:rsid w:val="00A93155"/>
    <w:rsid w:val="00A93B9A"/>
    <w:rsid w:val="00A9411B"/>
    <w:rsid w:val="00A943CA"/>
    <w:rsid w:val="00A94A12"/>
    <w:rsid w:val="00A95911"/>
    <w:rsid w:val="00AA07EE"/>
    <w:rsid w:val="00AA347C"/>
    <w:rsid w:val="00AA51FF"/>
    <w:rsid w:val="00AA66A4"/>
    <w:rsid w:val="00AA6CAA"/>
    <w:rsid w:val="00AB2680"/>
    <w:rsid w:val="00AB3041"/>
    <w:rsid w:val="00AB3D2E"/>
    <w:rsid w:val="00AB4415"/>
    <w:rsid w:val="00AB6C79"/>
    <w:rsid w:val="00AB7B74"/>
    <w:rsid w:val="00AC1289"/>
    <w:rsid w:val="00AC298F"/>
    <w:rsid w:val="00AC4119"/>
    <w:rsid w:val="00AD067A"/>
    <w:rsid w:val="00AD4E43"/>
    <w:rsid w:val="00AD5870"/>
    <w:rsid w:val="00AD5C4D"/>
    <w:rsid w:val="00AD5E53"/>
    <w:rsid w:val="00AD7497"/>
    <w:rsid w:val="00AE234D"/>
    <w:rsid w:val="00AE35E2"/>
    <w:rsid w:val="00AE407C"/>
    <w:rsid w:val="00AE4B00"/>
    <w:rsid w:val="00AE4E6C"/>
    <w:rsid w:val="00AE5259"/>
    <w:rsid w:val="00AE5F33"/>
    <w:rsid w:val="00AE68AF"/>
    <w:rsid w:val="00AE6B15"/>
    <w:rsid w:val="00AE6FD6"/>
    <w:rsid w:val="00AF0B6C"/>
    <w:rsid w:val="00AF2763"/>
    <w:rsid w:val="00AF27C9"/>
    <w:rsid w:val="00AF3745"/>
    <w:rsid w:val="00AF4175"/>
    <w:rsid w:val="00B0328B"/>
    <w:rsid w:val="00B03E26"/>
    <w:rsid w:val="00B0583F"/>
    <w:rsid w:val="00B0669C"/>
    <w:rsid w:val="00B06911"/>
    <w:rsid w:val="00B06DBE"/>
    <w:rsid w:val="00B07FCB"/>
    <w:rsid w:val="00B10D13"/>
    <w:rsid w:val="00B11C68"/>
    <w:rsid w:val="00B11E69"/>
    <w:rsid w:val="00B12E1D"/>
    <w:rsid w:val="00B13366"/>
    <w:rsid w:val="00B13F72"/>
    <w:rsid w:val="00B15AE4"/>
    <w:rsid w:val="00B20DFF"/>
    <w:rsid w:val="00B222C9"/>
    <w:rsid w:val="00B23E64"/>
    <w:rsid w:val="00B2438A"/>
    <w:rsid w:val="00B26011"/>
    <w:rsid w:val="00B308A3"/>
    <w:rsid w:val="00B31161"/>
    <w:rsid w:val="00B31DA0"/>
    <w:rsid w:val="00B33815"/>
    <w:rsid w:val="00B347DC"/>
    <w:rsid w:val="00B35E7F"/>
    <w:rsid w:val="00B36561"/>
    <w:rsid w:val="00B400EA"/>
    <w:rsid w:val="00B40306"/>
    <w:rsid w:val="00B41904"/>
    <w:rsid w:val="00B46129"/>
    <w:rsid w:val="00B46ADD"/>
    <w:rsid w:val="00B50649"/>
    <w:rsid w:val="00B50DA4"/>
    <w:rsid w:val="00B535E8"/>
    <w:rsid w:val="00B53768"/>
    <w:rsid w:val="00B570AA"/>
    <w:rsid w:val="00B57631"/>
    <w:rsid w:val="00B57DB6"/>
    <w:rsid w:val="00B60169"/>
    <w:rsid w:val="00B60F5B"/>
    <w:rsid w:val="00B630CF"/>
    <w:rsid w:val="00B63BF8"/>
    <w:rsid w:val="00B63F49"/>
    <w:rsid w:val="00B644F7"/>
    <w:rsid w:val="00B65358"/>
    <w:rsid w:val="00B65ACE"/>
    <w:rsid w:val="00B65C97"/>
    <w:rsid w:val="00B65EC2"/>
    <w:rsid w:val="00B6616F"/>
    <w:rsid w:val="00B66FE1"/>
    <w:rsid w:val="00B7007B"/>
    <w:rsid w:val="00B71BBF"/>
    <w:rsid w:val="00B72A03"/>
    <w:rsid w:val="00B73982"/>
    <w:rsid w:val="00B73D85"/>
    <w:rsid w:val="00B73ECE"/>
    <w:rsid w:val="00B75D74"/>
    <w:rsid w:val="00B77029"/>
    <w:rsid w:val="00B77183"/>
    <w:rsid w:val="00B817E0"/>
    <w:rsid w:val="00B81DA2"/>
    <w:rsid w:val="00B83416"/>
    <w:rsid w:val="00B843CD"/>
    <w:rsid w:val="00B84812"/>
    <w:rsid w:val="00B854D4"/>
    <w:rsid w:val="00B86B09"/>
    <w:rsid w:val="00B86B7A"/>
    <w:rsid w:val="00B86BB3"/>
    <w:rsid w:val="00B876EF"/>
    <w:rsid w:val="00B909FE"/>
    <w:rsid w:val="00B912D6"/>
    <w:rsid w:val="00B92014"/>
    <w:rsid w:val="00B9328B"/>
    <w:rsid w:val="00B93D4D"/>
    <w:rsid w:val="00B94616"/>
    <w:rsid w:val="00B96979"/>
    <w:rsid w:val="00BA19EC"/>
    <w:rsid w:val="00BA2225"/>
    <w:rsid w:val="00BA39C4"/>
    <w:rsid w:val="00BA3BB4"/>
    <w:rsid w:val="00BA474B"/>
    <w:rsid w:val="00BB3AEE"/>
    <w:rsid w:val="00BB481E"/>
    <w:rsid w:val="00BB5EC0"/>
    <w:rsid w:val="00BB6334"/>
    <w:rsid w:val="00BB7050"/>
    <w:rsid w:val="00BB7973"/>
    <w:rsid w:val="00BC08FD"/>
    <w:rsid w:val="00BC1CEE"/>
    <w:rsid w:val="00BC2AA4"/>
    <w:rsid w:val="00BC375A"/>
    <w:rsid w:val="00BC55A1"/>
    <w:rsid w:val="00BC5BE9"/>
    <w:rsid w:val="00BC6EF1"/>
    <w:rsid w:val="00BD1A91"/>
    <w:rsid w:val="00BD25BF"/>
    <w:rsid w:val="00BD32FA"/>
    <w:rsid w:val="00BD47D3"/>
    <w:rsid w:val="00BE0054"/>
    <w:rsid w:val="00BE0F2C"/>
    <w:rsid w:val="00BE0F82"/>
    <w:rsid w:val="00BE11EF"/>
    <w:rsid w:val="00BE309E"/>
    <w:rsid w:val="00BE51FD"/>
    <w:rsid w:val="00BE5D49"/>
    <w:rsid w:val="00BE692B"/>
    <w:rsid w:val="00BE7CAC"/>
    <w:rsid w:val="00BF0778"/>
    <w:rsid w:val="00BF13A5"/>
    <w:rsid w:val="00BF243B"/>
    <w:rsid w:val="00BF2441"/>
    <w:rsid w:val="00BF2689"/>
    <w:rsid w:val="00BF2EFF"/>
    <w:rsid w:val="00BF3213"/>
    <w:rsid w:val="00BF44BF"/>
    <w:rsid w:val="00BF645E"/>
    <w:rsid w:val="00BF760E"/>
    <w:rsid w:val="00BF7F06"/>
    <w:rsid w:val="00C00872"/>
    <w:rsid w:val="00C0489E"/>
    <w:rsid w:val="00C04973"/>
    <w:rsid w:val="00C04E48"/>
    <w:rsid w:val="00C05CAB"/>
    <w:rsid w:val="00C070DE"/>
    <w:rsid w:val="00C0725D"/>
    <w:rsid w:val="00C10437"/>
    <w:rsid w:val="00C116D2"/>
    <w:rsid w:val="00C126FA"/>
    <w:rsid w:val="00C12952"/>
    <w:rsid w:val="00C12F61"/>
    <w:rsid w:val="00C14230"/>
    <w:rsid w:val="00C15EDF"/>
    <w:rsid w:val="00C167AC"/>
    <w:rsid w:val="00C203A0"/>
    <w:rsid w:val="00C22776"/>
    <w:rsid w:val="00C24018"/>
    <w:rsid w:val="00C2476B"/>
    <w:rsid w:val="00C250DA"/>
    <w:rsid w:val="00C25E5D"/>
    <w:rsid w:val="00C27F5E"/>
    <w:rsid w:val="00C3000A"/>
    <w:rsid w:val="00C32997"/>
    <w:rsid w:val="00C34D62"/>
    <w:rsid w:val="00C3697F"/>
    <w:rsid w:val="00C37494"/>
    <w:rsid w:val="00C374B1"/>
    <w:rsid w:val="00C374F3"/>
    <w:rsid w:val="00C376D3"/>
    <w:rsid w:val="00C42C0F"/>
    <w:rsid w:val="00C430E3"/>
    <w:rsid w:val="00C43CD6"/>
    <w:rsid w:val="00C45F57"/>
    <w:rsid w:val="00C46500"/>
    <w:rsid w:val="00C47DB3"/>
    <w:rsid w:val="00C50250"/>
    <w:rsid w:val="00C51BF2"/>
    <w:rsid w:val="00C51EDF"/>
    <w:rsid w:val="00C5250C"/>
    <w:rsid w:val="00C56AAF"/>
    <w:rsid w:val="00C56B5E"/>
    <w:rsid w:val="00C62CB0"/>
    <w:rsid w:val="00C65011"/>
    <w:rsid w:val="00C66105"/>
    <w:rsid w:val="00C671F1"/>
    <w:rsid w:val="00C67644"/>
    <w:rsid w:val="00C67E09"/>
    <w:rsid w:val="00C700AE"/>
    <w:rsid w:val="00C72DC4"/>
    <w:rsid w:val="00C81411"/>
    <w:rsid w:val="00C8145D"/>
    <w:rsid w:val="00C81FD4"/>
    <w:rsid w:val="00C8592B"/>
    <w:rsid w:val="00C91E26"/>
    <w:rsid w:val="00C94481"/>
    <w:rsid w:val="00C9508F"/>
    <w:rsid w:val="00C96E35"/>
    <w:rsid w:val="00CA279F"/>
    <w:rsid w:val="00CA4E5B"/>
    <w:rsid w:val="00CA536F"/>
    <w:rsid w:val="00CA63E8"/>
    <w:rsid w:val="00CA652B"/>
    <w:rsid w:val="00CA6FFD"/>
    <w:rsid w:val="00CA7199"/>
    <w:rsid w:val="00CB16A5"/>
    <w:rsid w:val="00CB290E"/>
    <w:rsid w:val="00CB2E26"/>
    <w:rsid w:val="00CB2F0D"/>
    <w:rsid w:val="00CB303B"/>
    <w:rsid w:val="00CB4DAD"/>
    <w:rsid w:val="00CB6EAC"/>
    <w:rsid w:val="00CB7F74"/>
    <w:rsid w:val="00CC14C1"/>
    <w:rsid w:val="00CC157B"/>
    <w:rsid w:val="00CC17AE"/>
    <w:rsid w:val="00CC25EB"/>
    <w:rsid w:val="00CC41B9"/>
    <w:rsid w:val="00CC4269"/>
    <w:rsid w:val="00CC550F"/>
    <w:rsid w:val="00CC56A1"/>
    <w:rsid w:val="00CC7A70"/>
    <w:rsid w:val="00CC7CE2"/>
    <w:rsid w:val="00CD1819"/>
    <w:rsid w:val="00CD1AF2"/>
    <w:rsid w:val="00CD2896"/>
    <w:rsid w:val="00CD4E39"/>
    <w:rsid w:val="00CD5611"/>
    <w:rsid w:val="00CD57D3"/>
    <w:rsid w:val="00CD6149"/>
    <w:rsid w:val="00CD69B2"/>
    <w:rsid w:val="00CD6E2A"/>
    <w:rsid w:val="00CD6FD1"/>
    <w:rsid w:val="00CD7D98"/>
    <w:rsid w:val="00CE06EC"/>
    <w:rsid w:val="00CE1EEB"/>
    <w:rsid w:val="00CE3598"/>
    <w:rsid w:val="00CE45C2"/>
    <w:rsid w:val="00CE6A45"/>
    <w:rsid w:val="00CF0E0A"/>
    <w:rsid w:val="00CF1F4C"/>
    <w:rsid w:val="00CF23E3"/>
    <w:rsid w:val="00CF328E"/>
    <w:rsid w:val="00CF6310"/>
    <w:rsid w:val="00D00C66"/>
    <w:rsid w:val="00D00E38"/>
    <w:rsid w:val="00D01398"/>
    <w:rsid w:val="00D0357C"/>
    <w:rsid w:val="00D03688"/>
    <w:rsid w:val="00D06DA1"/>
    <w:rsid w:val="00D14D5C"/>
    <w:rsid w:val="00D14E9B"/>
    <w:rsid w:val="00D1593D"/>
    <w:rsid w:val="00D17867"/>
    <w:rsid w:val="00D20263"/>
    <w:rsid w:val="00D21DBE"/>
    <w:rsid w:val="00D21F09"/>
    <w:rsid w:val="00D24A23"/>
    <w:rsid w:val="00D250A8"/>
    <w:rsid w:val="00D25CA2"/>
    <w:rsid w:val="00D268CF"/>
    <w:rsid w:val="00D27F87"/>
    <w:rsid w:val="00D33262"/>
    <w:rsid w:val="00D363F6"/>
    <w:rsid w:val="00D3778C"/>
    <w:rsid w:val="00D37B8E"/>
    <w:rsid w:val="00D404F4"/>
    <w:rsid w:val="00D4118C"/>
    <w:rsid w:val="00D419A2"/>
    <w:rsid w:val="00D42C0D"/>
    <w:rsid w:val="00D44570"/>
    <w:rsid w:val="00D44FF9"/>
    <w:rsid w:val="00D4654C"/>
    <w:rsid w:val="00D46DF1"/>
    <w:rsid w:val="00D51C9A"/>
    <w:rsid w:val="00D52418"/>
    <w:rsid w:val="00D541DC"/>
    <w:rsid w:val="00D56035"/>
    <w:rsid w:val="00D56AFD"/>
    <w:rsid w:val="00D619EB"/>
    <w:rsid w:val="00D6227C"/>
    <w:rsid w:val="00D62745"/>
    <w:rsid w:val="00D63C60"/>
    <w:rsid w:val="00D64231"/>
    <w:rsid w:val="00D643EF"/>
    <w:rsid w:val="00D651DD"/>
    <w:rsid w:val="00D70BC5"/>
    <w:rsid w:val="00D727D0"/>
    <w:rsid w:val="00D75E58"/>
    <w:rsid w:val="00D7649C"/>
    <w:rsid w:val="00D768CE"/>
    <w:rsid w:val="00D77F61"/>
    <w:rsid w:val="00D8161C"/>
    <w:rsid w:val="00D82854"/>
    <w:rsid w:val="00D82AD9"/>
    <w:rsid w:val="00D83165"/>
    <w:rsid w:val="00D8376F"/>
    <w:rsid w:val="00D87E6F"/>
    <w:rsid w:val="00D9279B"/>
    <w:rsid w:val="00D94630"/>
    <w:rsid w:val="00D9472B"/>
    <w:rsid w:val="00D94E6E"/>
    <w:rsid w:val="00D96227"/>
    <w:rsid w:val="00D96679"/>
    <w:rsid w:val="00D97347"/>
    <w:rsid w:val="00DA123A"/>
    <w:rsid w:val="00DA19BC"/>
    <w:rsid w:val="00DA2952"/>
    <w:rsid w:val="00DA4EB2"/>
    <w:rsid w:val="00DA5380"/>
    <w:rsid w:val="00DA55DD"/>
    <w:rsid w:val="00DA5B16"/>
    <w:rsid w:val="00DA6ACF"/>
    <w:rsid w:val="00DB0246"/>
    <w:rsid w:val="00DB04EA"/>
    <w:rsid w:val="00DB11F4"/>
    <w:rsid w:val="00DB36C5"/>
    <w:rsid w:val="00DB4577"/>
    <w:rsid w:val="00DB4E9C"/>
    <w:rsid w:val="00DB6523"/>
    <w:rsid w:val="00DB6685"/>
    <w:rsid w:val="00DB6C15"/>
    <w:rsid w:val="00DB6C3A"/>
    <w:rsid w:val="00DB74DE"/>
    <w:rsid w:val="00DC1CA3"/>
    <w:rsid w:val="00DC1D73"/>
    <w:rsid w:val="00DC25CB"/>
    <w:rsid w:val="00DC26C4"/>
    <w:rsid w:val="00DC393D"/>
    <w:rsid w:val="00DC3DF5"/>
    <w:rsid w:val="00DC4C3D"/>
    <w:rsid w:val="00DC511E"/>
    <w:rsid w:val="00DC5A34"/>
    <w:rsid w:val="00DC5DD9"/>
    <w:rsid w:val="00DC72D6"/>
    <w:rsid w:val="00DD091C"/>
    <w:rsid w:val="00DD2292"/>
    <w:rsid w:val="00DD323F"/>
    <w:rsid w:val="00DD427D"/>
    <w:rsid w:val="00DD4D95"/>
    <w:rsid w:val="00DE2EF4"/>
    <w:rsid w:val="00DE3DFD"/>
    <w:rsid w:val="00DE584B"/>
    <w:rsid w:val="00DE6A19"/>
    <w:rsid w:val="00DF6A98"/>
    <w:rsid w:val="00E03529"/>
    <w:rsid w:val="00E0520E"/>
    <w:rsid w:val="00E054BB"/>
    <w:rsid w:val="00E05DE6"/>
    <w:rsid w:val="00E06CC8"/>
    <w:rsid w:val="00E07501"/>
    <w:rsid w:val="00E107B3"/>
    <w:rsid w:val="00E10F19"/>
    <w:rsid w:val="00E1181B"/>
    <w:rsid w:val="00E11E49"/>
    <w:rsid w:val="00E1282D"/>
    <w:rsid w:val="00E14D21"/>
    <w:rsid w:val="00E15791"/>
    <w:rsid w:val="00E159B3"/>
    <w:rsid w:val="00E16F68"/>
    <w:rsid w:val="00E1750C"/>
    <w:rsid w:val="00E200B1"/>
    <w:rsid w:val="00E20CA3"/>
    <w:rsid w:val="00E20D90"/>
    <w:rsid w:val="00E22DB9"/>
    <w:rsid w:val="00E23D18"/>
    <w:rsid w:val="00E240A5"/>
    <w:rsid w:val="00E245B2"/>
    <w:rsid w:val="00E247F0"/>
    <w:rsid w:val="00E25817"/>
    <w:rsid w:val="00E25E6E"/>
    <w:rsid w:val="00E266D4"/>
    <w:rsid w:val="00E34393"/>
    <w:rsid w:val="00E346FA"/>
    <w:rsid w:val="00E353C8"/>
    <w:rsid w:val="00E36C86"/>
    <w:rsid w:val="00E36F05"/>
    <w:rsid w:val="00E37305"/>
    <w:rsid w:val="00E37B70"/>
    <w:rsid w:val="00E449A7"/>
    <w:rsid w:val="00E45EEA"/>
    <w:rsid w:val="00E465EC"/>
    <w:rsid w:val="00E5016D"/>
    <w:rsid w:val="00E523EB"/>
    <w:rsid w:val="00E530DB"/>
    <w:rsid w:val="00E63CFB"/>
    <w:rsid w:val="00E644E0"/>
    <w:rsid w:val="00E64B8A"/>
    <w:rsid w:val="00E64FE9"/>
    <w:rsid w:val="00E65E72"/>
    <w:rsid w:val="00E668D2"/>
    <w:rsid w:val="00E679D7"/>
    <w:rsid w:val="00E70F72"/>
    <w:rsid w:val="00E74D3E"/>
    <w:rsid w:val="00E756F8"/>
    <w:rsid w:val="00E7663B"/>
    <w:rsid w:val="00E76C6F"/>
    <w:rsid w:val="00E77246"/>
    <w:rsid w:val="00E80091"/>
    <w:rsid w:val="00E80344"/>
    <w:rsid w:val="00E80B46"/>
    <w:rsid w:val="00E818AD"/>
    <w:rsid w:val="00E84974"/>
    <w:rsid w:val="00E84E7B"/>
    <w:rsid w:val="00E85EB4"/>
    <w:rsid w:val="00E917E6"/>
    <w:rsid w:val="00E92D1B"/>
    <w:rsid w:val="00E96BD6"/>
    <w:rsid w:val="00EA1510"/>
    <w:rsid w:val="00EA3FCF"/>
    <w:rsid w:val="00EA499B"/>
    <w:rsid w:val="00EA4F20"/>
    <w:rsid w:val="00EA6050"/>
    <w:rsid w:val="00EA6552"/>
    <w:rsid w:val="00EA73DB"/>
    <w:rsid w:val="00EA77E5"/>
    <w:rsid w:val="00EB0C2C"/>
    <w:rsid w:val="00EB0E5E"/>
    <w:rsid w:val="00EB1EBB"/>
    <w:rsid w:val="00EB23AB"/>
    <w:rsid w:val="00EB4133"/>
    <w:rsid w:val="00EB4D7D"/>
    <w:rsid w:val="00EB5E0E"/>
    <w:rsid w:val="00EB6BC3"/>
    <w:rsid w:val="00EC5B6B"/>
    <w:rsid w:val="00ED0F2D"/>
    <w:rsid w:val="00ED1498"/>
    <w:rsid w:val="00ED1FF5"/>
    <w:rsid w:val="00ED42CE"/>
    <w:rsid w:val="00ED56A9"/>
    <w:rsid w:val="00ED7699"/>
    <w:rsid w:val="00EE28AB"/>
    <w:rsid w:val="00EE47B2"/>
    <w:rsid w:val="00EE5CB2"/>
    <w:rsid w:val="00EF141F"/>
    <w:rsid w:val="00EF22DB"/>
    <w:rsid w:val="00EF3529"/>
    <w:rsid w:val="00EF5D3F"/>
    <w:rsid w:val="00EF712B"/>
    <w:rsid w:val="00EF7D01"/>
    <w:rsid w:val="00EF7D5A"/>
    <w:rsid w:val="00F018F3"/>
    <w:rsid w:val="00F01BE9"/>
    <w:rsid w:val="00F020DD"/>
    <w:rsid w:val="00F02505"/>
    <w:rsid w:val="00F03617"/>
    <w:rsid w:val="00F04EF2"/>
    <w:rsid w:val="00F05FA7"/>
    <w:rsid w:val="00F06801"/>
    <w:rsid w:val="00F06EAB"/>
    <w:rsid w:val="00F112EA"/>
    <w:rsid w:val="00F13519"/>
    <w:rsid w:val="00F147C4"/>
    <w:rsid w:val="00F14B1A"/>
    <w:rsid w:val="00F16C66"/>
    <w:rsid w:val="00F17781"/>
    <w:rsid w:val="00F23882"/>
    <w:rsid w:val="00F239E9"/>
    <w:rsid w:val="00F25C21"/>
    <w:rsid w:val="00F25F07"/>
    <w:rsid w:val="00F2626E"/>
    <w:rsid w:val="00F26B4C"/>
    <w:rsid w:val="00F306EA"/>
    <w:rsid w:val="00F31EA1"/>
    <w:rsid w:val="00F34DA5"/>
    <w:rsid w:val="00F35EC8"/>
    <w:rsid w:val="00F377A4"/>
    <w:rsid w:val="00F37909"/>
    <w:rsid w:val="00F40141"/>
    <w:rsid w:val="00F41368"/>
    <w:rsid w:val="00F41834"/>
    <w:rsid w:val="00F44420"/>
    <w:rsid w:val="00F45CFC"/>
    <w:rsid w:val="00F469BA"/>
    <w:rsid w:val="00F46D15"/>
    <w:rsid w:val="00F474F2"/>
    <w:rsid w:val="00F52612"/>
    <w:rsid w:val="00F52628"/>
    <w:rsid w:val="00F55401"/>
    <w:rsid w:val="00F55FA6"/>
    <w:rsid w:val="00F5774B"/>
    <w:rsid w:val="00F60480"/>
    <w:rsid w:val="00F61EEE"/>
    <w:rsid w:val="00F64D99"/>
    <w:rsid w:val="00F6590C"/>
    <w:rsid w:val="00F678E0"/>
    <w:rsid w:val="00F703CA"/>
    <w:rsid w:val="00F715E6"/>
    <w:rsid w:val="00F7263B"/>
    <w:rsid w:val="00F72EE9"/>
    <w:rsid w:val="00F743FE"/>
    <w:rsid w:val="00F76B51"/>
    <w:rsid w:val="00F774B6"/>
    <w:rsid w:val="00F779CD"/>
    <w:rsid w:val="00F80A6A"/>
    <w:rsid w:val="00F83508"/>
    <w:rsid w:val="00F837B8"/>
    <w:rsid w:val="00F838CE"/>
    <w:rsid w:val="00F84D96"/>
    <w:rsid w:val="00F84F39"/>
    <w:rsid w:val="00F91422"/>
    <w:rsid w:val="00F9167A"/>
    <w:rsid w:val="00F91DBB"/>
    <w:rsid w:val="00F955B1"/>
    <w:rsid w:val="00F961B9"/>
    <w:rsid w:val="00FA1256"/>
    <w:rsid w:val="00FA1516"/>
    <w:rsid w:val="00FA208A"/>
    <w:rsid w:val="00FA3EAA"/>
    <w:rsid w:val="00FB2B62"/>
    <w:rsid w:val="00FB3398"/>
    <w:rsid w:val="00FB37AA"/>
    <w:rsid w:val="00FB38B9"/>
    <w:rsid w:val="00FB3EF3"/>
    <w:rsid w:val="00FB4FC4"/>
    <w:rsid w:val="00FB50D6"/>
    <w:rsid w:val="00FB57D8"/>
    <w:rsid w:val="00FB614F"/>
    <w:rsid w:val="00FB665C"/>
    <w:rsid w:val="00FB668B"/>
    <w:rsid w:val="00FC072E"/>
    <w:rsid w:val="00FC5F55"/>
    <w:rsid w:val="00FC6771"/>
    <w:rsid w:val="00FD0ACF"/>
    <w:rsid w:val="00FD1ECE"/>
    <w:rsid w:val="00FD32A7"/>
    <w:rsid w:val="00FD5E24"/>
    <w:rsid w:val="00FE1080"/>
    <w:rsid w:val="00FE133D"/>
    <w:rsid w:val="00FE1A74"/>
    <w:rsid w:val="00FE206C"/>
    <w:rsid w:val="00FE4D17"/>
    <w:rsid w:val="00FE5427"/>
    <w:rsid w:val="00FE63A1"/>
    <w:rsid w:val="00FE71C5"/>
    <w:rsid w:val="00FF21FA"/>
    <w:rsid w:val="00FF23BD"/>
    <w:rsid w:val="00FF33F5"/>
    <w:rsid w:val="00FF536D"/>
    <w:rsid w:val="00FF5408"/>
    <w:rsid w:val="00FF623A"/>
    <w:rsid w:val="00FF6240"/>
    <w:rsid w:val="00FF680E"/>
    <w:rsid w:val="010C1F2E"/>
    <w:rsid w:val="01A11D18"/>
    <w:rsid w:val="01B72C32"/>
    <w:rsid w:val="01DC37E8"/>
    <w:rsid w:val="023F66B6"/>
    <w:rsid w:val="02FE20CD"/>
    <w:rsid w:val="04E44E5C"/>
    <w:rsid w:val="05341DD6"/>
    <w:rsid w:val="058504D5"/>
    <w:rsid w:val="05AB2747"/>
    <w:rsid w:val="061E65E2"/>
    <w:rsid w:val="07E027FB"/>
    <w:rsid w:val="083A2BDA"/>
    <w:rsid w:val="08C97472"/>
    <w:rsid w:val="08CD44CC"/>
    <w:rsid w:val="08FF26FB"/>
    <w:rsid w:val="099B68C7"/>
    <w:rsid w:val="09A419F1"/>
    <w:rsid w:val="0A665632"/>
    <w:rsid w:val="0AA03A6A"/>
    <w:rsid w:val="0B436330"/>
    <w:rsid w:val="0D464D9C"/>
    <w:rsid w:val="0E061ED9"/>
    <w:rsid w:val="0E537D4A"/>
    <w:rsid w:val="0E924011"/>
    <w:rsid w:val="0EB607F6"/>
    <w:rsid w:val="0EBC1367"/>
    <w:rsid w:val="0ED84277"/>
    <w:rsid w:val="0F352B76"/>
    <w:rsid w:val="0FA607A8"/>
    <w:rsid w:val="101C5336"/>
    <w:rsid w:val="10617B23"/>
    <w:rsid w:val="107F0B8D"/>
    <w:rsid w:val="124F64A1"/>
    <w:rsid w:val="129F4311"/>
    <w:rsid w:val="12F817F5"/>
    <w:rsid w:val="1337349D"/>
    <w:rsid w:val="134A3724"/>
    <w:rsid w:val="137D00E9"/>
    <w:rsid w:val="13963C5C"/>
    <w:rsid w:val="13C44C6D"/>
    <w:rsid w:val="140136B7"/>
    <w:rsid w:val="1468384A"/>
    <w:rsid w:val="154A3236"/>
    <w:rsid w:val="158C796B"/>
    <w:rsid w:val="15A45026"/>
    <w:rsid w:val="162A1B90"/>
    <w:rsid w:val="17D86F39"/>
    <w:rsid w:val="198E5EAA"/>
    <w:rsid w:val="1A1F1582"/>
    <w:rsid w:val="1AEA6F86"/>
    <w:rsid w:val="1AF851FC"/>
    <w:rsid w:val="1C9A0458"/>
    <w:rsid w:val="1CD96995"/>
    <w:rsid w:val="1D0929F8"/>
    <w:rsid w:val="1D3456BE"/>
    <w:rsid w:val="1DAF6046"/>
    <w:rsid w:val="1E062DE4"/>
    <w:rsid w:val="1E6A6411"/>
    <w:rsid w:val="1F1D16D5"/>
    <w:rsid w:val="1F7638D9"/>
    <w:rsid w:val="20014E4A"/>
    <w:rsid w:val="207A7DA5"/>
    <w:rsid w:val="212D6CB7"/>
    <w:rsid w:val="22AD2D70"/>
    <w:rsid w:val="22B1221A"/>
    <w:rsid w:val="22B42350"/>
    <w:rsid w:val="22F56BF1"/>
    <w:rsid w:val="231E3CEC"/>
    <w:rsid w:val="232C1EE7"/>
    <w:rsid w:val="239C706C"/>
    <w:rsid w:val="23FF1005"/>
    <w:rsid w:val="24295BA6"/>
    <w:rsid w:val="24D677D3"/>
    <w:rsid w:val="255143DB"/>
    <w:rsid w:val="25822292"/>
    <w:rsid w:val="25A20B86"/>
    <w:rsid w:val="25BD4805"/>
    <w:rsid w:val="25F969F8"/>
    <w:rsid w:val="27891416"/>
    <w:rsid w:val="27AF0600"/>
    <w:rsid w:val="281F2EF5"/>
    <w:rsid w:val="283E4B96"/>
    <w:rsid w:val="28C332ED"/>
    <w:rsid w:val="28E35C02"/>
    <w:rsid w:val="28FB3492"/>
    <w:rsid w:val="290F60EE"/>
    <w:rsid w:val="293A32D8"/>
    <w:rsid w:val="29657F00"/>
    <w:rsid w:val="29B63C82"/>
    <w:rsid w:val="29C94933"/>
    <w:rsid w:val="2AC05D36"/>
    <w:rsid w:val="2B1B4372"/>
    <w:rsid w:val="2B724B56"/>
    <w:rsid w:val="2B795EE5"/>
    <w:rsid w:val="2BC90C1A"/>
    <w:rsid w:val="2C55747C"/>
    <w:rsid w:val="2C8E3C12"/>
    <w:rsid w:val="2CAE7E10"/>
    <w:rsid w:val="2CE85BD5"/>
    <w:rsid w:val="2D636E4D"/>
    <w:rsid w:val="2DAD4C25"/>
    <w:rsid w:val="2DB1273B"/>
    <w:rsid w:val="2E132CAC"/>
    <w:rsid w:val="2EC21951"/>
    <w:rsid w:val="2EEA2CEB"/>
    <w:rsid w:val="2F3333F7"/>
    <w:rsid w:val="30847806"/>
    <w:rsid w:val="30980BBB"/>
    <w:rsid w:val="30B21407"/>
    <w:rsid w:val="30C17AAE"/>
    <w:rsid w:val="30DB1B55"/>
    <w:rsid w:val="318949A1"/>
    <w:rsid w:val="32584AA6"/>
    <w:rsid w:val="32C57C62"/>
    <w:rsid w:val="32E26A66"/>
    <w:rsid w:val="330E1609"/>
    <w:rsid w:val="342C2B24"/>
    <w:rsid w:val="34595660"/>
    <w:rsid w:val="34657462"/>
    <w:rsid w:val="35410BA6"/>
    <w:rsid w:val="367D7F23"/>
    <w:rsid w:val="36BF0C3B"/>
    <w:rsid w:val="376E7BF5"/>
    <w:rsid w:val="377759CE"/>
    <w:rsid w:val="37AC1BBE"/>
    <w:rsid w:val="37C8622A"/>
    <w:rsid w:val="3A06303A"/>
    <w:rsid w:val="3A0F04FD"/>
    <w:rsid w:val="3A914FF9"/>
    <w:rsid w:val="3AD153F6"/>
    <w:rsid w:val="3AD66EB0"/>
    <w:rsid w:val="3B732951"/>
    <w:rsid w:val="3C305ED8"/>
    <w:rsid w:val="3CB11B5A"/>
    <w:rsid w:val="3CCF005B"/>
    <w:rsid w:val="3DAC5CA6"/>
    <w:rsid w:val="3E3A0EB7"/>
    <w:rsid w:val="3EDE4585"/>
    <w:rsid w:val="3F1537E2"/>
    <w:rsid w:val="3F2F48E2"/>
    <w:rsid w:val="3F370D27"/>
    <w:rsid w:val="3FC36380"/>
    <w:rsid w:val="3FCF4A8E"/>
    <w:rsid w:val="3FDA2F9E"/>
    <w:rsid w:val="4004001B"/>
    <w:rsid w:val="4019602A"/>
    <w:rsid w:val="40C1415E"/>
    <w:rsid w:val="41232723"/>
    <w:rsid w:val="420662CD"/>
    <w:rsid w:val="421519C8"/>
    <w:rsid w:val="43607C5E"/>
    <w:rsid w:val="43860D47"/>
    <w:rsid w:val="43F403A7"/>
    <w:rsid w:val="44DC5472"/>
    <w:rsid w:val="4528655A"/>
    <w:rsid w:val="45707244"/>
    <w:rsid w:val="46753A21"/>
    <w:rsid w:val="468E71DB"/>
    <w:rsid w:val="46A47E62"/>
    <w:rsid w:val="47423B44"/>
    <w:rsid w:val="478E6F47"/>
    <w:rsid w:val="48164D90"/>
    <w:rsid w:val="483460D0"/>
    <w:rsid w:val="4840005F"/>
    <w:rsid w:val="48BA1BBF"/>
    <w:rsid w:val="490F790E"/>
    <w:rsid w:val="4A325785"/>
    <w:rsid w:val="4AB27CAF"/>
    <w:rsid w:val="4AB61049"/>
    <w:rsid w:val="4AC72FF8"/>
    <w:rsid w:val="4B1A4B97"/>
    <w:rsid w:val="4BC16080"/>
    <w:rsid w:val="4C806C7C"/>
    <w:rsid w:val="4CEA67EB"/>
    <w:rsid w:val="4D3D2DBF"/>
    <w:rsid w:val="4DA24F34"/>
    <w:rsid w:val="4DD11D11"/>
    <w:rsid w:val="4F8042EA"/>
    <w:rsid w:val="4F94365E"/>
    <w:rsid w:val="4F9C5B1D"/>
    <w:rsid w:val="5006393C"/>
    <w:rsid w:val="503C6D48"/>
    <w:rsid w:val="50625682"/>
    <w:rsid w:val="51703763"/>
    <w:rsid w:val="51CF1D01"/>
    <w:rsid w:val="51DA565B"/>
    <w:rsid w:val="51DD691E"/>
    <w:rsid w:val="52232583"/>
    <w:rsid w:val="53285977"/>
    <w:rsid w:val="546832F7"/>
    <w:rsid w:val="54B8170F"/>
    <w:rsid w:val="55215709"/>
    <w:rsid w:val="554B32A8"/>
    <w:rsid w:val="55D532B1"/>
    <w:rsid w:val="55F54236"/>
    <w:rsid w:val="565A40BC"/>
    <w:rsid w:val="5684380C"/>
    <w:rsid w:val="56962D99"/>
    <w:rsid w:val="574D5ABC"/>
    <w:rsid w:val="57D625C6"/>
    <w:rsid w:val="58816255"/>
    <w:rsid w:val="589D0BB5"/>
    <w:rsid w:val="59570D64"/>
    <w:rsid w:val="59613991"/>
    <w:rsid w:val="59E545C2"/>
    <w:rsid w:val="59EC0167"/>
    <w:rsid w:val="5AB056BB"/>
    <w:rsid w:val="5ABD72ED"/>
    <w:rsid w:val="5BC61BBC"/>
    <w:rsid w:val="5D077594"/>
    <w:rsid w:val="5D4635A5"/>
    <w:rsid w:val="5D8B0F61"/>
    <w:rsid w:val="5DA56BD3"/>
    <w:rsid w:val="61033A30"/>
    <w:rsid w:val="61B631E2"/>
    <w:rsid w:val="61BC20F5"/>
    <w:rsid w:val="622E2AD0"/>
    <w:rsid w:val="63144FD1"/>
    <w:rsid w:val="6367429A"/>
    <w:rsid w:val="639332E1"/>
    <w:rsid w:val="639554A5"/>
    <w:rsid w:val="64D35ED3"/>
    <w:rsid w:val="64DB0A9B"/>
    <w:rsid w:val="64EF5B20"/>
    <w:rsid w:val="65095AD5"/>
    <w:rsid w:val="65312DB1"/>
    <w:rsid w:val="660D737A"/>
    <w:rsid w:val="6635067F"/>
    <w:rsid w:val="66F463D0"/>
    <w:rsid w:val="67617776"/>
    <w:rsid w:val="677D0530"/>
    <w:rsid w:val="679338AF"/>
    <w:rsid w:val="67AC671F"/>
    <w:rsid w:val="687355E3"/>
    <w:rsid w:val="68A97A41"/>
    <w:rsid w:val="68E107B3"/>
    <w:rsid w:val="69903FC9"/>
    <w:rsid w:val="69BD19C1"/>
    <w:rsid w:val="69BE6E85"/>
    <w:rsid w:val="6A2627B9"/>
    <w:rsid w:val="6A4E52F8"/>
    <w:rsid w:val="6AB60FA5"/>
    <w:rsid w:val="6AEE7819"/>
    <w:rsid w:val="6BC8789F"/>
    <w:rsid w:val="6C4909E0"/>
    <w:rsid w:val="6C613F7C"/>
    <w:rsid w:val="6C62028C"/>
    <w:rsid w:val="6DAB6738"/>
    <w:rsid w:val="6DB24CEA"/>
    <w:rsid w:val="6E096679"/>
    <w:rsid w:val="6E3269C2"/>
    <w:rsid w:val="6E691831"/>
    <w:rsid w:val="6E8300BC"/>
    <w:rsid w:val="6F173018"/>
    <w:rsid w:val="6F993A2D"/>
    <w:rsid w:val="6FBC771B"/>
    <w:rsid w:val="70D02E31"/>
    <w:rsid w:val="71351E65"/>
    <w:rsid w:val="726B668A"/>
    <w:rsid w:val="744D3038"/>
    <w:rsid w:val="74C0380A"/>
    <w:rsid w:val="759C6B9B"/>
    <w:rsid w:val="764D5DFB"/>
    <w:rsid w:val="76A43029"/>
    <w:rsid w:val="76E77774"/>
    <w:rsid w:val="773871A0"/>
    <w:rsid w:val="77763CAD"/>
    <w:rsid w:val="778B1FC3"/>
    <w:rsid w:val="782A7918"/>
    <w:rsid w:val="79BD37A5"/>
    <w:rsid w:val="79D16331"/>
    <w:rsid w:val="7A4723EC"/>
    <w:rsid w:val="7A5A025C"/>
    <w:rsid w:val="7BAD0F8C"/>
    <w:rsid w:val="7C0E12FE"/>
    <w:rsid w:val="7C223B86"/>
    <w:rsid w:val="7C694787"/>
    <w:rsid w:val="7C6B49A3"/>
    <w:rsid w:val="7C6F7FEF"/>
    <w:rsid w:val="7D8E1087"/>
    <w:rsid w:val="7DDA593C"/>
    <w:rsid w:val="7F127358"/>
    <w:rsid w:val="7F2E59FC"/>
    <w:rsid w:val="7F3B466B"/>
    <w:rsid w:val="7F4335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3"/>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3"/>
    <w:basedOn w:val="1"/>
    <w:next w:val="1"/>
    <w:link w:val="24"/>
    <w:qFormat/>
    <w:uiPriority w:val="99"/>
    <w:pPr>
      <w:keepNext/>
      <w:keepLines/>
      <w:spacing w:before="260" w:after="260" w:line="416" w:lineRule="atLeast"/>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locked/>
    <w:uiPriority w:val="99"/>
    <w:pPr>
      <w:jc w:val="left"/>
    </w:pPr>
  </w:style>
  <w:style w:type="paragraph" w:styleId="5">
    <w:name w:val="Body Text"/>
    <w:basedOn w:val="1"/>
    <w:link w:val="61"/>
    <w:semiHidden/>
    <w:unhideWhenUsed/>
    <w:qFormat/>
    <w:locked/>
    <w:uiPriority w:val="99"/>
    <w:pPr>
      <w:spacing w:after="120"/>
    </w:pPr>
  </w:style>
  <w:style w:type="paragraph" w:styleId="6">
    <w:name w:val="Body Text Indent"/>
    <w:basedOn w:val="1"/>
    <w:link w:val="25"/>
    <w:qFormat/>
    <w:uiPriority w:val="99"/>
    <w:pPr>
      <w:widowControl w:val="0"/>
      <w:snapToGrid w:val="0"/>
      <w:spacing w:before="283" w:line="560" w:lineRule="exact"/>
      <w:ind w:firstLine="510"/>
    </w:pPr>
    <w:rPr>
      <w:sz w:val="20"/>
    </w:rPr>
  </w:style>
  <w:style w:type="paragraph" w:styleId="7">
    <w:name w:val="Plain Text"/>
    <w:basedOn w:val="1"/>
    <w:link w:val="26"/>
    <w:qFormat/>
    <w:uiPriority w:val="99"/>
    <w:pPr>
      <w:widowControl w:val="0"/>
      <w:spacing w:line="240" w:lineRule="auto"/>
      <w:textAlignment w:val="auto"/>
    </w:pPr>
    <w:rPr>
      <w:rFonts w:ascii="宋体" w:hAnsi="Courier New"/>
      <w:color w:val="auto"/>
      <w:kern w:val="2"/>
    </w:rPr>
  </w:style>
  <w:style w:type="paragraph" w:styleId="8">
    <w:name w:val="Date"/>
    <w:basedOn w:val="1"/>
    <w:next w:val="1"/>
    <w:link w:val="27"/>
    <w:qFormat/>
    <w:uiPriority w:val="99"/>
    <w:pPr>
      <w:ind w:left="100" w:leftChars="2500"/>
    </w:pPr>
  </w:style>
  <w:style w:type="paragraph" w:styleId="9">
    <w:name w:val="Balloon Text"/>
    <w:basedOn w:val="1"/>
    <w:link w:val="28"/>
    <w:qFormat/>
    <w:uiPriority w:val="99"/>
    <w:pPr>
      <w:spacing w:line="240" w:lineRule="auto"/>
    </w:pPr>
    <w:rPr>
      <w:sz w:val="18"/>
      <w:szCs w:val="18"/>
    </w:rPr>
  </w:style>
  <w:style w:type="paragraph" w:styleId="10">
    <w:name w:val="footer"/>
    <w:basedOn w:val="1"/>
    <w:link w:val="29"/>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Body Text 2"/>
    <w:basedOn w:val="1"/>
    <w:link w:val="31"/>
    <w:qFormat/>
    <w:uiPriority w:val="99"/>
    <w:pPr>
      <w:spacing w:after="120" w:line="480" w:lineRule="auto"/>
    </w:pPr>
    <w:rPr>
      <w:sz w:val="20"/>
    </w:rPr>
  </w:style>
  <w:style w:type="paragraph" w:styleId="15">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6">
    <w:name w:val="Body Text First Indent"/>
    <w:basedOn w:val="5"/>
    <w:link w:val="62"/>
    <w:semiHidden/>
    <w:unhideWhenUsed/>
    <w:qFormat/>
    <w:locked/>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99"/>
    <w:rPr>
      <w:rFonts w:cs="Times New Roman"/>
      <w:b/>
    </w:rPr>
  </w:style>
  <w:style w:type="character" w:styleId="21">
    <w:name w:val="page number"/>
    <w:qFormat/>
    <w:uiPriority w:val="99"/>
    <w:rPr>
      <w:rFonts w:cs="Times New Roman"/>
    </w:rPr>
  </w:style>
  <w:style w:type="character" w:styleId="22">
    <w:name w:val="Hyperlink"/>
    <w:basedOn w:val="19"/>
    <w:qFormat/>
    <w:uiPriority w:val="99"/>
    <w:rPr>
      <w:rFonts w:cs="Times New Roman"/>
      <w:color w:val="0368A8"/>
      <w:u w:val="none"/>
    </w:rPr>
  </w:style>
  <w:style w:type="character" w:customStyle="1" w:styleId="23">
    <w:name w:val="标题 1 Char"/>
    <w:link w:val="2"/>
    <w:qFormat/>
    <w:locked/>
    <w:uiPriority w:val="99"/>
    <w:rPr>
      <w:rFonts w:cs="Times New Roman"/>
      <w:b/>
      <w:color w:val="000000"/>
      <w:kern w:val="44"/>
      <w:sz w:val="44"/>
      <w:u w:val="none" w:color="000000"/>
    </w:rPr>
  </w:style>
  <w:style w:type="character" w:customStyle="1" w:styleId="24">
    <w:name w:val="标题 3 Char"/>
    <w:link w:val="3"/>
    <w:semiHidden/>
    <w:qFormat/>
    <w:locked/>
    <w:uiPriority w:val="99"/>
    <w:rPr>
      <w:rFonts w:cs="Times New Roman"/>
      <w:b/>
      <w:color w:val="000000"/>
      <w:sz w:val="32"/>
      <w:u w:val="none" w:color="000000"/>
    </w:rPr>
  </w:style>
  <w:style w:type="character" w:customStyle="1" w:styleId="25">
    <w:name w:val="正文文本缩进 Char"/>
    <w:link w:val="6"/>
    <w:semiHidden/>
    <w:qFormat/>
    <w:locked/>
    <w:uiPriority w:val="99"/>
    <w:rPr>
      <w:rFonts w:cs="Times New Roman"/>
      <w:color w:val="000000"/>
      <w:kern w:val="0"/>
      <w:sz w:val="20"/>
      <w:u w:val="none" w:color="000000"/>
    </w:rPr>
  </w:style>
  <w:style w:type="character" w:customStyle="1" w:styleId="26">
    <w:name w:val="纯文本 Char1"/>
    <w:link w:val="7"/>
    <w:qFormat/>
    <w:locked/>
    <w:uiPriority w:val="99"/>
    <w:rPr>
      <w:rFonts w:ascii="宋体" w:hAnsi="Courier New" w:cs="Times New Roman"/>
      <w:color w:val="000000"/>
      <w:kern w:val="0"/>
      <w:sz w:val="21"/>
      <w:u w:val="none" w:color="000000"/>
    </w:rPr>
  </w:style>
  <w:style w:type="character" w:customStyle="1" w:styleId="27">
    <w:name w:val="日期 Char"/>
    <w:link w:val="8"/>
    <w:qFormat/>
    <w:locked/>
    <w:uiPriority w:val="99"/>
    <w:rPr>
      <w:rFonts w:cs="Times New Roman"/>
      <w:color w:val="000000"/>
      <w:sz w:val="21"/>
      <w:u w:val="none" w:color="000000"/>
    </w:rPr>
  </w:style>
  <w:style w:type="character" w:customStyle="1" w:styleId="28">
    <w:name w:val="批注框文本 Char"/>
    <w:link w:val="9"/>
    <w:qFormat/>
    <w:locked/>
    <w:uiPriority w:val="99"/>
    <w:rPr>
      <w:rFonts w:cs="Times New Roman"/>
      <w:color w:val="000000"/>
      <w:sz w:val="18"/>
      <w:u w:val="none" w:color="000000"/>
    </w:rPr>
  </w:style>
  <w:style w:type="character" w:customStyle="1" w:styleId="29">
    <w:name w:val="页脚 Char"/>
    <w:link w:val="10"/>
    <w:semiHidden/>
    <w:qFormat/>
    <w:locked/>
    <w:uiPriority w:val="99"/>
    <w:rPr>
      <w:rFonts w:cs="Times New Roman"/>
      <w:color w:val="000000"/>
      <w:kern w:val="0"/>
      <w:sz w:val="18"/>
      <w:u w:val="none" w:color="000000"/>
    </w:rPr>
  </w:style>
  <w:style w:type="character" w:customStyle="1" w:styleId="30">
    <w:name w:val="页眉 Char"/>
    <w:link w:val="11"/>
    <w:semiHidden/>
    <w:qFormat/>
    <w:locked/>
    <w:uiPriority w:val="99"/>
    <w:rPr>
      <w:rFonts w:cs="Times New Roman"/>
      <w:color w:val="000000"/>
      <w:kern w:val="0"/>
      <w:sz w:val="18"/>
      <w:u w:val="none" w:color="000000"/>
    </w:rPr>
  </w:style>
  <w:style w:type="character" w:customStyle="1" w:styleId="31">
    <w:name w:val="正文文本 2 Char"/>
    <w:link w:val="14"/>
    <w:semiHidden/>
    <w:qFormat/>
    <w:locked/>
    <w:uiPriority w:val="99"/>
    <w:rPr>
      <w:rFonts w:cs="Times New Roman"/>
      <w:color w:val="000000"/>
      <w:kern w:val="0"/>
      <w:sz w:val="20"/>
      <w:u w:val="none" w:color="000000"/>
    </w:rPr>
  </w:style>
  <w:style w:type="paragraph" w:customStyle="1" w:styleId="32">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3">
    <w:name w:val="章标题"/>
    <w:basedOn w:val="1"/>
    <w:next w:val="34"/>
    <w:qFormat/>
    <w:uiPriority w:val="99"/>
    <w:pPr>
      <w:spacing w:before="158" w:after="153" w:line="323" w:lineRule="atLeast"/>
      <w:jc w:val="center"/>
    </w:pPr>
    <w:rPr>
      <w:rFonts w:ascii="Arial" w:eastAsia="黑体"/>
      <w:sz w:val="31"/>
    </w:rPr>
  </w:style>
  <w:style w:type="paragraph" w:customStyle="1" w:styleId="34">
    <w:name w:val="节标题"/>
    <w:basedOn w:val="1"/>
    <w:next w:val="35"/>
    <w:qFormat/>
    <w:uiPriority w:val="99"/>
    <w:pPr>
      <w:spacing w:line="289" w:lineRule="atLeast"/>
      <w:jc w:val="center"/>
    </w:pPr>
    <w:rPr>
      <w:sz w:val="28"/>
    </w:rPr>
  </w:style>
  <w:style w:type="paragraph" w:customStyle="1" w:styleId="35">
    <w:name w:val="小节标题"/>
    <w:basedOn w:val="1"/>
    <w:next w:val="1"/>
    <w:qFormat/>
    <w:uiPriority w:val="99"/>
    <w:pPr>
      <w:spacing w:before="175" w:after="102" w:line="351" w:lineRule="atLeast"/>
    </w:pPr>
    <w:rPr>
      <w:rFonts w:eastAsia="黑体"/>
    </w:rPr>
  </w:style>
  <w:style w:type="paragraph" w:customStyle="1" w:styleId="36">
    <w:name w:val="目录2"/>
    <w:basedOn w:val="1"/>
    <w:next w:val="1"/>
    <w:qFormat/>
    <w:uiPriority w:val="99"/>
    <w:pPr>
      <w:tabs>
        <w:tab w:val="left" w:leader="dot" w:pos="8503"/>
      </w:tabs>
      <w:spacing w:line="317" w:lineRule="atLeast"/>
      <w:ind w:firstLine="209"/>
    </w:pPr>
  </w:style>
  <w:style w:type="paragraph" w:customStyle="1" w:styleId="37">
    <w:name w:val="目录4"/>
    <w:basedOn w:val="1"/>
    <w:next w:val="1"/>
    <w:qFormat/>
    <w:uiPriority w:val="99"/>
    <w:pPr>
      <w:tabs>
        <w:tab w:val="left" w:leader="dot" w:pos="8503"/>
      </w:tabs>
      <w:spacing w:line="317" w:lineRule="atLeast"/>
      <w:ind w:firstLine="629"/>
    </w:pPr>
  </w:style>
  <w:style w:type="paragraph" w:customStyle="1" w:styleId="38">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9">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0">
    <w:name w:val="目录3"/>
    <w:basedOn w:val="1"/>
    <w:next w:val="1"/>
    <w:qFormat/>
    <w:uiPriority w:val="99"/>
    <w:pPr>
      <w:tabs>
        <w:tab w:val="left" w:leader="dot" w:pos="8503"/>
      </w:tabs>
      <w:spacing w:line="317" w:lineRule="atLeast"/>
      <w:ind w:firstLine="419"/>
    </w:pPr>
  </w:style>
  <w:style w:type="paragraph" w:customStyle="1" w:styleId="41">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2">
    <w:name w:val="文章总标题"/>
    <w:basedOn w:val="1"/>
    <w:next w:val="43"/>
    <w:qFormat/>
    <w:uiPriority w:val="99"/>
    <w:pPr>
      <w:spacing w:before="566" w:after="544" w:line="566" w:lineRule="atLeast"/>
      <w:jc w:val="center"/>
    </w:pPr>
    <w:rPr>
      <w:rFonts w:ascii="Arial" w:eastAsia="黑体"/>
      <w:sz w:val="54"/>
    </w:rPr>
  </w:style>
  <w:style w:type="paragraph" w:customStyle="1" w:styleId="43">
    <w:name w:val="文章附标题"/>
    <w:basedOn w:val="1"/>
    <w:next w:val="33"/>
    <w:qFormat/>
    <w:uiPriority w:val="99"/>
    <w:pPr>
      <w:spacing w:before="187" w:after="175" w:line="374" w:lineRule="atLeast"/>
      <w:jc w:val="center"/>
    </w:pPr>
    <w:rPr>
      <w:sz w:val="36"/>
    </w:rPr>
  </w:style>
  <w:style w:type="paragraph" w:customStyle="1" w:styleId="44">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6">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7">
    <w:name w:val="WPS Plain"/>
    <w:qFormat/>
    <w:uiPriority w:val="99"/>
    <w:rPr>
      <w:rFonts w:ascii="Times New Roman" w:hAnsi="Times New Roman" w:eastAsia="宋体" w:cs="Times New Roman"/>
      <w:lang w:val="en-US" w:eastAsia="zh-CN" w:bidi="ar-SA"/>
    </w:rPr>
  </w:style>
  <w:style w:type="paragraph" w:customStyle="1" w:styleId="48">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1">
    <w:name w:val="链接"/>
    <w:qFormat/>
    <w:uiPriority w:val="99"/>
    <w:rPr>
      <w:rFonts w:ascii="Times New Roman" w:eastAsia="宋体"/>
      <w:color w:val="0000FF"/>
      <w:sz w:val="21"/>
      <w:u w:val="single" w:color="0000FF"/>
      <w:lang w:val="en-US" w:eastAsia="zh-CN"/>
    </w:rPr>
  </w:style>
  <w:style w:type="character" w:customStyle="1" w:styleId="52">
    <w:name w:val="超级链接"/>
    <w:qFormat/>
    <w:uiPriority w:val="99"/>
    <w:rPr>
      <w:rFonts w:ascii="Times New Roman" w:eastAsia="宋体"/>
      <w:color w:val="0000FF"/>
      <w:sz w:val="21"/>
      <w:u w:val="single" w:color="0000FF"/>
      <w:lang w:val="en-US" w:eastAsia="zh-CN"/>
    </w:rPr>
  </w:style>
  <w:style w:type="character" w:customStyle="1" w:styleId="53">
    <w:name w:val="param_td12"/>
    <w:qFormat/>
    <w:uiPriority w:val="99"/>
  </w:style>
  <w:style w:type="character" w:customStyle="1" w:styleId="54">
    <w:name w:val="纯文本 Char"/>
    <w:qFormat/>
    <w:locked/>
    <w:uiPriority w:val="99"/>
    <w:rPr>
      <w:rFonts w:ascii="宋体" w:hAnsi="Courier New" w:eastAsia="宋体"/>
      <w:kern w:val="2"/>
      <w:sz w:val="21"/>
      <w:lang w:val="en-US" w:eastAsia="zh-CN"/>
    </w:rPr>
  </w:style>
  <w:style w:type="character" w:customStyle="1" w:styleId="55">
    <w:name w:val="纯文本 Char Char"/>
    <w:qFormat/>
    <w:uiPriority w:val="99"/>
    <w:rPr>
      <w:rFonts w:ascii="宋体" w:hAnsi="Courier New" w:eastAsia="宋体"/>
      <w:kern w:val="2"/>
      <w:sz w:val="21"/>
      <w:lang w:val="en-US" w:eastAsia="zh-CN"/>
    </w:rPr>
  </w:style>
  <w:style w:type="character" w:customStyle="1" w:styleId="56">
    <w:name w:val="Char Char4"/>
    <w:qFormat/>
    <w:uiPriority w:val="99"/>
    <w:rPr>
      <w:rFonts w:ascii="宋体" w:eastAsia="宋体"/>
      <w:kern w:val="2"/>
      <w:sz w:val="28"/>
    </w:rPr>
  </w:style>
  <w:style w:type="character" w:customStyle="1" w:styleId="57">
    <w:name w:val="Plain Text Char1"/>
    <w:semiHidden/>
    <w:qFormat/>
    <w:locked/>
    <w:uiPriority w:val="99"/>
    <w:rPr>
      <w:rFonts w:ascii="宋体" w:hAnsi="Courier New" w:cs="Courier New"/>
      <w:color w:val="000000"/>
      <w:kern w:val="0"/>
      <w:sz w:val="21"/>
      <w:szCs w:val="21"/>
      <w:u w:val="none" w:color="000000"/>
    </w:rPr>
  </w:style>
  <w:style w:type="character" w:customStyle="1" w:styleId="58">
    <w:name w:val="15"/>
    <w:basedOn w:val="19"/>
    <w:qFormat/>
    <w:uiPriority w:val="0"/>
  </w:style>
  <w:style w:type="character" w:customStyle="1" w:styleId="59">
    <w:name w:val="样式 首行缩进:  0 字符 Char"/>
    <w:link w:val="60"/>
    <w:qFormat/>
    <w:locked/>
    <w:uiPriority w:val="0"/>
    <w:rPr>
      <w:sz w:val="24"/>
    </w:rPr>
  </w:style>
  <w:style w:type="paragraph" w:customStyle="1" w:styleId="60">
    <w:name w:val="样式 首行缩进:  0 字符"/>
    <w:basedOn w:val="1"/>
    <w:link w:val="59"/>
    <w:qFormat/>
    <w:uiPriority w:val="0"/>
    <w:pPr>
      <w:widowControl w:val="0"/>
      <w:spacing w:line="360" w:lineRule="auto"/>
      <w:ind w:firstLine="200" w:firstLineChars="200"/>
      <w:textAlignment w:val="auto"/>
    </w:pPr>
    <w:rPr>
      <w:color w:val="auto"/>
      <w:sz w:val="24"/>
    </w:rPr>
  </w:style>
  <w:style w:type="character" w:customStyle="1" w:styleId="61">
    <w:name w:val="正文文本 Char"/>
    <w:link w:val="5"/>
    <w:semiHidden/>
    <w:qFormat/>
    <w:uiPriority w:val="99"/>
    <w:rPr>
      <w:color w:val="000000"/>
      <w:sz w:val="21"/>
      <w:u w:color="000000"/>
    </w:rPr>
  </w:style>
  <w:style w:type="character" w:customStyle="1" w:styleId="62">
    <w:name w:val="正文首行缩进 Char"/>
    <w:link w:val="16"/>
    <w:semiHidden/>
    <w:qFormat/>
    <w:uiPriority w:val="99"/>
    <w:rPr>
      <w:color w:val="000000"/>
      <w:sz w:val="21"/>
      <w:u w:color="000000"/>
    </w:rPr>
  </w:style>
  <w:style w:type="paragraph" w:customStyle="1" w:styleId="63">
    <w:name w:val="正文文本 (2)"/>
    <w:basedOn w:val="1"/>
    <w:link w:val="68"/>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4">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5">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6">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7">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68">
    <w:name w:val="正文文本 (2)_"/>
    <w:link w:val="63"/>
    <w:qFormat/>
    <w:uiPriority w:val="0"/>
    <w:rPr>
      <w:rFonts w:ascii="MingLiU" w:hAnsi="MingLiU" w:eastAsia="MingLiU" w:cs="MingLiU"/>
      <w:spacing w:val="30"/>
      <w:sz w:val="30"/>
      <w:szCs w:val="30"/>
      <w:u w:color="000000"/>
      <w:shd w:val="clear" w:color="auto" w:fill="FFFFFF"/>
    </w:rPr>
  </w:style>
  <w:style w:type="paragraph" w:customStyle="1" w:styleId="69">
    <w:name w:val="Table Text"/>
    <w:basedOn w:val="1"/>
    <w:semiHidden/>
    <w:qFormat/>
    <w:uiPriority w:val="0"/>
    <w:pPr>
      <w:kinsoku w:val="0"/>
      <w:autoSpaceDE w:val="0"/>
      <w:autoSpaceDN w:val="0"/>
      <w:adjustRightInd w:val="0"/>
      <w:snapToGrid w:val="0"/>
      <w:spacing w:line="240" w:lineRule="auto"/>
      <w:jc w:val="left"/>
    </w:pPr>
    <w:rPr>
      <w:rFonts w:ascii="宋体" w:hAnsi="宋体" w:cs="宋体"/>
      <w:snapToGrid w:val="0"/>
      <w:szCs w:val="21"/>
      <w:lang w:eastAsia="en-US"/>
    </w:rPr>
  </w:style>
  <w:style w:type="paragraph" w:customStyle="1" w:styleId="70">
    <w:name w:val="Table Paragraph"/>
    <w:basedOn w:val="1"/>
    <w:qFormat/>
    <w:uiPriority w:val="0"/>
    <w:pPr>
      <w:kinsoku w:val="0"/>
      <w:autoSpaceDE w:val="0"/>
      <w:autoSpaceDN w:val="0"/>
      <w:adjustRightInd w:val="0"/>
      <w:snapToGrid w:val="0"/>
      <w:spacing w:line="240" w:lineRule="auto"/>
      <w:jc w:val="left"/>
    </w:pPr>
    <w:rPr>
      <w:rFonts w:ascii="宋体" w:hAnsi="宋体" w:eastAsia="Arial" w:cs="宋体"/>
      <w:snapToGrid w:val="0"/>
      <w:sz w:val="22"/>
      <w:szCs w:val="22"/>
      <w:lang w:val="zh-CN" w:eastAsia="en-US"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78</Pages>
  <Words>5827</Words>
  <Characters>6347</Characters>
  <Lines>374</Lines>
  <Paragraphs>105</Paragraphs>
  <TotalTime>28</TotalTime>
  <ScaleCrop>false</ScaleCrop>
  <LinksUpToDate>false</LinksUpToDate>
  <CharactersWithSpaces>6552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Administrator</cp:lastModifiedBy>
  <dcterms:modified xsi:type="dcterms:W3CDTF">2025-09-28T05:17:38Z</dcterms:modified>
  <cp:revision>405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eyJoZGlkIjoiYWViYWFjMDEyOWIxMDRiMzJjNmM0MTE3OGZjYjA0YjkiLCJ1c2VySWQiOiI0NDAyMDYzMjYifQ==</vt:lpwstr>
  </property>
  <property fmtid="{D5CDD505-2E9C-101B-9397-08002B2CF9AE}" pid="4" name="ICV">
    <vt:lpwstr>C2353F61E9534AB98E58F406EE9AC6DD_12</vt:lpwstr>
  </property>
</Properties>
</file>