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5ACA9">
      <w:pPr>
        <w:widowControl w:val="0"/>
        <w:snapToGrid w:val="0"/>
        <w:spacing w:line="560" w:lineRule="exact"/>
        <w:ind w:firstLine="241" w:firstLineChars="50"/>
        <w:rPr>
          <w:rFonts w:eastAsia="黑体"/>
          <w:b/>
          <w:color w:val="auto"/>
          <w:spacing w:val="40"/>
          <w:sz w:val="40"/>
          <w:szCs w:val="40"/>
          <w:highlight w:val="none"/>
        </w:rPr>
      </w:pPr>
    </w:p>
    <w:p w14:paraId="641D37C1">
      <w:pPr>
        <w:widowControl w:val="0"/>
        <w:snapToGrid w:val="0"/>
        <w:spacing w:line="560" w:lineRule="exact"/>
        <w:ind w:firstLine="241" w:firstLineChars="50"/>
        <w:jc w:val="center"/>
        <w:rPr>
          <w:rFonts w:eastAsia="黑体"/>
          <w:b/>
          <w:color w:val="auto"/>
          <w:spacing w:val="40"/>
          <w:sz w:val="40"/>
          <w:szCs w:val="40"/>
          <w:highlight w:val="none"/>
        </w:rPr>
      </w:pPr>
    </w:p>
    <w:p w14:paraId="0F3871D6">
      <w:pPr>
        <w:widowControl w:val="0"/>
        <w:snapToGrid w:val="0"/>
        <w:spacing w:line="560" w:lineRule="exact"/>
        <w:ind w:firstLine="241" w:firstLineChars="50"/>
        <w:jc w:val="center"/>
        <w:rPr>
          <w:rFonts w:eastAsia="黑体"/>
          <w:b/>
          <w:color w:val="auto"/>
          <w:spacing w:val="40"/>
          <w:sz w:val="40"/>
          <w:szCs w:val="40"/>
          <w:highlight w:val="none"/>
        </w:rPr>
      </w:pPr>
    </w:p>
    <w:p w14:paraId="213AB8C7">
      <w:pPr>
        <w:widowControl w:val="0"/>
        <w:snapToGrid w:val="0"/>
        <w:spacing w:line="560" w:lineRule="exact"/>
        <w:ind w:firstLine="221" w:firstLineChars="50"/>
        <w:jc w:val="center"/>
        <w:rPr>
          <w:rFonts w:ascii="黑体" w:eastAsia="黑体"/>
          <w:b/>
          <w:color w:val="auto"/>
          <w:spacing w:val="40"/>
          <w:sz w:val="44"/>
          <w:szCs w:val="44"/>
          <w:highlight w:val="none"/>
        </w:rPr>
      </w:pPr>
      <w:r>
        <w:rPr>
          <w:rFonts w:hint="eastAsia" w:ascii="黑体" w:eastAsia="黑体"/>
          <w:b/>
          <w:color w:val="auto"/>
          <w:sz w:val="44"/>
          <w:szCs w:val="44"/>
          <w:highlight w:val="none"/>
        </w:rPr>
        <w:t>安阳市自然资源和规划局安阳市城市更新专项规划项目</w:t>
      </w:r>
    </w:p>
    <w:p w14:paraId="62A3E092">
      <w:pPr>
        <w:widowControl w:val="0"/>
        <w:snapToGrid w:val="0"/>
        <w:spacing w:line="560" w:lineRule="exact"/>
        <w:ind w:firstLine="261" w:firstLineChars="50"/>
        <w:jc w:val="center"/>
        <w:rPr>
          <w:rFonts w:ascii="黑体" w:eastAsia="黑体"/>
          <w:b/>
          <w:color w:val="auto"/>
          <w:spacing w:val="40"/>
          <w:sz w:val="44"/>
          <w:szCs w:val="44"/>
          <w:highlight w:val="none"/>
        </w:rPr>
      </w:pPr>
    </w:p>
    <w:p w14:paraId="47F58FCE">
      <w:pPr>
        <w:widowControl w:val="0"/>
        <w:snapToGrid w:val="0"/>
        <w:spacing w:before="240" w:beforeLines="100" w:line="560" w:lineRule="exact"/>
        <w:jc w:val="center"/>
        <w:rPr>
          <w:rFonts w:eastAsia="黑体"/>
          <w:b/>
          <w:color w:val="auto"/>
          <w:sz w:val="44"/>
          <w:highlight w:val="none"/>
        </w:rPr>
      </w:pPr>
    </w:p>
    <w:p w14:paraId="24DDE225">
      <w:pPr>
        <w:widowControl w:val="0"/>
        <w:snapToGrid w:val="0"/>
        <w:spacing w:before="240" w:beforeLines="100" w:line="240" w:lineRule="auto"/>
        <w:jc w:val="center"/>
        <w:rPr>
          <w:rFonts w:eastAsia="黑体"/>
          <w:b/>
          <w:color w:val="auto"/>
          <w:sz w:val="44"/>
          <w:highlight w:val="none"/>
        </w:rPr>
      </w:pPr>
    </w:p>
    <w:p w14:paraId="2243BBED">
      <w:pPr>
        <w:widowControl w:val="0"/>
        <w:snapToGrid w:val="0"/>
        <w:spacing w:before="240" w:beforeLines="100" w:line="240" w:lineRule="auto"/>
        <w:jc w:val="center"/>
        <w:rPr>
          <w:rFonts w:eastAsia="黑体"/>
          <w:b/>
          <w:color w:val="auto"/>
          <w:sz w:val="44"/>
          <w:highlight w:val="none"/>
        </w:rPr>
      </w:pPr>
    </w:p>
    <w:p w14:paraId="68B34151">
      <w:pPr>
        <w:widowControl w:val="0"/>
        <w:snapToGrid w:val="0"/>
        <w:spacing w:before="240" w:beforeLines="100" w:line="240" w:lineRule="auto"/>
        <w:jc w:val="center"/>
        <w:rPr>
          <w:rFonts w:ascii="华文新魏" w:hAnsi="微软雅黑" w:eastAsia="华文新魏"/>
          <w:b/>
          <w:color w:val="auto"/>
          <w:sz w:val="116"/>
          <w:szCs w:val="116"/>
          <w:highlight w:val="none"/>
        </w:rPr>
      </w:pPr>
      <w:r>
        <w:rPr>
          <w:rFonts w:hint="eastAsia" w:ascii="华文新魏" w:hAnsi="微软雅黑" w:eastAsia="华文新魏"/>
          <w:b/>
          <w:color w:val="auto"/>
          <w:sz w:val="116"/>
          <w:szCs w:val="116"/>
          <w:highlight w:val="none"/>
        </w:rPr>
        <w:t>招</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标</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文</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件</w:t>
      </w:r>
    </w:p>
    <w:p w14:paraId="3641746C">
      <w:pPr>
        <w:widowControl w:val="0"/>
        <w:snapToGrid w:val="0"/>
        <w:spacing w:before="240" w:beforeLines="100" w:line="560" w:lineRule="exact"/>
        <w:jc w:val="center"/>
        <w:rPr>
          <w:rFonts w:ascii="宋体" w:hAnsi="宋体"/>
          <w:color w:val="auto"/>
          <w:sz w:val="32"/>
          <w:szCs w:val="32"/>
          <w:highlight w:val="none"/>
        </w:rPr>
      </w:pPr>
      <w:r>
        <w:rPr>
          <w:rFonts w:hint="eastAsia" w:ascii="宋体" w:hAnsi="宋体"/>
          <w:color w:val="auto"/>
          <w:sz w:val="32"/>
          <w:szCs w:val="32"/>
          <w:highlight w:val="none"/>
        </w:rPr>
        <w:t xml:space="preserve">项目编号：安财招标采购-2024-57 </w:t>
      </w:r>
    </w:p>
    <w:p w14:paraId="79879A2C">
      <w:pPr>
        <w:widowControl w:val="0"/>
        <w:snapToGrid w:val="0"/>
        <w:spacing w:before="240" w:beforeLines="100" w:line="560" w:lineRule="exact"/>
        <w:jc w:val="center"/>
        <w:rPr>
          <w:rFonts w:eastAsia="黑体"/>
          <w:b/>
          <w:color w:val="auto"/>
          <w:sz w:val="44"/>
          <w:highlight w:val="none"/>
        </w:rPr>
      </w:pPr>
    </w:p>
    <w:p w14:paraId="5DA92DD5">
      <w:pPr>
        <w:widowControl w:val="0"/>
        <w:snapToGrid w:val="0"/>
        <w:spacing w:before="240" w:beforeLines="100" w:line="560" w:lineRule="exact"/>
        <w:jc w:val="center"/>
        <w:rPr>
          <w:rFonts w:eastAsia="黑体"/>
          <w:b/>
          <w:color w:val="auto"/>
          <w:sz w:val="44"/>
          <w:highlight w:val="none"/>
        </w:rPr>
      </w:pPr>
    </w:p>
    <w:p w14:paraId="4329D4D5">
      <w:pPr>
        <w:widowControl w:val="0"/>
        <w:snapToGrid w:val="0"/>
        <w:spacing w:before="240" w:beforeLines="100" w:line="560" w:lineRule="exact"/>
        <w:rPr>
          <w:rFonts w:eastAsia="黑体"/>
          <w:b/>
          <w:color w:val="auto"/>
          <w:sz w:val="44"/>
          <w:highlight w:val="none"/>
        </w:rPr>
      </w:pPr>
    </w:p>
    <w:p w14:paraId="3D289608">
      <w:pPr>
        <w:widowControl w:val="0"/>
        <w:snapToGrid w:val="0"/>
        <w:spacing w:before="240" w:beforeLines="100" w:line="560" w:lineRule="exact"/>
        <w:rPr>
          <w:rFonts w:eastAsia="黑体"/>
          <w:b/>
          <w:color w:val="auto"/>
          <w:sz w:val="44"/>
          <w:highlight w:val="none"/>
        </w:rPr>
      </w:pPr>
    </w:p>
    <w:p w14:paraId="1D7ED5DD">
      <w:pPr>
        <w:widowControl w:val="0"/>
        <w:snapToGrid w:val="0"/>
        <w:spacing w:line="660" w:lineRule="exact"/>
        <w:ind w:firstLine="540" w:firstLineChars="168"/>
        <w:rPr>
          <w:rFonts w:ascii="黑体" w:hAnsi="黑体" w:eastAsia="黑体"/>
          <w:b/>
          <w:color w:val="auto"/>
          <w:sz w:val="32"/>
          <w:szCs w:val="32"/>
          <w:highlight w:val="none"/>
        </w:rPr>
      </w:pPr>
      <w:r>
        <w:rPr>
          <w:rFonts w:hint="eastAsia" w:ascii="黑体" w:hAnsi="黑体" w:eastAsia="黑体"/>
          <w:b/>
          <w:color w:val="auto"/>
          <w:sz w:val="32"/>
          <w:szCs w:val="32"/>
          <w:highlight w:val="none"/>
        </w:rPr>
        <w:t>采购人：安阳市自然资源和规划局</w:t>
      </w:r>
    </w:p>
    <w:p w14:paraId="671264B7">
      <w:pPr>
        <w:widowControl w:val="0"/>
        <w:snapToGrid w:val="0"/>
        <w:spacing w:line="660" w:lineRule="exact"/>
        <w:ind w:firstLine="540" w:firstLineChars="168"/>
        <w:rPr>
          <w:rFonts w:ascii="黑体" w:hAnsi="黑体" w:eastAsia="黑体"/>
          <w:b/>
          <w:color w:val="auto"/>
          <w:sz w:val="32"/>
          <w:szCs w:val="32"/>
          <w:highlight w:val="none"/>
        </w:rPr>
        <w:sectPr>
          <w:footerReference r:id="rId8" w:type="first"/>
          <w:headerReference r:id="rId5" w:type="default"/>
          <w:footerReference r:id="rId6" w:type="default"/>
          <w:footerReference r:id="rId7" w:type="even"/>
          <w:pgSz w:w="11905" w:h="16837"/>
          <w:pgMar w:top="1418" w:right="1106" w:bottom="1418" w:left="1418" w:header="567" w:footer="567" w:gutter="0"/>
          <w:pgNumType w:fmt="numberInDash" w:start="0"/>
          <w:cols w:space="720" w:num="1"/>
          <w:titlePg/>
        </w:sectPr>
      </w:pPr>
      <w:r>
        <w:rPr>
          <w:rFonts w:hint="eastAsia" w:ascii="黑体" w:hAnsi="黑体" w:eastAsia="黑体"/>
          <w:b/>
          <w:color w:val="auto"/>
          <w:sz w:val="32"/>
          <w:szCs w:val="32"/>
          <w:highlight w:val="none"/>
        </w:rPr>
        <w:t>代理机构：安阳市方正招标采购服务有限责任公司</w:t>
      </w:r>
    </w:p>
    <w:p w14:paraId="15CA3CD4">
      <w:pPr>
        <w:widowControl w:val="0"/>
        <w:snapToGrid w:val="0"/>
        <w:spacing w:line="660" w:lineRule="exact"/>
        <w:rPr>
          <w:rFonts w:ascii="黑体" w:hAnsi="黑体" w:eastAsia="黑体"/>
          <w:b/>
          <w:color w:val="auto"/>
          <w:sz w:val="36"/>
          <w:szCs w:val="36"/>
          <w:highlight w:val="none"/>
        </w:rPr>
      </w:pPr>
    </w:p>
    <w:p w14:paraId="35704773">
      <w:pPr>
        <w:pStyle w:val="54"/>
        <w:jc w:val="center"/>
        <w:rPr>
          <w:rFonts w:ascii="黑体" w:hAnsi="黑体" w:eastAsia="黑体"/>
          <w:color w:val="auto"/>
          <w:sz w:val="36"/>
          <w:szCs w:val="36"/>
          <w:highlight w:val="none"/>
          <w:lang w:val="zh-CN"/>
        </w:rPr>
      </w:pPr>
      <w:r>
        <w:rPr>
          <w:rFonts w:hint="eastAsia" w:ascii="黑体" w:hAnsi="黑体" w:eastAsia="黑体"/>
          <w:color w:val="auto"/>
          <w:sz w:val="36"/>
          <w:szCs w:val="36"/>
          <w:highlight w:val="none"/>
          <w:lang w:val="zh-CN"/>
        </w:rPr>
        <w:t>目</w:t>
      </w:r>
      <w:r>
        <w:rPr>
          <w:rFonts w:ascii="黑体" w:hAnsi="黑体" w:eastAsia="黑体"/>
          <w:color w:val="auto"/>
          <w:sz w:val="36"/>
          <w:szCs w:val="36"/>
          <w:highlight w:val="none"/>
          <w:lang w:val="zh-CN"/>
        </w:rPr>
        <w:t xml:space="preserve"> </w:t>
      </w:r>
      <w:r>
        <w:rPr>
          <w:rFonts w:hint="eastAsia" w:ascii="黑体" w:hAnsi="黑体" w:eastAsia="黑体"/>
          <w:color w:val="auto"/>
          <w:sz w:val="36"/>
          <w:szCs w:val="36"/>
          <w:highlight w:val="none"/>
          <w:lang w:val="zh-CN"/>
        </w:rPr>
        <w:t>录</w:t>
      </w:r>
    </w:p>
    <w:p w14:paraId="2AA1C851">
      <w:pPr>
        <w:pStyle w:val="12"/>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"_Toc169770928" </w:instrText>
      </w:r>
      <w:r>
        <w:rPr>
          <w:color w:val="auto"/>
          <w:highlight w:val="none"/>
        </w:rPr>
        <w:fldChar w:fldCharType="separate"/>
      </w:r>
      <w:r>
        <w:rPr>
          <w:rStyle w:val="23"/>
          <w:rFonts w:hint="eastAsia" w:eastAsia="黑体"/>
          <w:b/>
          <w:color w:val="auto"/>
          <w:highlight w:val="none"/>
        </w:rPr>
        <w:t>第一章</w:t>
      </w:r>
      <w:r>
        <w:rPr>
          <w:rStyle w:val="23"/>
          <w:rFonts w:eastAsia="黑体"/>
          <w:b/>
          <w:color w:val="auto"/>
          <w:highlight w:val="none"/>
        </w:rPr>
        <w:t xml:space="preserve">  </w:t>
      </w:r>
      <w:r>
        <w:rPr>
          <w:rStyle w:val="23"/>
          <w:rFonts w:hint="eastAsia" w:eastAsia="黑体"/>
          <w:b/>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_Toc169770928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07CED6DA">
      <w:pPr>
        <w:pStyle w:val="12"/>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"_Toc169770929" </w:instrText>
      </w:r>
      <w:r>
        <w:rPr>
          <w:color w:val="auto"/>
          <w:highlight w:val="none"/>
        </w:rPr>
        <w:fldChar w:fldCharType="separate"/>
      </w:r>
      <w:r>
        <w:rPr>
          <w:rStyle w:val="23"/>
          <w:rFonts w:hint="eastAsia" w:eastAsia="黑体"/>
          <w:b/>
          <w:color w:val="auto"/>
          <w:highlight w:val="none"/>
        </w:rPr>
        <w:t>第二章</w:t>
      </w:r>
      <w:r>
        <w:rPr>
          <w:rStyle w:val="23"/>
          <w:rFonts w:eastAsia="黑体"/>
          <w:b/>
          <w:color w:val="auto"/>
          <w:highlight w:val="none"/>
        </w:rPr>
        <w:t xml:space="preserve">  </w:t>
      </w:r>
      <w:r>
        <w:rPr>
          <w:rStyle w:val="23"/>
          <w:rFonts w:hint="eastAsia" w:eastAsia="黑体"/>
          <w:b/>
          <w:color w:val="auto"/>
          <w:highlight w:val="none"/>
        </w:rPr>
        <w:t>招标项目要求及采购需求</w:t>
      </w:r>
      <w:r>
        <w:rPr>
          <w:color w:val="auto"/>
          <w:highlight w:val="none"/>
        </w:rPr>
        <w:tab/>
      </w:r>
      <w:r>
        <w:rPr>
          <w:color w:val="auto"/>
          <w:highlight w:val="none"/>
        </w:rPr>
        <w:fldChar w:fldCharType="begin"/>
      </w:r>
      <w:r>
        <w:rPr>
          <w:color w:val="auto"/>
          <w:highlight w:val="none"/>
        </w:rPr>
        <w:instrText xml:space="preserve"> PAGEREF _Toc169770929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3105D120">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"_Toc169770930" </w:instrText>
      </w:r>
      <w:r>
        <w:rPr>
          <w:color w:val="auto"/>
          <w:highlight w:val="none"/>
        </w:rPr>
        <w:fldChar w:fldCharType="separate"/>
      </w:r>
      <w:r>
        <w:rPr>
          <w:rStyle w:val="23"/>
          <w:rFonts w:ascii="黑体" w:hAnsi="黑体" w:eastAsia="黑体"/>
          <w:b/>
          <w:color w:val="auto"/>
          <w:highlight w:val="none"/>
        </w:rPr>
        <w:t xml:space="preserve">1. </w:t>
      </w:r>
      <w:r>
        <w:rPr>
          <w:rStyle w:val="23"/>
          <w:rFonts w:hint="eastAsia" w:ascii="黑体" w:hAnsi="黑体" w:eastAsia="黑体"/>
          <w:b/>
          <w:color w:val="auto"/>
          <w:highlight w:val="none"/>
        </w:rPr>
        <w:t>招标项目、标段（包）划分、投标报价</w:t>
      </w:r>
      <w:r>
        <w:rPr>
          <w:color w:val="auto"/>
          <w:highlight w:val="none"/>
        </w:rPr>
        <w:tab/>
      </w:r>
      <w:r>
        <w:rPr>
          <w:color w:val="auto"/>
          <w:highlight w:val="none"/>
        </w:rPr>
        <w:fldChar w:fldCharType="begin"/>
      </w:r>
      <w:r>
        <w:rPr>
          <w:color w:val="auto"/>
          <w:highlight w:val="none"/>
        </w:rPr>
        <w:instrText xml:space="preserve"> PAGEREF _Toc169770930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5FA149C8">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"_Toc169770931" </w:instrText>
      </w:r>
      <w:r>
        <w:rPr>
          <w:color w:val="auto"/>
          <w:highlight w:val="none"/>
        </w:rPr>
        <w:fldChar w:fldCharType="separate"/>
      </w:r>
      <w:r>
        <w:rPr>
          <w:rStyle w:val="23"/>
          <w:rFonts w:ascii="黑体" w:hAnsi="黑体" w:eastAsia="黑体"/>
          <w:b/>
          <w:color w:val="auto"/>
          <w:highlight w:val="none"/>
        </w:rPr>
        <w:t xml:space="preserve">2. </w:t>
      </w:r>
      <w:r>
        <w:rPr>
          <w:rStyle w:val="23"/>
          <w:rFonts w:hint="eastAsia" w:ascii="黑体" w:hAnsi="黑体" w:eastAsia="黑体"/>
          <w:b/>
          <w:color w:val="auto"/>
          <w:highlight w:val="none"/>
        </w:rPr>
        <w:t>标段（包）内容（范围）及具体采购需求</w:t>
      </w:r>
      <w:r>
        <w:rPr>
          <w:color w:val="auto"/>
          <w:highlight w:val="none"/>
        </w:rPr>
        <w:tab/>
      </w:r>
      <w:r>
        <w:rPr>
          <w:color w:val="auto"/>
          <w:highlight w:val="none"/>
        </w:rPr>
        <w:fldChar w:fldCharType="begin"/>
      </w:r>
      <w:r>
        <w:rPr>
          <w:color w:val="auto"/>
          <w:highlight w:val="none"/>
        </w:rPr>
        <w:instrText xml:space="preserve"> PAGEREF _Toc169770931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6824D75F">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"_Toc169770932" </w:instrText>
      </w:r>
      <w:r>
        <w:rPr>
          <w:color w:val="auto"/>
          <w:highlight w:val="none"/>
        </w:rPr>
        <w:fldChar w:fldCharType="separate"/>
      </w:r>
      <w:r>
        <w:rPr>
          <w:rStyle w:val="23"/>
          <w:rFonts w:ascii="黑体" w:hAnsi="黑体" w:eastAsia="黑体"/>
          <w:b/>
          <w:color w:val="auto"/>
          <w:highlight w:val="none"/>
        </w:rPr>
        <w:t xml:space="preserve">3. </w:t>
      </w:r>
      <w:r>
        <w:rPr>
          <w:rStyle w:val="23"/>
          <w:rFonts w:hint="eastAsia" w:ascii="黑体" w:hAnsi="黑体" w:eastAsia="黑体"/>
          <w:b/>
          <w:color w:val="auto"/>
          <w:highlight w:val="none"/>
        </w:rPr>
        <w:t>项目其他要求</w:t>
      </w:r>
      <w:r>
        <w:rPr>
          <w:color w:val="auto"/>
          <w:highlight w:val="none"/>
        </w:rPr>
        <w:tab/>
      </w:r>
      <w:r>
        <w:rPr>
          <w:color w:val="auto"/>
          <w:highlight w:val="none"/>
        </w:rPr>
        <w:fldChar w:fldCharType="begin"/>
      </w:r>
      <w:r>
        <w:rPr>
          <w:color w:val="auto"/>
          <w:highlight w:val="none"/>
        </w:rPr>
        <w:instrText xml:space="preserve"> PAGEREF _Toc169770932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3ADE5739">
      <w:pPr>
        <w:pStyle w:val="12"/>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"_Toc169770933" </w:instrText>
      </w:r>
      <w:r>
        <w:rPr>
          <w:color w:val="auto"/>
          <w:highlight w:val="none"/>
        </w:rPr>
        <w:fldChar w:fldCharType="separate"/>
      </w:r>
      <w:r>
        <w:rPr>
          <w:rStyle w:val="23"/>
          <w:rFonts w:hint="eastAsia" w:eastAsia="黑体"/>
          <w:b/>
          <w:color w:val="auto"/>
          <w:highlight w:val="none"/>
        </w:rPr>
        <w:t>第三章</w:t>
      </w:r>
      <w:r>
        <w:rPr>
          <w:rStyle w:val="23"/>
          <w:rFonts w:eastAsia="黑体"/>
          <w:b/>
          <w:color w:val="auto"/>
          <w:highlight w:val="none"/>
        </w:rPr>
        <w:t xml:space="preserve">  </w:t>
      </w:r>
      <w:r>
        <w:rPr>
          <w:rStyle w:val="23"/>
          <w:rFonts w:hint="eastAsia" w:eastAsia="黑体"/>
          <w:b/>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_Toc169770933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14:paraId="23A63116">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"_Toc169770934" </w:instrText>
      </w:r>
      <w:r>
        <w:rPr>
          <w:color w:val="auto"/>
          <w:highlight w:val="none"/>
        </w:rPr>
        <w:fldChar w:fldCharType="separate"/>
      </w:r>
      <w:r>
        <w:rPr>
          <w:rStyle w:val="23"/>
          <w:rFonts w:hint="eastAsia" w:eastAsia="黑体"/>
          <w:b/>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_Toc169770934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14:paraId="6C31458B">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"_Toc169770935" </w:instrText>
      </w:r>
      <w:r>
        <w:rPr>
          <w:color w:val="auto"/>
          <w:highlight w:val="none"/>
        </w:rPr>
        <w:fldChar w:fldCharType="separate"/>
      </w:r>
      <w:r>
        <w:rPr>
          <w:rStyle w:val="23"/>
          <w:rFonts w:ascii="黑体" w:hAnsi="黑体" w:eastAsia="黑体" w:cs="楷体_GB2312"/>
          <w:b/>
          <w:bCs/>
          <w:color w:val="auto"/>
          <w:highlight w:val="none"/>
          <w:lang w:val="zh-CN"/>
        </w:rPr>
        <w:t xml:space="preserve">1 </w:t>
      </w:r>
      <w:r>
        <w:rPr>
          <w:rStyle w:val="23"/>
          <w:rFonts w:hint="eastAsia" w:ascii="黑体" w:hAnsi="黑体" w:eastAsia="黑体" w:cs="楷体_GB2312"/>
          <w:b/>
          <w:bCs/>
          <w:color w:val="auto"/>
          <w:highlight w:val="none"/>
          <w:lang w:val="zh-CN"/>
        </w:rPr>
        <w:t>总则</w:t>
      </w:r>
      <w:r>
        <w:rPr>
          <w:color w:val="auto"/>
          <w:highlight w:val="none"/>
        </w:rPr>
        <w:tab/>
      </w:r>
      <w:r>
        <w:rPr>
          <w:color w:val="auto"/>
          <w:highlight w:val="none"/>
        </w:rPr>
        <w:fldChar w:fldCharType="begin"/>
      </w:r>
      <w:r>
        <w:rPr>
          <w:color w:val="auto"/>
          <w:highlight w:val="none"/>
        </w:rPr>
        <w:instrText xml:space="preserve"> PAGEREF _Toc169770935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7DA75C4F">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"_Toc169770936" </w:instrText>
      </w:r>
      <w:r>
        <w:rPr>
          <w:color w:val="auto"/>
          <w:highlight w:val="none"/>
        </w:rPr>
        <w:fldChar w:fldCharType="separate"/>
      </w:r>
      <w:r>
        <w:rPr>
          <w:rStyle w:val="23"/>
          <w:rFonts w:ascii="黑体" w:hAnsi="黑体" w:eastAsia="黑体" w:cs="楷体_GB2312"/>
          <w:b/>
          <w:bCs/>
          <w:color w:val="auto"/>
          <w:highlight w:val="none"/>
          <w:lang w:val="zh-CN"/>
        </w:rPr>
        <w:t xml:space="preserve">2 </w:t>
      </w:r>
      <w:r>
        <w:rPr>
          <w:rStyle w:val="23"/>
          <w:rFonts w:hint="eastAsia" w:ascii="黑体" w:hAnsi="黑体" w:eastAsia="黑体" w:cs="楷体_GB2312"/>
          <w:b/>
          <w:bCs/>
          <w:color w:val="auto"/>
          <w:highlight w:val="none"/>
          <w:lang w:val="zh-CN"/>
        </w:rPr>
        <w:t>招标文件</w:t>
      </w:r>
      <w:r>
        <w:rPr>
          <w:color w:val="auto"/>
          <w:highlight w:val="none"/>
        </w:rPr>
        <w:tab/>
      </w:r>
      <w:r>
        <w:rPr>
          <w:color w:val="auto"/>
          <w:highlight w:val="none"/>
        </w:rPr>
        <w:fldChar w:fldCharType="begin"/>
      </w:r>
      <w:r>
        <w:rPr>
          <w:color w:val="auto"/>
          <w:highlight w:val="none"/>
        </w:rPr>
        <w:instrText xml:space="preserve"> PAGEREF _Toc169770936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0FB0200D">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"_Toc169770937" </w:instrText>
      </w:r>
      <w:r>
        <w:rPr>
          <w:color w:val="auto"/>
          <w:highlight w:val="none"/>
        </w:rPr>
        <w:fldChar w:fldCharType="separate"/>
      </w:r>
      <w:r>
        <w:rPr>
          <w:rStyle w:val="23"/>
          <w:rFonts w:ascii="黑体" w:hAnsi="黑体" w:eastAsia="黑体" w:cs="楷体_GB2312"/>
          <w:b/>
          <w:bCs/>
          <w:color w:val="auto"/>
          <w:highlight w:val="none"/>
          <w:lang w:val="zh-CN"/>
        </w:rPr>
        <w:t xml:space="preserve">3 </w:t>
      </w:r>
      <w:r>
        <w:rPr>
          <w:rStyle w:val="23"/>
          <w:rFonts w:hint="eastAsia" w:ascii="黑体" w:hAnsi="黑体" w:eastAsia="黑体" w:cs="楷体_GB2312"/>
          <w:b/>
          <w:bCs/>
          <w:color w:val="auto"/>
          <w:highlight w:val="none"/>
          <w:lang w:val="zh-CN"/>
        </w:rPr>
        <w:t>投标文件</w:t>
      </w:r>
      <w:r>
        <w:rPr>
          <w:color w:val="auto"/>
          <w:highlight w:val="none"/>
        </w:rPr>
        <w:tab/>
      </w:r>
      <w:r>
        <w:rPr>
          <w:color w:val="auto"/>
          <w:highlight w:val="none"/>
        </w:rPr>
        <w:fldChar w:fldCharType="begin"/>
      </w:r>
      <w:r>
        <w:rPr>
          <w:color w:val="auto"/>
          <w:highlight w:val="none"/>
        </w:rPr>
        <w:instrText xml:space="preserve"> PAGEREF _Toc169770937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3CC095E9">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"_Toc169770938" </w:instrText>
      </w:r>
      <w:r>
        <w:rPr>
          <w:color w:val="auto"/>
          <w:highlight w:val="none"/>
        </w:rPr>
        <w:fldChar w:fldCharType="separate"/>
      </w:r>
      <w:r>
        <w:rPr>
          <w:rStyle w:val="23"/>
          <w:rFonts w:ascii="黑体" w:hAnsi="黑体" w:eastAsia="黑体" w:cs="楷体_GB2312"/>
          <w:b/>
          <w:bCs/>
          <w:color w:val="auto"/>
          <w:highlight w:val="none"/>
          <w:lang w:val="zh-CN"/>
        </w:rPr>
        <w:t xml:space="preserve">4 </w:t>
      </w:r>
      <w:r>
        <w:rPr>
          <w:rStyle w:val="23"/>
          <w:rFonts w:hint="eastAsia" w:ascii="黑体" w:hAnsi="黑体" w:eastAsia="黑体" w:cs="楷体_GB2312"/>
          <w:b/>
          <w:bCs/>
          <w:color w:val="auto"/>
          <w:highlight w:val="none"/>
          <w:lang w:val="zh-CN"/>
        </w:rPr>
        <w:t>投标</w:t>
      </w:r>
      <w:r>
        <w:rPr>
          <w:color w:val="auto"/>
          <w:highlight w:val="none"/>
        </w:rPr>
        <w:tab/>
      </w:r>
      <w:r>
        <w:rPr>
          <w:color w:val="auto"/>
          <w:highlight w:val="none"/>
        </w:rPr>
        <w:fldChar w:fldCharType="begin"/>
      </w:r>
      <w:r>
        <w:rPr>
          <w:color w:val="auto"/>
          <w:highlight w:val="none"/>
        </w:rPr>
        <w:instrText xml:space="preserve"> PAGEREF _Toc169770938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C9C375E">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"_Toc169770939" </w:instrText>
      </w:r>
      <w:r>
        <w:rPr>
          <w:color w:val="auto"/>
          <w:highlight w:val="none"/>
        </w:rPr>
        <w:fldChar w:fldCharType="separate"/>
      </w:r>
      <w:r>
        <w:rPr>
          <w:rStyle w:val="23"/>
          <w:rFonts w:ascii="黑体" w:hAnsi="黑体" w:eastAsia="黑体" w:cs="楷体_GB2312"/>
          <w:b/>
          <w:bCs/>
          <w:color w:val="auto"/>
          <w:highlight w:val="none"/>
          <w:lang w:val="zh-CN"/>
        </w:rPr>
        <w:t xml:space="preserve">5 </w:t>
      </w:r>
      <w:r>
        <w:rPr>
          <w:rStyle w:val="23"/>
          <w:rFonts w:hint="eastAsia" w:ascii="黑体" w:hAnsi="黑体" w:eastAsia="黑体" w:cs="楷体_GB2312"/>
          <w:b/>
          <w:bCs/>
          <w:color w:val="auto"/>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_Toc169770939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14:paraId="5FB2FB15">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"_Toc169770940" </w:instrText>
      </w:r>
      <w:r>
        <w:rPr>
          <w:color w:val="auto"/>
          <w:highlight w:val="none"/>
        </w:rPr>
        <w:fldChar w:fldCharType="separate"/>
      </w:r>
      <w:r>
        <w:rPr>
          <w:rStyle w:val="23"/>
          <w:rFonts w:ascii="黑体" w:hAnsi="黑体" w:eastAsia="黑体" w:cs="楷体_GB2312"/>
          <w:b/>
          <w:bCs/>
          <w:color w:val="auto"/>
          <w:highlight w:val="none"/>
          <w:lang w:val="zh-CN"/>
        </w:rPr>
        <w:t xml:space="preserve">6 </w:t>
      </w:r>
      <w:r>
        <w:rPr>
          <w:rStyle w:val="23"/>
          <w:rFonts w:hint="eastAsia" w:ascii="黑体" w:hAnsi="黑体" w:eastAsia="黑体" w:cs="楷体_GB2312"/>
          <w:b/>
          <w:bCs/>
          <w:color w:val="auto"/>
          <w:highlight w:val="none"/>
          <w:lang w:val="zh-CN"/>
        </w:rPr>
        <w:t>资格性审查</w:t>
      </w:r>
      <w:r>
        <w:rPr>
          <w:color w:val="auto"/>
          <w:highlight w:val="none"/>
        </w:rPr>
        <w:tab/>
      </w:r>
      <w:r>
        <w:rPr>
          <w:color w:val="auto"/>
          <w:highlight w:val="none"/>
        </w:rPr>
        <w:fldChar w:fldCharType="begin"/>
      </w:r>
      <w:r>
        <w:rPr>
          <w:color w:val="auto"/>
          <w:highlight w:val="none"/>
        </w:rPr>
        <w:instrText xml:space="preserve"> PAGEREF _Toc169770940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3B8AFF6B">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"_Toc169770941" </w:instrText>
      </w:r>
      <w:r>
        <w:rPr>
          <w:color w:val="auto"/>
          <w:highlight w:val="none"/>
        </w:rPr>
        <w:fldChar w:fldCharType="separate"/>
      </w:r>
      <w:r>
        <w:rPr>
          <w:rStyle w:val="23"/>
          <w:rFonts w:ascii="黑体" w:hAnsi="黑体" w:eastAsia="黑体" w:cs="楷体_GB2312"/>
          <w:b/>
          <w:bCs/>
          <w:color w:val="auto"/>
          <w:highlight w:val="none"/>
          <w:lang w:val="zh-CN"/>
        </w:rPr>
        <w:t xml:space="preserve">8 </w:t>
      </w:r>
      <w:r>
        <w:rPr>
          <w:rStyle w:val="23"/>
          <w:rFonts w:hint="eastAsia" w:ascii="黑体" w:hAnsi="黑体" w:eastAsia="黑体" w:cs="楷体_GB2312"/>
          <w:b/>
          <w:bCs/>
          <w:color w:val="auto"/>
          <w:highlight w:val="none"/>
          <w:lang w:val="zh-CN"/>
        </w:rPr>
        <w:t>授予合同</w:t>
      </w:r>
      <w:r>
        <w:rPr>
          <w:color w:val="auto"/>
          <w:highlight w:val="none"/>
        </w:rPr>
        <w:tab/>
      </w:r>
      <w:r>
        <w:rPr>
          <w:color w:val="auto"/>
          <w:highlight w:val="none"/>
        </w:rPr>
        <w:fldChar w:fldCharType="begin"/>
      </w:r>
      <w:r>
        <w:rPr>
          <w:color w:val="auto"/>
          <w:highlight w:val="none"/>
        </w:rPr>
        <w:instrText xml:space="preserve"> PAGEREF _Toc169770941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1265193E">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"_Toc169770942" </w:instrText>
      </w:r>
      <w:r>
        <w:rPr>
          <w:color w:val="auto"/>
          <w:highlight w:val="none"/>
        </w:rPr>
        <w:fldChar w:fldCharType="separate"/>
      </w:r>
      <w:r>
        <w:rPr>
          <w:rStyle w:val="23"/>
          <w:rFonts w:ascii="黑体" w:hAnsi="黑体" w:eastAsia="黑体" w:cs="楷体_GB2312"/>
          <w:b/>
          <w:bCs/>
          <w:color w:val="auto"/>
          <w:highlight w:val="none"/>
          <w:lang w:val="zh-CN"/>
        </w:rPr>
        <w:t xml:space="preserve">9 </w:t>
      </w:r>
      <w:r>
        <w:rPr>
          <w:rStyle w:val="23"/>
          <w:rFonts w:hint="eastAsia" w:ascii="黑体" w:hAnsi="黑体" w:eastAsia="黑体" w:cs="楷体_GB2312"/>
          <w:b/>
          <w:bCs/>
          <w:color w:val="auto"/>
          <w:highlight w:val="none"/>
          <w:lang w:val="zh-CN"/>
        </w:rPr>
        <w:t>验收</w:t>
      </w:r>
      <w:r>
        <w:rPr>
          <w:color w:val="auto"/>
          <w:highlight w:val="none"/>
        </w:rPr>
        <w:tab/>
      </w:r>
      <w:r>
        <w:rPr>
          <w:color w:val="auto"/>
          <w:highlight w:val="none"/>
        </w:rPr>
        <w:fldChar w:fldCharType="begin"/>
      </w:r>
      <w:r>
        <w:rPr>
          <w:color w:val="auto"/>
          <w:highlight w:val="none"/>
        </w:rPr>
        <w:instrText xml:space="preserve"> PAGEREF _Toc169770942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20791B09">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"_Toc169770943" </w:instrText>
      </w:r>
      <w:r>
        <w:rPr>
          <w:color w:val="auto"/>
          <w:highlight w:val="none"/>
        </w:rPr>
        <w:fldChar w:fldCharType="separate"/>
      </w:r>
      <w:r>
        <w:rPr>
          <w:rStyle w:val="23"/>
          <w:rFonts w:ascii="黑体" w:hAnsi="黑体" w:eastAsia="黑体" w:cs="楷体_GB2312"/>
          <w:b/>
          <w:bCs/>
          <w:color w:val="auto"/>
          <w:highlight w:val="none"/>
          <w:lang w:val="zh-CN"/>
        </w:rPr>
        <w:t xml:space="preserve">10 </w:t>
      </w:r>
      <w:r>
        <w:rPr>
          <w:rStyle w:val="23"/>
          <w:rFonts w:hint="eastAsia" w:ascii="黑体" w:hAnsi="黑体" w:eastAsia="黑体" w:cs="楷体_GB2312"/>
          <w:b/>
          <w:bCs/>
          <w:color w:val="auto"/>
          <w:highlight w:val="none"/>
          <w:lang w:val="zh-CN"/>
        </w:rPr>
        <w:t>付款</w:t>
      </w:r>
      <w:r>
        <w:rPr>
          <w:color w:val="auto"/>
          <w:highlight w:val="none"/>
        </w:rPr>
        <w:tab/>
      </w:r>
      <w:r>
        <w:rPr>
          <w:color w:val="auto"/>
          <w:highlight w:val="none"/>
        </w:rPr>
        <w:fldChar w:fldCharType="begin"/>
      </w:r>
      <w:r>
        <w:rPr>
          <w:color w:val="auto"/>
          <w:highlight w:val="none"/>
        </w:rPr>
        <w:instrText xml:space="preserve"> PAGEREF _Toc169770943 \h </w:instrText>
      </w:r>
      <w:r>
        <w:rPr>
          <w:color w:val="auto"/>
          <w:highlight w:val="none"/>
        </w:rPr>
        <w:fldChar w:fldCharType="separate"/>
      </w:r>
      <w:r>
        <w:rPr>
          <w:color w:val="auto"/>
          <w:highlight w:val="none"/>
        </w:rPr>
        <w:t>- 25 -</w:t>
      </w:r>
      <w:r>
        <w:rPr>
          <w:color w:val="auto"/>
          <w:highlight w:val="none"/>
        </w:rPr>
        <w:fldChar w:fldCharType="end"/>
      </w:r>
      <w:r>
        <w:rPr>
          <w:color w:val="auto"/>
          <w:highlight w:val="none"/>
        </w:rPr>
        <w:fldChar w:fldCharType="end"/>
      </w:r>
    </w:p>
    <w:p w14:paraId="49C8EA54">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"_Toc169770944" </w:instrText>
      </w:r>
      <w:r>
        <w:rPr>
          <w:color w:val="auto"/>
          <w:highlight w:val="none"/>
        </w:rPr>
        <w:fldChar w:fldCharType="separate"/>
      </w:r>
      <w:r>
        <w:rPr>
          <w:rStyle w:val="23"/>
          <w:rFonts w:ascii="黑体" w:hAnsi="黑体" w:eastAsia="黑体" w:cs="楷体_GB2312"/>
          <w:b/>
          <w:bCs/>
          <w:color w:val="auto"/>
          <w:highlight w:val="none"/>
          <w:lang w:val="zh-CN"/>
        </w:rPr>
        <w:t xml:space="preserve">11 </w:t>
      </w:r>
      <w:r>
        <w:rPr>
          <w:rStyle w:val="23"/>
          <w:rFonts w:hint="eastAsia" w:ascii="黑体" w:hAnsi="黑体" w:eastAsia="黑体" w:cs="楷体_GB2312"/>
          <w:b/>
          <w:bCs/>
          <w:color w:val="auto"/>
          <w:highlight w:val="none"/>
          <w:lang w:val="zh-CN"/>
        </w:rPr>
        <w:t>其他</w:t>
      </w:r>
      <w:r>
        <w:rPr>
          <w:color w:val="auto"/>
          <w:highlight w:val="none"/>
        </w:rPr>
        <w:tab/>
      </w:r>
      <w:r>
        <w:rPr>
          <w:color w:val="auto"/>
          <w:highlight w:val="none"/>
        </w:rPr>
        <w:fldChar w:fldCharType="begin"/>
      </w:r>
      <w:r>
        <w:rPr>
          <w:color w:val="auto"/>
          <w:highlight w:val="none"/>
        </w:rPr>
        <w:instrText xml:space="preserve"> PAGEREF _Toc169770944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6E4885A2">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"_Toc169770945" </w:instrText>
      </w:r>
      <w:r>
        <w:rPr>
          <w:color w:val="auto"/>
          <w:highlight w:val="none"/>
        </w:rPr>
        <w:fldChar w:fldCharType="separate"/>
      </w:r>
      <w:r>
        <w:rPr>
          <w:rStyle w:val="23"/>
          <w:rFonts w:ascii="黑体" w:hAnsi="黑体" w:eastAsia="黑体" w:cs="楷体_GB2312"/>
          <w:b/>
          <w:bCs/>
          <w:color w:val="auto"/>
          <w:highlight w:val="none"/>
          <w:lang w:val="zh-CN"/>
        </w:rPr>
        <w:t xml:space="preserve">12 </w:t>
      </w:r>
      <w:r>
        <w:rPr>
          <w:rStyle w:val="23"/>
          <w:rFonts w:hint="eastAsia" w:ascii="黑体" w:hAnsi="黑体" w:eastAsia="黑体" w:cs="楷体_GB2312"/>
          <w:b/>
          <w:bCs/>
          <w:color w:val="auto"/>
          <w:highlight w:val="none"/>
          <w:lang w:val="zh-CN"/>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_Toc169770945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2B76B43E">
      <w:pPr>
        <w:pStyle w:val="12"/>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"_Toc169770946" </w:instrText>
      </w:r>
      <w:r>
        <w:rPr>
          <w:color w:val="auto"/>
          <w:highlight w:val="none"/>
        </w:rPr>
        <w:fldChar w:fldCharType="separate"/>
      </w:r>
      <w:r>
        <w:rPr>
          <w:rStyle w:val="23"/>
          <w:rFonts w:hint="eastAsia" w:ascii="黑体" w:hAnsi="黑体" w:eastAsia="黑体"/>
          <w:b/>
          <w:bCs/>
          <w:color w:val="auto"/>
          <w:kern w:val="44"/>
          <w:highlight w:val="none"/>
          <w:lang w:val="zh-CN"/>
        </w:rPr>
        <w:t>第四章</w:t>
      </w:r>
      <w:r>
        <w:rPr>
          <w:rStyle w:val="23"/>
          <w:rFonts w:ascii="黑体" w:hAnsi="黑体" w:eastAsia="黑体"/>
          <w:b/>
          <w:bCs/>
          <w:color w:val="auto"/>
          <w:kern w:val="44"/>
          <w:highlight w:val="none"/>
          <w:lang w:val="zh-CN"/>
        </w:rPr>
        <w:t xml:space="preserve">  </w:t>
      </w:r>
      <w:r>
        <w:rPr>
          <w:rStyle w:val="23"/>
          <w:rFonts w:hint="eastAsia" w:ascii="黑体" w:hAnsi="黑体" w:eastAsia="黑体"/>
          <w:b/>
          <w:bCs/>
          <w:color w:val="auto"/>
          <w:kern w:val="44"/>
          <w:highlight w:val="none"/>
          <w:lang w:val="zh-CN"/>
        </w:rPr>
        <w:t>评标办法（综合评分法）</w:t>
      </w:r>
      <w:r>
        <w:rPr>
          <w:color w:val="auto"/>
          <w:highlight w:val="none"/>
        </w:rPr>
        <w:tab/>
      </w:r>
      <w:r>
        <w:rPr>
          <w:color w:val="auto"/>
          <w:highlight w:val="none"/>
        </w:rPr>
        <w:fldChar w:fldCharType="begin"/>
      </w:r>
      <w:r>
        <w:rPr>
          <w:color w:val="auto"/>
          <w:highlight w:val="none"/>
        </w:rPr>
        <w:instrText xml:space="preserve"> PAGEREF _Toc169770946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54920F6C">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"_Toc169770947" </w:instrText>
      </w:r>
      <w:r>
        <w:rPr>
          <w:color w:val="auto"/>
          <w:highlight w:val="none"/>
        </w:rPr>
        <w:fldChar w:fldCharType="separate"/>
      </w:r>
      <w:r>
        <w:rPr>
          <w:rStyle w:val="23"/>
          <w:rFonts w:hint="eastAsia" w:ascii="黑体" w:hAnsi="黑体" w:eastAsia="黑体"/>
          <w:b/>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_Toc169770947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07269BDA">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"_Toc169770948" </w:instrText>
      </w:r>
      <w:r>
        <w:rPr>
          <w:color w:val="auto"/>
          <w:highlight w:val="none"/>
        </w:rPr>
        <w:fldChar w:fldCharType="separate"/>
      </w:r>
      <w:r>
        <w:rPr>
          <w:rStyle w:val="23"/>
          <w:rFonts w:ascii="黑体" w:hAnsi="黑体" w:eastAsia="黑体" w:cs="楷体_GB2312"/>
          <w:b/>
          <w:bCs/>
          <w:color w:val="auto"/>
          <w:highlight w:val="none"/>
          <w:lang w:val="zh-CN"/>
        </w:rPr>
        <w:t xml:space="preserve">1. </w:t>
      </w:r>
      <w:r>
        <w:rPr>
          <w:rStyle w:val="23"/>
          <w:rFonts w:hint="eastAsia" w:ascii="黑体" w:hAnsi="黑体" w:eastAsia="黑体" w:cs="楷体_GB2312"/>
          <w:b/>
          <w:bCs/>
          <w:color w:val="auto"/>
          <w:highlight w:val="none"/>
          <w:lang w:val="zh-CN"/>
        </w:rPr>
        <w:t>评标方法</w:t>
      </w:r>
      <w:r>
        <w:rPr>
          <w:color w:val="auto"/>
          <w:highlight w:val="none"/>
        </w:rPr>
        <w:tab/>
      </w:r>
      <w:r>
        <w:rPr>
          <w:color w:val="auto"/>
          <w:highlight w:val="none"/>
        </w:rPr>
        <w:fldChar w:fldCharType="begin"/>
      </w:r>
      <w:r>
        <w:rPr>
          <w:color w:val="auto"/>
          <w:highlight w:val="none"/>
        </w:rPr>
        <w:instrText xml:space="preserve"> PAGEREF _Toc169770948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219EA9BE">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"_Toc169770949" </w:instrText>
      </w:r>
      <w:r>
        <w:rPr>
          <w:color w:val="auto"/>
          <w:highlight w:val="none"/>
        </w:rPr>
        <w:fldChar w:fldCharType="separate"/>
      </w:r>
      <w:r>
        <w:rPr>
          <w:rStyle w:val="23"/>
          <w:rFonts w:ascii="黑体" w:hAnsi="黑体" w:eastAsia="黑体" w:cs="楷体_GB2312"/>
          <w:b/>
          <w:bCs/>
          <w:color w:val="auto"/>
          <w:highlight w:val="none"/>
          <w:lang w:val="zh-CN"/>
        </w:rPr>
        <w:t xml:space="preserve">2. </w:t>
      </w:r>
      <w:r>
        <w:rPr>
          <w:rStyle w:val="23"/>
          <w:rFonts w:hint="eastAsia" w:ascii="黑体" w:hAnsi="黑体" w:eastAsia="黑体" w:cs="楷体_GB2312"/>
          <w:b/>
          <w:bCs/>
          <w:color w:val="auto"/>
          <w:highlight w:val="none"/>
          <w:lang w:val="zh-CN"/>
        </w:rPr>
        <w:t>评标标准</w:t>
      </w:r>
      <w:r>
        <w:rPr>
          <w:color w:val="auto"/>
          <w:highlight w:val="none"/>
        </w:rPr>
        <w:tab/>
      </w:r>
      <w:r>
        <w:rPr>
          <w:color w:val="auto"/>
          <w:highlight w:val="none"/>
        </w:rPr>
        <w:fldChar w:fldCharType="begin"/>
      </w:r>
      <w:r>
        <w:rPr>
          <w:color w:val="auto"/>
          <w:highlight w:val="none"/>
        </w:rPr>
        <w:instrText xml:space="preserve"> PAGEREF _Toc169770949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08744A68">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"_Toc169770950" </w:instrText>
      </w:r>
      <w:r>
        <w:rPr>
          <w:color w:val="auto"/>
          <w:highlight w:val="none"/>
        </w:rPr>
        <w:fldChar w:fldCharType="separate"/>
      </w:r>
      <w:r>
        <w:rPr>
          <w:rStyle w:val="23"/>
          <w:rFonts w:ascii="黑体" w:hAnsi="黑体" w:eastAsia="黑体" w:cs="楷体_GB2312"/>
          <w:b/>
          <w:bCs/>
          <w:color w:val="auto"/>
          <w:highlight w:val="none"/>
          <w:lang w:val="zh-CN"/>
        </w:rPr>
        <w:t xml:space="preserve">3. </w:t>
      </w:r>
      <w:r>
        <w:rPr>
          <w:rStyle w:val="23"/>
          <w:rFonts w:hint="eastAsia" w:ascii="黑体" w:hAnsi="黑体" w:eastAsia="黑体" w:cs="楷体_GB2312"/>
          <w:b/>
          <w:bCs/>
          <w:color w:val="auto"/>
          <w:highlight w:val="none"/>
          <w:lang w:val="zh-CN"/>
        </w:rPr>
        <w:t>评标程序</w:t>
      </w:r>
      <w:r>
        <w:rPr>
          <w:color w:val="auto"/>
          <w:highlight w:val="none"/>
        </w:rPr>
        <w:tab/>
      </w:r>
      <w:r>
        <w:rPr>
          <w:color w:val="auto"/>
          <w:highlight w:val="none"/>
        </w:rPr>
        <w:fldChar w:fldCharType="begin"/>
      </w:r>
      <w:r>
        <w:rPr>
          <w:color w:val="auto"/>
          <w:highlight w:val="none"/>
        </w:rPr>
        <w:instrText xml:space="preserve"> PAGEREF _Toc169770950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30DFC2F5">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"_Toc169770951" </w:instrText>
      </w:r>
      <w:r>
        <w:rPr>
          <w:color w:val="auto"/>
          <w:highlight w:val="none"/>
        </w:rPr>
        <w:fldChar w:fldCharType="separate"/>
      </w:r>
      <w:r>
        <w:rPr>
          <w:rStyle w:val="23"/>
          <w:rFonts w:ascii="黑体" w:hAnsi="黑体" w:eastAsia="黑体" w:cs="楷体_GB2312"/>
          <w:b/>
          <w:bCs/>
          <w:color w:val="auto"/>
          <w:highlight w:val="none"/>
          <w:lang w:val="zh-CN"/>
        </w:rPr>
        <w:t xml:space="preserve">4. </w:t>
      </w:r>
      <w:r>
        <w:rPr>
          <w:rStyle w:val="23"/>
          <w:rFonts w:hint="eastAsia" w:ascii="黑体" w:hAnsi="黑体" w:eastAsia="黑体" w:cs="楷体_GB2312"/>
          <w:b/>
          <w:bCs/>
          <w:color w:val="auto"/>
          <w:highlight w:val="none"/>
          <w:lang w:val="zh-CN"/>
        </w:rPr>
        <w:t>政府采购促进中小企业发展扶持政策</w:t>
      </w:r>
      <w:r>
        <w:rPr>
          <w:color w:val="auto"/>
          <w:highlight w:val="none"/>
        </w:rPr>
        <w:tab/>
      </w:r>
      <w:r>
        <w:rPr>
          <w:color w:val="auto"/>
          <w:highlight w:val="none"/>
        </w:rPr>
        <w:fldChar w:fldCharType="begin"/>
      </w:r>
      <w:r>
        <w:rPr>
          <w:color w:val="auto"/>
          <w:highlight w:val="none"/>
        </w:rPr>
        <w:instrText xml:space="preserve"> PAGEREF _Toc169770951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14:paraId="07B7500F">
      <w:pPr>
        <w:pStyle w:val="12"/>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"_Toc169770952" </w:instrText>
      </w:r>
      <w:r>
        <w:rPr>
          <w:color w:val="auto"/>
          <w:highlight w:val="none"/>
        </w:rPr>
        <w:fldChar w:fldCharType="separate"/>
      </w:r>
      <w:r>
        <w:rPr>
          <w:rStyle w:val="23"/>
          <w:rFonts w:hint="eastAsia" w:ascii="黑体" w:eastAsia="黑体"/>
          <w:b/>
          <w:color w:val="auto"/>
          <w:highlight w:val="none"/>
        </w:rPr>
        <w:t>第五章</w:t>
      </w:r>
      <w:r>
        <w:rPr>
          <w:rStyle w:val="23"/>
          <w:rFonts w:ascii="黑体" w:eastAsia="黑体"/>
          <w:b/>
          <w:color w:val="auto"/>
          <w:highlight w:val="none"/>
        </w:rPr>
        <w:t xml:space="preserve">  </w:t>
      </w:r>
      <w:r>
        <w:rPr>
          <w:rStyle w:val="23"/>
          <w:rFonts w:hint="eastAsia" w:ascii="黑体" w:eastAsia="黑体"/>
          <w:b/>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_Toc169770952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3A49FD11">
      <w:pPr>
        <w:pStyle w:val="12"/>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"_Toc169770953" </w:instrText>
      </w:r>
      <w:r>
        <w:rPr>
          <w:color w:val="auto"/>
          <w:highlight w:val="none"/>
        </w:rPr>
        <w:fldChar w:fldCharType="separate"/>
      </w:r>
      <w:r>
        <w:rPr>
          <w:rStyle w:val="23"/>
          <w:rFonts w:hint="eastAsia" w:ascii="黑体" w:hAnsi="黑体" w:eastAsia="黑体"/>
          <w:b/>
          <w:color w:val="auto"/>
          <w:highlight w:val="none"/>
          <w:lang w:val="zh-CN"/>
        </w:rPr>
        <w:t>第六章</w:t>
      </w:r>
      <w:r>
        <w:rPr>
          <w:rStyle w:val="23"/>
          <w:rFonts w:ascii="黑体" w:hAnsi="黑体" w:eastAsia="黑体"/>
          <w:b/>
          <w:color w:val="auto"/>
          <w:highlight w:val="none"/>
          <w:lang w:val="zh-CN"/>
        </w:rPr>
        <w:t xml:space="preserve">  </w:t>
      </w:r>
      <w:r>
        <w:rPr>
          <w:rStyle w:val="23"/>
          <w:rFonts w:hint="eastAsia" w:ascii="黑体" w:hAnsi="黑体" w:eastAsia="黑体"/>
          <w:b/>
          <w:color w:val="auto"/>
          <w:highlight w:val="none"/>
          <w:lang w:val="zh-CN"/>
        </w:rPr>
        <w:t>投标文件格式</w:t>
      </w:r>
      <w:r>
        <w:rPr>
          <w:color w:val="auto"/>
          <w:highlight w:val="none"/>
        </w:rPr>
        <w:tab/>
      </w:r>
      <w:r>
        <w:rPr>
          <w:color w:val="auto"/>
          <w:highlight w:val="none"/>
        </w:rPr>
        <w:fldChar w:fldCharType="begin"/>
      </w:r>
      <w:r>
        <w:rPr>
          <w:color w:val="auto"/>
          <w:highlight w:val="none"/>
        </w:rPr>
        <w:instrText xml:space="preserve"> PAGEREF _Toc169770953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4E944026">
      <w:pPr>
        <w:rPr>
          <w:color w:val="auto"/>
          <w:highlight w:val="none"/>
        </w:rPr>
        <w:sectPr>
          <w:pgSz w:w="11905" w:h="16837"/>
          <w:pgMar w:top="1418" w:right="1106" w:bottom="1418" w:left="1418" w:header="567" w:footer="567" w:gutter="0"/>
          <w:pgNumType w:fmt="numberInDash" w:start="0"/>
          <w:cols w:space="720" w:num="1"/>
          <w:titlePg/>
        </w:sectPr>
      </w:pPr>
      <w:r>
        <w:rPr>
          <w:color w:val="auto"/>
          <w:highlight w:val="none"/>
        </w:rPr>
        <w:fldChar w:fldCharType="end"/>
      </w:r>
    </w:p>
    <w:p w14:paraId="21AC5516">
      <w:pPr>
        <w:widowControl w:val="0"/>
        <w:snapToGrid w:val="0"/>
        <w:spacing w:line="560" w:lineRule="exact"/>
        <w:jc w:val="left"/>
        <w:rPr>
          <w:rFonts w:ascii="宋体"/>
          <w:color w:val="auto"/>
          <w:sz w:val="24"/>
          <w:szCs w:val="24"/>
          <w:highlight w:val="none"/>
        </w:rPr>
      </w:pPr>
    </w:p>
    <w:p w14:paraId="1D74A4F9">
      <w:pPr>
        <w:widowControl w:val="0"/>
        <w:snapToGrid w:val="0"/>
        <w:spacing w:line="560" w:lineRule="exact"/>
        <w:jc w:val="center"/>
        <w:outlineLvl w:val="0"/>
        <w:rPr>
          <w:color w:val="auto"/>
          <w:sz w:val="36"/>
          <w:szCs w:val="36"/>
          <w:highlight w:val="none"/>
        </w:rPr>
      </w:pPr>
      <w:bookmarkStart w:id="0" w:name="_Toc169770928"/>
      <w:r>
        <w:rPr>
          <w:rFonts w:hint="eastAsia" w:eastAsia="黑体"/>
          <w:b/>
          <w:color w:val="auto"/>
          <w:sz w:val="36"/>
          <w:szCs w:val="36"/>
          <w:highlight w:val="none"/>
        </w:rPr>
        <w:t>第一章</w:t>
      </w:r>
      <w:r>
        <w:rPr>
          <w:rFonts w:eastAsia="黑体"/>
          <w:b/>
          <w:color w:val="auto"/>
          <w:sz w:val="36"/>
          <w:szCs w:val="36"/>
          <w:highlight w:val="none"/>
        </w:rPr>
        <w:t xml:space="preserve">  </w:t>
      </w:r>
      <w:r>
        <w:rPr>
          <w:rFonts w:hint="eastAsia" w:eastAsia="黑体"/>
          <w:b/>
          <w:color w:val="auto"/>
          <w:sz w:val="36"/>
          <w:szCs w:val="36"/>
          <w:highlight w:val="none"/>
        </w:rPr>
        <w:t>招标公告</w:t>
      </w:r>
      <w:bookmarkEnd w:id="0"/>
    </w:p>
    <w:p w14:paraId="0CE088E9">
      <w:pPr>
        <w:widowControl w:val="0"/>
        <w:adjustRightInd w:val="0"/>
        <w:snapToGrid w:val="0"/>
        <w:spacing w:line="360" w:lineRule="auto"/>
        <w:ind w:firstLine="632" w:firstLineChars="225"/>
        <w:jc w:val="left"/>
        <w:rPr>
          <w:rFonts w:ascii="黑体" w:hAnsi="黑体" w:eastAsia="黑体"/>
          <w:b/>
          <w:color w:val="auto"/>
          <w:sz w:val="28"/>
          <w:szCs w:val="28"/>
          <w:highlight w:val="none"/>
        </w:rPr>
      </w:pPr>
      <w:r>
        <w:rPr>
          <w:rFonts w:hint="eastAsia" w:ascii="黑体" w:hAnsi="黑体" w:eastAsia="黑体"/>
          <w:b/>
          <w:color w:val="auto"/>
          <w:sz w:val="28"/>
          <w:szCs w:val="28"/>
          <w:highlight w:val="none"/>
        </w:rPr>
        <w:t>1.项目基本情况</w:t>
      </w:r>
    </w:p>
    <w:p w14:paraId="7F8FCD0A">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 xml:space="preserve">项目编号：安财招标采购-2024-57 </w:t>
      </w:r>
    </w:p>
    <w:p w14:paraId="0A01BAD6">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1.2</w:t>
      </w:r>
      <w:r>
        <w:rPr>
          <w:rFonts w:hint="eastAsia" w:ascii="宋体" w:hAnsi="宋体"/>
          <w:color w:val="auto"/>
          <w:sz w:val="24"/>
          <w:szCs w:val="24"/>
          <w:highlight w:val="none"/>
        </w:rPr>
        <w:t>项目名称：安阳市自然资源和规划局安阳市城市更新专项规划项目</w:t>
      </w:r>
    </w:p>
    <w:p w14:paraId="5A423B15">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1.3采购方式：公开招标</w:t>
      </w:r>
    </w:p>
    <w:p w14:paraId="4FAF02A2">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4预算金额：350万元</w:t>
      </w:r>
      <w:r>
        <w:rPr>
          <w:rFonts w:ascii="宋体" w:hAnsi="宋体"/>
          <w:color w:val="auto"/>
          <w:sz w:val="24"/>
          <w:szCs w:val="24"/>
          <w:highlight w:val="none"/>
        </w:rPr>
        <w:t xml:space="preserve"> </w:t>
      </w:r>
    </w:p>
    <w:p w14:paraId="1CE5D777">
      <w:pPr>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1.5采购需求（详见法定媒体公告附件）：</w:t>
      </w:r>
      <w:r>
        <w:rPr>
          <w:rFonts w:ascii="宋体" w:hAnsi="宋体"/>
          <w:color w:val="auto"/>
          <w:sz w:val="24"/>
          <w:szCs w:val="24"/>
          <w:highlight w:val="none"/>
        </w:rPr>
        <w:t>安阳市城市更新专项规划</w:t>
      </w:r>
      <w:r>
        <w:rPr>
          <w:rFonts w:hint="eastAsia" w:ascii="宋体" w:hAnsi="宋体"/>
          <w:color w:val="auto"/>
          <w:sz w:val="24"/>
          <w:szCs w:val="24"/>
          <w:highlight w:val="none"/>
        </w:rPr>
        <w:t>。</w:t>
      </w:r>
    </w:p>
    <w:p w14:paraId="45ABB617">
      <w:pPr>
        <w:adjustRightInd w:val="0"/>
        <w:snapToGrid w:val="0"/>
        <w:spacing w:line="360" w:lineRule="auto"/>
        <w:ind w:firstLine="540" w:firstLineChars="225"/>
        <w:rPr>
          <w:rFonts w:hint="eastAsia" w:eastAsia="宋体"/>
          <w:color w:val="auto"/>
          <w:sz w:val="24"/>
          <w:szCs w:val="24"/>
          <w:highlight w:val="none"/>
          <w:lang w:val="en-US" w:eastAsia="zh-CN"/>
        </w:rPr>
      </w:pPr>
      <w:r>
        <w:rPr>
          <w:rFonts w:hint="eastAsia" w:ascii="宋体" w:hAnsi="宋体"/>
          <w:color w:val="auto"/>
          <w:sz w:val="24"/>
          <w:szCs w:val="24"/>
          <w:highlight w:val="none"/>
        </w:rPr>
        <w:t>1.6合同履行期限：合同签订日起</w:t>
      </w:r>
      <w:r>
        <w:rPr>
          <w:rFonts w:hint="eastAsia" w:ascii="宋体" w:hAnsi="宋体"/>
          <w:color w:val="auto"/>
          <w:sz w:val="24"/>
          <w:szCs w:val="24"/>
          <w:highlight w:val="none"/>
          <w:lang w:val="en-US" w:eastAsia="zh-CN"/>
        </w:rPr>
        <w:t>12个月</w:t>
      </w:r>
      <w:r>
        <w:rPr>
          <w:rFonts w:hint="eastAsia" w:ascii="宋体" w:hAnsi="宋体"/>
          <w:color w:val="auto"/>
          <w:sz w:val="24"/>
          <w:szCs w:val="24"/>
          <w:highlight w:val="none"/>
        </w:rPr>
        <w:t>内</w:t>
      </w:r>
      <w:r>
        <w:rPr>
          <w:rFonts w:hint="eastAsia" w:ascii="宋体" w:hAnsi="宋体"/>
          <w:color w:val="auto"/>
          <w:sz w:val="24"/>
          <w:szCs w:val="24"/>
          <w:highlight w:val="none"/>
          <w:lang w:eastAsia="zh-CN"/>
        </w:rPr>
        <w:t>（规划审批日起三年规划后续服务期）</w:t>
      </w:r>
    </w:p>
    <w:p w14:paraId="2C5EB8BA">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1.7本项目（是/否）接受联合体投标：是</w:t>
      </w:r>
    </w:p>
    <w:p w14:paraId="2AC20C3A">
      <w:pPr>
        <w:widowControl w:val="0"/>
        <w:adjustRightInd w:val="0"/>
        <w:snapToGrid w:val="0"/>
        <w:spacing w:line="360" w:lineRule="auto"/>
        <w:ind w:firstLine="540" w:firstLineChars="225"/>
        <w:jc w:val="left"/>
        <w:rPr>
          <w:rFonts w:ascii="宋体"/>
          <w:color w:val="auto"/>
          <w:sz w:val="24"/>
          <w:szCs w:val="24"/>
          <w:highlight w:val="none"/>
        </w:rPr>
      </w:pPr>
      <w:r>
        <w:rPr>
          <w:rFonts w:hint="eastAsia" w:ascii="宋体" w:hAnsi="宋体"/>
          <w:color w:val="auto"/>
          <w:sz w:val="24"/>
          <w:szCs w:val="24"/>
          <w:highlight w:val="none"/>
        </w:rPr>
        <w:t>1.8是否接受进口产品：否</w:t>
      </w:r>
    </w:p>
    <w:p w14:paraId="1AB2F935">
      <w:pPr>
        <w:widowControl w:val="0"/>
        <w:snapToGrid w:val="0"/>
        <w:spacing w:line="560" w:lineRule="exact"/>
        <w:jc w:val="left"/>
        <w:rPr>
          <w:rFonts w:ascii="宋体" w:hAnsi="宋体"/>
          <w:b/>
          <w:color w:val="auto"/>
          <w:sz w:val="24"/>
          <w:szCs w:val="24"/>
          <w:highlight w:val="none"/>
        </w:rPr>
      </w:pPr>
    </w:p>
    <w:p w14:paraId="2F1C8D88">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2.申请人的资格要求：</w:t>
      </w:r>
    </w:p>
    <w:p w14:paraId="65707CAD">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2.1满足《中华人民共和国政府采购法》第二十二条规定；</w:t>
      </w:r>
    </w:p>
    <w:p w14:paraId="20614078">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落实政府采购政策需满足的资格要求：无专项资格要求。</w:t>
      </w:r>
    </w:p>
    <w:p w14:paraId="70C13CF1">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2.3本项目的特定资格要求：</w:t>
      </w:r>
    </w:p>
    <w:p w14:paraId="4FE6311E">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.1</w:t>
      </w:r>
      <w:r>
        <w:rPr>
          <w:rFonts w:hint="eastAsia" w:ascii="宋体" w:hAnsi="宋体"/>
          <w:color w:val="auto"/>
          <w:sz w:val="24"/>
          <w:szCs w:val="24"/>
          <w:highlight w:val="none"/>
        </w:rPr>
        <w:t>满足《中华人民共和国政府采购法》第二十二条第</w:t>
      </w:r>
      <w:r>
        <w:rPr>
          <w:rFonts w:ascii="宋体" w:hAnsi="宋体"/>
          <w:color w:val="auto"/>
          <w:sz w:val="24"/>
          <w:szCs w:val="24"/>
          <w:highlight w:val="none"/>
        </w:rPr>
        <w:t>一款</w:t>
      </w:r>
      <w:r>
        <w:rPr>
          <w:rFonts w:hint="eastAsia" w:ascii="宋体" w:hAnsi="宋体"/>
          <w:color w:val="auto"/>
          <w:sz w:val="24"/>
          <w:szCs w:val="24"/>
          <w:highlight w:val="none"/>
        </w:rPr>
        <w:t>规定的</w:t>
      </w:r>
      <w:r>
        <w:rPr>
          <w:rFonts w:ascii="宋体" w:hAnsi="宋体"/>
          <w:color w:val="auto"/>
          <w:sz w:val="24"/>
          <w:szCs w:val="24"/>
          <w:highlight w:val="none"/>
        </w:rPr>
        <w:t>供应商基础性</w:t>
      </w:r>
      <w:r>
        <w:rPr>
          <w:rFonts w:hint="eastAsia" w:ascii="宋体" w:hAnsi="宋体"/>
          <w:color w:val="auto"/>
          <w:sz w:val="24"/>
          <w:szCs w:val="24"/>
          <w:highlight w:val="none"/>
        </w:rPr>
        <w:t>资格要求；供应商自行承诺并承担后果，承诺书不实的，按《政府采购法》有关提供虚假材料的有关规定给予处罚。</w:t>
      </w:r>
    </w:p>
    <w:p w14:paraId="1136A914">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2对供</w:t>
      </w:r>
      <w:r>
        <w:rPr>
          <w:rFonts w:ascii="宋体" w:hAnsi="宋体"/>
          <w:color w:val="auto"/>
          <w:sz w:val="24"/>
          <w:szCs w:val="24"/>
          <w:highlight w:val="none"/>
        </w:rPr>
        <w:t>应商的限制性规定</w:t>
      </w:r>
    </w:p>
    <w:p w14:paraId="2784DE66">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（1）供应商应当无不良信用记录。</w:t>
      </w:r>
      <w:r>
        <w:rPr>
          <w:rFonts w:ascii="宋体" w:hAnsi="宋体"/>
          <w:color w:val="auto"/>
          <w:sz w:val="24"/>
          <w:szCs w:val="24"/>
          <w:highlight w:val="none"/>
        </w:rPr>
        <w:t>(</w:t>
      </w:r>
      <w:r>
        <w:rPr>
          <w:rFonts w:hint="eastAsia" w:ascii="宋体" w:hAnsi="宋体"/>
          <w:color w:val="auto"/>
          <w:sz w:val="24"/>
          <w:szCs w:val="24"/>
          <w:highlight w:val="none"/>
        </w:rPr>
        <w:t>未列入“信用中国”</w:t>
      </w:r>
      <w:r>
        <w:rPr>
          <w:rFonts w:ascii="宋体" w:hAnsi="宋体"/>
          <w:color w:val="auto"/>
          <w:sz w:val="24"/>
          <w:szCs w:val="24"/>
          <w:highlight w:val="none"/>
        </w:rPr>
        <w:t>&lt;www.creditchina.gov.cn&gt;</w:t>
      </w:r>
      <w:r>
        <w:rPr>
          <w:rFonts w:hint="eastAsia" w:ascii="宋体" w:hAnsi="宋体"/>
          <w:color w:val="auto"/>
          <w:sz w:val="24"/>
          <w:szCs w:val="24"/>
          <w:highlight w:val="none"/>
        </w:rPr>
        <w:t>网站的“失信被执行人”和“重大税收违法失信主体”及“中国政府采购网”</w:t>
      </w:r>
      <w:r>
        <w:rPr>
          <w:rFonts w:ascii="宋体" w:hAnsi="宋体"/>
          <w:color w:val="auto"/>
          <w:sz w:val="24"/>
          <w:szCs w:val="24"/>
          <w:highlight w:val="none"/>
        </w:rPr>
        <w:t>&lt;www.ccgp.gov.cn&gt;</w:t>
      </w:r>
      <w:r>
        <w:rPr>
          <w:rFonts w:hint="eastAsia" w:ascii="宋体" w:hAnsi="宋体"/>
          <w:color w:val="auto"/>
          <w:sz w:val="24"/>
          <w:szCs w:val="24"/>
          <w:highlight w:val="none"/>
        </w:rPr>
        <w:t>网站的“政府采购严重违法失信行为记录名单”</w:t>
      </w:r>
      <w:r>
        <w:rPr>
          <w:rFonts w:ascii="宋体" w:hAnsi="宋体"/>
          <w:color w:val="auto"/>
          <w:sz w:val="24"/>
          <w:szCs w:val="24"/>
          <w:highlight w:val="none"/>
        </w:rPr>
        <w:t>)</w:t>
      </w:r>
    </w:p>
    <w:p w14:paraId="12592AAE">
      <w:pPr>
        <w:widowControl w:val="0"/>
        <w:snapToGrid w:val="0"/>
        <w:spacing w:line="360" w:lineRule="auto"/>
        <w:ind w:firstLine="542" w:firstLineChars="225"/>
        <w:rPr>
          <w:rFonts w:ascii="宋体" w:hAnsi="宋体"/>
          <w:color w:val="auto"/>
          <w:sz w:val="24"/>
          <w:szCs w:val="24"/>
          <w:highlight w:val="none"/>
        </w:rPr>
      </w:pPr>
      <w:r>
        <w:rPr>
          <w:rFonts w:hint="eastAsia" w:ascii="宋体" w:hAnsi="宋体"/>
          <w:b/>
          <w:color w:val="auto"/>
          <w:sz w:val="24"/>
          <w:szCs w:val="24"/>
          <w:highlight w:val="none"/>
        </w:rPr>
        <w:t>如</w:t>
      </w:r>
      <w:r>
        <w:rPr>
          <w:rFonts w:hint="eastAsia" w:ascii="宋体" w:hAnsi="宋体"/>
          <w:color w:val="auto"/>
          <w:sz w:val="24"/>
          <w:szCs w:val="24"/>
          <w:highlight w:val="none"/>
        </w:rPr>
        <w:t>接受联合体的，联合体其他成员的信用记录将在开标后（文件解密后）资格审查环节由采购人、或提交采购代理机构进行查询。</w:t>
      </w:r>
    </w:p>
    <w:p w14:paraId="40B26407">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供应商递交投标文件后，采购人或者采购代理机构将按以上信用信息查询渠道在解密投标文件之前对参加本项目的投标人信用记录进行查询，投标人有上述任一不良信用记录的，其</w:t>
      </w:r>
      <w:r>
        <w:rPr>
          <w:rFonts w:ascii="宋体" w:hAnsi="宋体"/>
          <w:color w:val="auto"/>
          <w:sz w:val="24"/>
          <w:szCs w:val="24"/>
          <w:highlight w:val="none"/>
        </w:rPr>
        <w:t>投标将被</w:t>
      </w:r>
      <w:r>
        <w:rPr>
          <w:rFonts w:hint="eastAsia" w:ascii="宋体" w:hAnsi="宋体"/>
          <w:color w:val="auto"/>
          <w:sz w:val="24"/>
          <w:szCs w:val="24"/>
          <w:highlight w:val="none"/>
        </w:rPr>
        <w:t>拒</w:t>
      </w:r>
      <w:r>
        <w:rPr>
          <w:rFonts w:ascii="宋体" w:hAnsi="宋体"/>
          <w:color w:val="auto"/>
          <w:sz w:val="24"/>
          <w:szCs w:val="24"/>
          <w:highlight w:val="none"/>
        </w:rPr>
        <w:t>绝</w:t>
      </w:r>
      <w:r>
        <w:rPr>
          <w:rFonts w:hint="eastAsia" w:ascii="宋体" w:hAnsi="宋体"/>
          <w:color w:val="auto"/>
          <w:sz w:val="24"/>
          <w:szCs w:val="24"/>
          <w:highlight w:val="none"/>
        </w:rPr>
        <w:t>、</w:t>
      </w:r>
      <w:r>
        <w:rPr>
          <w:rFonts w:ascii="宋体" w:hAnsi="宋体"/>
          <w:color w:val="auto"/>
          <w:sz w:val="24"/>
          <w:szCs w:val="24"/>
          <w:highlight w:val="none"/>
        </w:rPr>
        <w:t>为无效投</w:t>
      </w:r>
      <w:r>
        <w:rPr>
          <w:rFonts w:hint="eastAsia" w:ascii="宋体" w:hAnsi="宋体"/>
          <w:color w:val="auto"/>
          <w:sz w:val="24"/>
          <w:szCs w:val="24"/>
          <w:highlight w:val="none"/>
        </w:rPr>
        <w:t>标。查询的网页内容将以截图或者拍照作为证据留存。</w:t>
      </w:r>
    </w:p>
    <w:p w14:paraId="1C9C2838">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33C19262">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633AF391">
      <w:pPr>
        <w:widowControl w:val="0"/>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3项目的特定资格要求：</w:t>
      </w:r>
    </w:p>
    <w:p w14:paraId="4F4F8A55">
      <w:pPr>
        <w:widowControl w:val="0"/>
        <w:snapToGrid w:val="0"/>
        <w:spacing w:line="360" w:lineRule="auto"/>
        <w:ind w:firstLine="540" w:firstLineChars="225"/>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）具备相关行政主管部门颁发的城乡规划编制甲级资质证书。</w:t>
      </w:r>
      <w:r>
        <w:rPr>
          <w:rFonts w:hint="eastAsia" w:ascii="宋体" w:hAnsi="宋体"/>
          <w:color w:val="auto"/>
          <w:sz w:val="24"/>
          <w:szCs w:val="24"/>
          <w:highlight w:val="none"/>
        </w:rPr>
        <w:t>■提供</w:t>
      </w:r>
      <w:r>
        <w:rPr>
          <w:rFonts w:hint="eastAsia" w:ascii="宋体" w:hAnsi="宋体"/>
          <w:color w:val="auto"/>
          <w:sz w:val="24"/>
          <w:szCs w:val="24"/>
          <w:highlight w:val="none"/>
          <w:lang w:val="en-US" w:eastAsia="zh-CN"/>
        </w:rPr>
        <w:t>证书。</w:t>
      </w:r>
    </w:p>
    <w:p w14:paraId="7E73CA18">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具备法律、行政法规规定的其他条件。</w:t>
      </w:r>
    </w:p>
    <w:p w14:paraId="12458507">
      <w:pPr>
        <w:widowControl w:val="0"/>
        <w:snapToGrid w:val="0"/>
        <w:spacing w:line="360" w:lineRule="auto"/>
        <w:ind w:firstLine="540" w:firstLineChars="225"/>
        <w:rPr>
          <w:rFonts w:ascii="宋体" w:cs="宋体"/>
          <w:color w:val="auto"/>
          <w:szCs w:val="21"/>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项目（是/否）接受联合体投标：是；■提供联合协议（以联合体形式投标的，联合体各方之间应当签订联合投标协议，明确约定联合体各方承担的工作和相应的责任&lt;承担相应招标内容的投标人应当具备招标内容的相应资格条件&gt;）。</w:t>
      </w:r>
    </w:p>
    <w:p w14:paraId="19DA6C03">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注：（1）所有证照均应为有效的证照；文中“近”、“前”指距投标截止时间。</w:t>
      </w:r>
    </w:p>
    <w:p w14:paraId="57F7EDAB">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（2）资格证明材料（文件）应附于投标文件中并经投</w:t>
      </w:r>
      <w:r>
        <w:rPr>
          <w:rFonts w:ascii="宋体" w:hAnsi="宋体"/>
          <w:color w:val="auto"/>
          <w:sz w:val="24"/>
          <w:szCs w:val="24"/>
          <w:highlight w:val="none"/>
        </w:rPr>
        <w:t>标人</w:t>
      </w:r>
      <w:r>
        <w:rPr>
          <w:rFonts w:hint="eastAsia" w:ascii="宋体" w:hAnsi="宋体"/>
          <w:color w:val="auto"/>
          <w:sz w:val="24"/>
          <w:szCs w:val="24"/>
          <w:highlight w:val="none"/>
        </w:rPr>
        <w:t>电子签章。投标人对资格证明文件真实性有效合规承担责任，提供虚假材料的为无效投标并将进一步追究其责任。</w:t>
      </w:r>
    </w:p>
    <w:p w14:paraId="680C55A1">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本项目采取资格后审，开标后，将由采购人或者采购代理机构对投标人的资格证明材料（文件）等进行资格审核，未按要求逐一提供、或资格审查不合格的为无效投标，投标人应自负其风险费用。</w:t>
      </w:r>
    </w:p>
    <w:p w14:paraId="40EC888A">
      <w:pPr>
        <w:pStyle w:val="15"/>
        <w:shd w:val="clear" w:color="auto" w:fill="FFFFFF"/>
        <w:adjustRightInd w:val="0"/>
        <w:spacing w:before="50" w:beforeAutospacing="0" w:after="0" w:afterAutospacing="0" w:line="300" w:lineRule="auto"/>
        <w:ind w:firstLine="542" w:firstLineChars="225"/>
        <w:rPr>
          <w:b/>
          <w:color w:val="auto"/>
          <w:highlight w:val="none"/>
        </w:rPr>
      </w:pPr>
    </w:p>
    <w:p w14:paraId="3CBE8C70">
      <w:pPr>
        <w:widowControl w:val="0"/>
        <w:snapToGrid w:val="0"/>
        <w:spacing w:line="360" w:lineRule="auto"/>
        <w:ind w:firstLine="562" w:firstLineChars="200"/>
        <w:rPr>
          <w:rFonts w:ascii="黑体" w:hAnsi="黑体" w:eastAsia="黑体"/>
          <w:b/>
          <w:color w:val="auto"/>
          <w:sz w:val="28"/>
          <w:szCs w:val="28"/>
          <w:highlight w:val="none"/>
        </w:rPr>
      </w:pPr>
      <w:bookmarkStart w:id="1" w:name="_Toc35393792"/>
      <w:bookmarkStart w:id="2" w:name="_Toc35393623"/>
      <w:r>
        <w:rPr>
          <w:rFonts w:hint="eastAsia" w:ascii="黑体" w:hAnsi="黑体" w:eastAsia="黑体"/>
          <w:b/>
          <w:color w:val="auto"/>
          <w:sz w:val="28"/>
          <w:szCs w:val="28"/>
          <w:highlight w:val="none"/>
        </w:rPr>
        <w:t>3.获取招标文件</w:t>
      </w:r>
      <w:bookmarkEnd w:id="1"/>
      <w:bookmarkEnd w:id="2"/>
    </w:p>
    <w:p w14:paraId="0502CF19">
      <w:pPr>
        <w:snapToGrid w:val="0"/>
        <w:spacing w:line="360" w:lineRule="auto"/>
        <w:ind w:firstLine="540" w:firstLineChars="225"/>
        <w:jc w:val="left"/>
        <w:rPr>
          <w:b/>
          <w:bCs/>
          <w:color w:val="auto"/>
          <w:sz w:val="24"/>
          <w:szCs w:val="24"/>
          <w:highlight w:val="none"/>
        </w:rPr>
      </w:pPr>
      <w:r>
        <w:rPr>
          <w:rFonts w:hint="eastAsia" w:ascii="宋体" w:hAnsi="宋体"/>
          <w:color w:val="auto"/>
          <w:sz w:val="24"/>
          <w:szCs w:val="24"/>
          <w:highlight w:val="none"/>
        </w:rPr>
        <w:t>3.1</w:t>
      </w:r>
      <w:r>
        <w:rPr>
          <w:rFonts w:hint="eastAsia"/>
          <w:color w:val="auto"/>
          <w:sz w:val="24"/>
          <w:szCs w:val="24"/>
          <w:highlight w:val="none"/>
        </w:rPr>
        <w:t>时间：</w:t>
      </w:r>
      <w:r>
        <w:rPr>
          <w:rFonts w:hint="eastAsia"/>
          <w:color w:val="auto"/>
          <w:sz w:val="24"/>
          <w:szCs w:val="24"/>
          <w:highlight w:val="none"/>
          <w:u w:val="single"/>
          <w:lang w:val="en-US" w:eastAsia="zh-CN"/>
        </w:rPr>
        <w:t>2024</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14</w:t>
      </w:r>
      <w:r>
        <w:rPr>
          <w:rFonts w:hint="eastAsia"/>
          <w:color w:val="auto"/>
          <w:sz w:val="24"/>
          <w:szCs w:val="24"/>
          <w:highlight w:val="none"/>
        </w:rPr>
        <w:t>日至</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2024</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20</w:t>
      </w:r>
      <w:r>
        <w:rPr>
          <w:rFonts w:hint="eastAsia"/>
          <w:color w:val="auto"/>
          <w:sz w:val="24"/>
          <w:szCs w:val="24"/>
          <w:highlight w:val="none"/>
        </w:rPr>
        <w:t>日，每天上午</w:t>
      </w:r>
      <w:r>
        <w:rPr>
          <w:rFonts w:hint="eastAsia"/>
          <w:color w:val="auto"/>
          <w:sz w:val="24"/>
          <w:szCs w:val="24"/>
          <w:highlight w:val="none"/>
          <w:u w:val="single"/>
          <w:lang w:val="en-US" w:eastAsia="zh-CN"/>
        </w:rPr>
        <w:t>00:00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rPr>
        <w:t>，下午</w:t>
      </w:r>
      <w:r>
        <w:rPr>
          <w:rFonts w:hint="eastAsia"/>
          <w:color w:val="auto"/>
          <w:sz w:val="24"/>
          <w:szCs w:val="24"/>
          <w:highlight w:val="none"/>
          <w:u w:val="single"/>
          <w:lang w:val="en-US" w:eastAsia="zh-CN"/>
        </w:rPr>
        <w:t>12;00</w:t>
      </w:r>
      <w:r>
        <w:rPr>
          <w:rFonts w:hint="eastAsia"/>
          <w:color w:val="auto"/>
          <w:sz w:val="24"/>
          <w:szCs w:val="24"/>
          <w:highlight w:val="none"/>
        </w:rPr>
        <w:t>至</w:t>
      </w:r>
      <w:r>
        <w:rPr>
          <w:rFonts w:hint="eastAsia"/>
          <w:color w:val="auto"/>
          <w:sz w:val="24"/>
          <w:szCs w:val="24"/>
          <w:highlight w:val="none"/>
          <w:u w:val="single"/>
          <w:lang w:val="en-US" w:eastAsia="zh-CN"/>
        </w:rPr>
        <w:t>23:59</w:t>
      </w:r>
      <w:r>
        <w:rPr>
          <w:rFonts w:hint="eastAsia"/>
          <w:color w:val="auto"/>
          <w:sz w:val="24"/>
          <w:szCs w:val="24"/>
          <w:highlight w:val="none"/>
        </w:rPr>
        <w:t>（北京时间，</w:t>
      </w:r>
      <w:r>
        <w:rPr>
          <w:color w:val="auto"/>
          <w:sz w:val="24"/>
          <w:szCs w:val="24"/>
          <w:highlight w:val="none"/>
        </w:rPr>
        <w:t>法定节假日</w:t>
      </w:r>
      <w:r>
        <w:rPr>
          <w:rFonts w:hint="eastAsia"/>
          <w:color w:val="auto"/>
          <w:sz w:val="24"/>
          <w:szCs w:val="24"/>
          <w:highlight w:val="none"/>
        </w:rPr>
        <w:t>除外）</w:t>
      </w:r>
    </w:p>
    <w:p w14:paraId="56667F5F">
      <w:pPr>
        <w:widowControl w:val="0"/>
        <w:snapToGrid w:val="0"/>
        <w:spacing w:line="360" w:lineRule="auto"/>
        <w:ind w:left="55" w:leftChars="26" w:firstLine="540" w:firstLineChars="225"/>
        <w:rPr>
          <w:rFonts w:ascii="宋体" w:hAnsi="宋体"/>
          <w:b/>
          <w:color w:val="auto"/>
          <w:sz w:val="24"/>
          <w:szCs w:val="24"/>
          <w:highlight w:val="none"/>
        </w:rPr>
      </w:pPr>
      <w:r>
        <w:rPr>
          <w:rFonts w:hint="eastAsia" w:ascii="宋体" w:hAnsi="宋体"/>
          <w:color w:val="auto"/>
          <w:sz w:val="24"/>
          <w:szCs w:val="24"/>
          <w:highlight w:val="none"/>
        </w:rPr>
        <w:t>3.2地点</w:t>
      </w:r>
      <w:r>
        <w:rPr>
          <w:rFonts w:hint="eastAsia"/>
          <w:color w:val="auto"/>
          <w:sz w:val="24"/>
          <w:szCs w:val="24"/>
          <w:highlight w:val="none"/>
        </w:rPr>
        <w:t>：</w:t>
      </w:r>
      <w:r>
        <w:rPr>
          <w:rFonts w:hint="eastAsia"/>
          <w:b/>
          <w:bCs/>
          <w:color w:val="auto"/>
          <w:sz w:val="24"/>
          <w:szCs w:val="24"/>
          <w:highlight w:val="none"/>
        </w:rPr>
        <w:t>登陆安阳市公共资源交易中心网站（</w:t>
      </w:r>
      <w:r>
        <w:rPr>
          <w:b/>
          <w:bCs/>
          <w:color w:val="auto"/>
          <w:sz w:val="24"/>
          <w:szCs w:val="24"/>
          <w:highlight w:val="none"/>
        </w:rPr>
        <w:t>https://xwz.ggzy.anyang.gov.cn:3720/ayggzy/</w:t>
      </w:r>
      <w:r>
        <w:rPr>
          <w:rFonts w:hint="eastAsia"/>
          <w:b/>
          <w:bCs/>
          <w:color w:val="auto"/>
          <w:sz w:val="24"/>
          <w:szCs w:val="24"/>
          <w:highlight w:val="none"/>
        </w:rPr>
        <w:t>），在【交易主体登录】入口-完成注册。凭数字证书下载招标文件及其它资料。</w:t>
      </w:r>
    </w:p>
    <w:p w14:paraId="2D72C87B">
      <w:pPr>
        <w:spacing w:line="360" w:lineRule="auto"/>
        <w:ind w:firstLine="540"/>
        <w:rPr>
          <w:rFonts w:ascii="仿宋" w:hAnsi="仿宋" w:eastAsia="仿宋" w:cs="宋体"/>
          <w:color w:val="auto"/>
          <w:sz w:val="28"/>
          <w:szCs w:val="28"/>
          <w:highlight w:val="none"/>
          <w:u w:val="single"/>
        </w:rPr>
      </w:pPr>
      <w:r>
        <w:rPr>
          <w:rFonts w:hint="eastAsia" w:ascii="宋体" w:hAnsi="宋体"/>
          <w:color w:val="auto"/>
          <w:sz w:val="24"/>
          <w:szCs w:val="24"/>
          <w:highlight w:val="none"/>
        </w:rPr>
        <w:t>3.3方式：</w:t>
      </w:r>
      <w:r>
        <w:rPr>
          <w:rFonts w:hint="eastAsia"/>
          <w:b/>
          <w:bCs/>
          <w:color w:val="auto"/>
          <w:sz w:val="24"/>
          <w:szCs w:val="24"/>
          <w:highlight w:val="none"/>
        </w:rPr>
        <w:t>网上获取。</w:t>
      </w:r>
    </w:p>
    <w:p w14:paraId="5A64DF3F">
      <w:pPr>
        <w:spacing w:line="360" w:lineRule="auto"/>
        <w:ind w:firstLine="540"/>
        <w:rPr>
          <w:b/>
          <w:bCs/>
          <w:color w:val="auto"/>
          <w:sz w:val="24"/>
          <w:szCs w:val="24"/>
          <w:highlight w:val="none"/>
        </w:rPr>
      </w:pPr>
      <w:r>
        <w:rPr>
          <w:rFonts w:hint="eastAsia"/>
          <w:b/>
          <w:bCs/>
          <w:color w:val="auto"/>
          <w:sz w:val="24"/>
          <w:szCs w:val="24"/>
          <w:highlight w:val="none"/>
        </w:rPr>
        <w:t>具体流程请查询安阳市公共资源交易中心网站-服务指南-操作手册-《安阳市公共资源交易系统投标人（供应商）操作手册》。</w:t>
      </w:r>
      <w:r>
        <w:rPr>
          <w:b/>
          <w:bCs/>
          <w:color w:val="auto"/>
          <w:sz w:val="24"/>
          <w:szCs w:val="24"/>
          <w:highlight w:val="none"/>
        </w:rPr>
        <w:t>如有技术问题请咨询</w:t>
      </w:r>
      <w:r>
        <w:rPr>
          <w:rFonts w:hint="eastAsia"/>
          <w:b/>
          <w:bCs/>
          <w:color w:val="auto"/>
          <w:sz w:val="24"/>
          <w:szCs w:val="24"/>
          <w:highlight w:val="none"/>
        </w:rPr>
        <w:t>400-998-0000、0372-3387739。</w:t>
      </w:r>
    </w:p>
    <w:p w14:paraId="4E3B073F">
      <w:pPr>
        <w:spacing w:line="360" w:lineRule="auto"/>
        <w:ind w:firstLine="540"/>
        <w:rPr>
          <w:rFonts w:ascii="宋体" w:hAnsi="宋体" w:cs="宋体"/>
          <w:color w:val="auto"/>
          <w:sz w:val="24"/>
          <w:szCs w:val="24"/>
          <w:highlight w:val="none"/>
        </w:rPr>
      </w:pPr>
      <w:r>
        <w:rPr>
          <w:rFonts w:hint="eastAsia" w:ascii="宋体" w:hAnsi="宋体"/>
          <w:color w:val="auto"/>
          <w:sz w:val="24"/>
          <w:szCs w:val="24"/>
          <w:highlight w:val="none"/>
        </w:rPr>
        <w:t>3.4售价：</w:t>
      </w:r>
      <w:r>
        <w:rPr>
          <w:rFonts w:hint="eastAsia" w:ascii="宋体" w:hAnsi="宋体" w:cs="宋体"/>
          <w:color w:val="auto"/>
          <w:sz w:val="24"/>
          <w:szCs w:val="24"/>
          <w:highlight w:val="none"/>
        </w:rPr>
        <w:t>0元</w:t>
      </w:r>
    </w:p>
    <w:p w14:paraId="49787A86">
      <w:pPr>
        <w:pStyle w:val="15"/>
        <w:shd w:val="clear" w:color="auto" w:fill="FFFFFF"/>
        <w:adjustRightInd w:val="0"/>
        <w:spacing w:before="50" w:beforeAutospacing="0" w:after="0" w:afterAutospacing="0" w:line="300" w:lineRule="auto"/>
        <w:ind w:firstLine="540" w:firstLineChars="225"/>
        <w:rPr>
          <w:rFonts w:cs="Times New Roman"/>
          <w:color w:val="auto"/>
          <w:highlight w:val="none"/>
        </w:rPr>
      </w:pPr>
    </w:p>
    <w:p w14:paraId="2CCDAC69">
      <w:pPr>
        <w:widowControl w:val="0"/>
        <w:snapToGrid w:val="0"/>
        <w:spacing w:line="360" w:lineRule="auto"/>
        <w:ind w:firstLine="562" w:firstLineChars="200"/>
        <w:rPr>
          <w:rFonts w:ascii="黑体" w:hAnsi="黑体" w:eastAsia="黑体"/>
          <w:b/>
          <w:color w:val="auto"/>
          <w:sz w:val="28"/>
          <w:szCs w:val="28"/>
          <w:highlight w:val="none"/>
        </w:rPr>
      </w:pPr>
      <w:bookmarkStart w:id="3" w:name="_Toc28359005"/>
      <w:bookmarkStart w:id="4" w:name="_Toc28359082"/>
      <w:bookmarkStart w:id="5" w:name="_Toc35393624"/>
      <w:bookmarkStart w:id="6" w:name="_Toc35393793"/>
      <w:r>
        <w:rPr>
          <w:rFonts w:hint="eastAsia" w:ascii="黑体" w:hAnsi="黑体" w:eastAsia="黑体"/>
          <w:b/>
          <w:color w:val="auto"/>
          <w:sz w:val="28"/>
          <w:szCs w:val="28"/>
          <w:highlight w:val="none"/>
        </w:rPr>
        <w:t>4.提交投标文件</w:t>
      </w:r>
      <w:bookmarkEnd w:id="3"/>
      <w:bookmarkEnd w:id="4"/>
      <w:r>
        <w:rPr>
          <w:rFonts w:hint="eastAsia" w:ascii="黑体" w:hAnsi="黑体" w:eastAsia="黑体"/>
          <w:b/>
          <w:color w:val="auto"/>
          <w:sz w:val="28"/>
          <w:szCs w:val="28"/>
          <w:highlight w:val="none"/>
        </w:rPr>
        <w:t>截止时间（投标截止时间及地点）开标时间和地点</w:t>
      </w:r>
      <w:bookmarkEnd w:id="5"/>
      <w:bookmarkEnd w:id="6"/>
    </w:p>
    <w:p w14:paraId="73D0DE42">
      <w:pPr>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4. 1时间：2024年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日09时00分（北京时间）</w:t>
      </w:r>
    </w:p>
    <w:p w14:paraId="48BCAC52">
      <w:pPr>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4.2地点：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545CA9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4.3逾期送达的或者未送达指定地点的投标文件，采购人不予受理。</w:t>
      </w:r>
    </w:p>
    <w:p w14:paraId="58325CB3">
      <w:pPr>
        <w:widowControl w:val="0"/>
        <w:adjustRightInd w:val="0"/>
        <w:spacing w:before="156" w:beforeLines="50" w:line="300" w:lineRule="auto"/>
        <w:ind w:firstLine="632" w:firstLineChars="225"/>
        <w:rPr>
          <w:rFonts w:ascii="黑体" w:hAnsi="黑体" w:eastAsia="黑体"/>
          <w:b/>
          <w:color w:val="auto"/>
          <w:sz w:val="28"/>
          <w:szCs w:val="28"/>
          <w:highlight w:val="none"/>
        </w:rPr>
      </w:pPr>
      <w:r>
        <w:rPr>
          <w:rFonts w:hint="eastAsia" w:ascii="黑体" w:hAnsi="黑体" w:eastAsia="黑体"/>
          <w:b/>
          <w:color w:val="auto"/>
          <w:sz w:val="28"/>
          <w:szCs w:val="28"/>
          <w:highlight w:val="none"/>
        </w:rPr>
        <w:t>5.开标时间和地点</w:t>
      </w:r>
    </w:p>
    <w:p w14:paraId="70B9E029">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5.1时间：</w:t>
      </w:r>
      <w:r>
        <w:rPr>
          <w:rFonts w:hint="eastAsia" w:ascii="宋体" w:hAnsi="宋体"/>
          <w:color w:val="auto"/>
          <w:sz w:val="24"/>
          <w:szCs w:val="24"/>
          <w:highlight w:val="none"/>
        </w:rPr>
        <w:t>2024年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日09时00分</w:t>
      </w:r>
      <w:r>
        <w:rPr>
          <w:rFonts w:hint="eastAsia"/>
          <w:color w:val="auto"/>
          <w:sz w:val="24"/>
          <w:szCs w:val="24"/>
          <w:highlight w:val="none"/>
        </w:rPr>
        <w:t>（北京时间）</w:t>
      </w:r>
    </w:p>
    <w:p w14:paraId="4D414628">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5.2地点（管理员网上操作地点）：安阳市公共资源交易中心五楼集中开标大厅</w:t>
      </w:r>
      <w:r>
        <w:rPr>
          <w:rFonts w:hint="eastAsia"/>
          <w:color w:val="auto"/>
          <w:sz w:val="24"/>
          <w:szCs w:val="24"/>
          <w:highlight w:val="none"/>
          <w:u w:val="single" w:color="auto"/>
          <w:lang w:val="en-US" w:eastAsia="zh-CN"/>
        </w:rPr>
        <w:t>4</w:t>
      </w:r>
      <w:r>
        <w:rPr>
          <w:rFonts w:hint="eastAsia"/>
          <w:color w:val="auto"/>
          <w:sz w:val="24"/>
          <w:szCs w:val="24"/>
          <w:highlight w:val="none"/>
        </w:rPr>
        <w:t>室（安阳市文峰大道东段559号安阳市民之家）。</w:t>
      </w:r>
    </w:p>
    <w:p w14:paraId="693E7599">
      <w:pPr>
        <w:widowControl w:val="0"/>
        <w:adjustRightInd w:val="0"/>
        <w:spacing w:before="156" w:beforeLines="50" w:line="300" w:lineRule="auto"/>
        <w:ind w:firstLine="540" w:firstLineChars="225"/>
        <w:rPr>
          <w:bCs/>
          <w:color w:val="auto"/>
          <w:sz w:val="24"/>
          <w:szCs w:val="24"/>
          <w:highlight w:val="none"/>
        </w:rPr>
      </w:pPr>
      <w:r>
        <w:rPr>
          <w:rFonts w:hint="eastAsia" w:ascii="宋体" w:hAnsi="宋体"/>
          <w:color w:val="auto"/>
          <w:sz w:val="24"/>
          <w:szCs w:val="24"/>
          <w:highlight w:val="none"/>
        </w:rPr>
        <w:t>5.3</w:t>
      </w:r>
      <w:r>
        <w:rPr>
          <w:bCs/>
          <w:color w:val="auto"/>
          <w:sz w:val="24"/>
          <w:szCs w:val="24"/>
          <w:highlight w:val="none"/>
        </w:rPr>
        <w:t>本项目采用远程不见面交易的模式，开标当日，投标人无需到开标现场参加开标会议，投标人应当在投标截止时间前，使用IE浏览器登录到安阳市公共资源交易不见面开标大厅（https://xwz.ggzy.anyang.gov.cn:3720/ayggzy/），点击右上方【登录】按钮进入，在线准时参加开标活动并进行投标文件解密等。因投标人原因未能解密、解密失败或解密超时的将被拒绝。</w:t>
      </w:r>
    </w:p>
    <w:p w14:paraId="19DF9EFC">
      <w:pPr>
        <w:widowControl w:val="0"/>
        <w:snapToGrid w:val="0"/>
        <w:spacing w:line="360" w:lineRule="auto"/>
        <w:ind w:firstLine="480" w:firstLineChars="200"/>
        <w:rPr>
          <w:color w:val="auto"/>
          <w:sz w:val="24"/>
          <w:szCs w:val="24"/>
          <w:highlight w:val="none"/>
        </w:rPr>
      </w:pPr>
    </w:p>
    <w:p w14:paraId="32D47753">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6.发布公告的媒介及招标公告期限</w:t>
      </w:r>
    </w:p>
    <w:p w14:paraId="012941D4">
      <w:pPr>
        <w:widowControl w:val="0"/>
        <w:tabs>
          <w:tab w:val="left" w:pos="39"/>
          <w:tab w:val="left" w:pos="96"/>
        </w:tabs>
        <w:snapToGrid w:val="0"/>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本项目在“河南省政府采购网（安阳市政府采购网）</w:t>
      </w:r>
      <w:r>
        <w:rPr>
          <w:rFonts w:ascii="宋体" w:hAnsi="宋体"/>
          <w:color w:val="auto"/>
          <w:sz w:val="24"/>
          <w:szCs w:val="24"/>
          <w:highlight w:val="none"/>
        </w:rPr>
        <w:t>https://</w:t>
      </w:r>
      <w:r>
        <w:rPr>
          <w:color w:val="auto"/>
          <w:sz w:val="24"/>
          <w:szCs w:val="24"/>
          <w:highlight w:val="none"/>
        </w:rPr>
        <w:t>zfcg.henan.gov.cn</w:t>
      </w:r>
      <w:r>
        <w:rPr>
          <w:rFonts w:hint="eastAsia" w:ascii="宋体" w:hAnsi="宋体"/>
          <w:color w:val="auto"/>
          <w:sz w:val="24"/>
          <w:szCs w:val="24"/>
          <w:highlight w:val="none"/>
        </w:rPr>
        <w:t>”、 “安阳市公共资源交易中心网</w:t>
      </w:r>
      <w:r>
        <w:rPr>
          <w:color w:val="auto"/>
          <w:highlight w:val="none"/>
        </w:rPr>
        <w:t>https://xwz.ggzy.anyang.gov.cn:3720/ayggzy//</w:t>
      </w:r>
      <w:r>
        <w:rPr>
          <w:rFonts w:hint="eastAsia" w:ascii="宋体" w:hAnsi="宋体"/>
          <w:color w:val="auto"/>
          <w:sz w:val="24"/>
          <w:szCs w:val="24"/>
          <w:highlight w:val="none"/>
        </w:rPr>
        <w:t>”</w:t>
      </w:r>
      <w:r>
        <w:rPr>
          <w:rFonts w:hint="eastAsia" w:ascii="宋体" w:hAnsi="宋体" w:cs="宋体"/>
          <w:color w:val="auto"/>
          <w:sz w:val="24"/>
          <w:szCs w:val="24"/>
          <w:highlight w:val="none"/>
        </w:rPr>
        <w:t>、</w:t>
      </w:r>
      <w:r>
        <w:rPr>
          <w:rFonts w:hint="eastAsia" w:ascii="宋体" w:hAnsi="宋体"/>
          <w:color w:val="auto"/>
          <w:sz w:val="24"/>
          <w:szCs w:val="24"/>
          <w:highlight w:val="none"/>
        </w:rPr>
        <w:t>“安阳招标采购网</w:t>
      </w:r>
      <w:r>
        <w:rPr>
          <w:color w:val="auto"/>
          <w:sz w:val="24"/>
          <w:szCs w:val="24"/>
          <w:highlight w:val="none"/>
        </w:rPr>
        <w:t>http://www.ayzbcg.com</w:t>
      </w:r>
      <w:r>
        <w:rPr>
          <w:rFonts w:hint="eastAsia" w:ascii="宋体" w:hAnsi="宋体"/>
          <w:color w:val="auto"/>
          <w:sz w:val="24"/>
          <w:szCs w:val="24"/>
          <w:highlight w:val="none"/>
        </w:rPr>
        <w:t>”网站上同期发布。</w:t>
      </w:r>
      <w:r>
        <w:rPr>
          <w:rFonts w:hint="eastAsia" w:ascii="宋体" w:hAnsi="宋体" w:cs="宋体"/>
          <w:color w:val="auto"/>
          <w:sz w:val="24"/>
          <w:szCs w:val="24"/>
          <w:highlight w:val="none"/>
        </w:rPr>
        <w:t>招标公告期限为五个工作日。</w:t>
      </w:r>
    </w:p>
    <w:p w14:paraId="6D3359A7">
      <w:pPr>
        <w:tabs>
          <w:tab w:val="left" w:pos="39"/>
          <w:tab w:val="left" w:pos="96"/>
        </w:tabs>
        <w:snapToGrid w:val="0"/>
        <w:spacing w:line="360" w:lineRule="auto"/>
        <w:ind w:firstLine="566" w:firstLineChars="236"/>
        <w:rPr>
          <w:rFonts w:ascii="宋体" w:hAnsi="宋体"/>
          <w:color w:val="auto"/>
          <w:kern w:val="2"/>
          <w:sz w:val="24"/>
          <w:szCs w:val="24"/>
          <w:highlight w:val="none"/>
        </w:rPr>
      </w:pPr>
    </w:p>
    <w:p w14:paraId="2C88D01C">
      <w:pPr>
        <w:widowControl w:val="0"/>
        <w:snapToGrid w:val="0"/>
        <w:spacing w:line="360" w:lineRule="auto"/>
        <w:ind w:firstLine="562" w:firstLineChars="200"/>
        <w:rPr>
          <w:rFonts w:ascii="黑体" w:hAnsi="黑体" w:eastAsia="黑体"/>
          <w:b/>
          <w:color w:val="auto"/>
          <w:sz w:val="28"/>
          <w:szCs w:val="28"/>
          <w:highlight w:val="none"/>
        </w:rPr>
      </w:pPr>
      <w:bookmarkStart w:id="7" w:name="_Toc35393795"/>
      <w:bookmarkStart w:id="8" w:name="_Toc35393626"/>
      <w:r>
        <w:rPr>
          <w:rFonts w:hint="eastAsia" w:ascii="黑体" w:hAnsi="黑体" w:eastAsia="黑体"/>
          <w:b/>
          <w:color w:val="auto"/>
          <w:sz w:val="28"/>
          <w:szCs w:val="28"/>
          <w:highlight w:val="none"/>
        </w:rPr>
        <w:t>7.其他补充事宜</w:t>
      </w:r>
      <w:bookmarkEnd w:id="7"/>
      <w:bookmarkEnd w:id="8"/>
    </w:p>
    <w:p w14:paraId="3E8E85B9">
      <w:pPr>
        <w:widowControl w:val="0"/>
        <w:snapToGrid w:val="0"/>
        <w:spacing w:line="360" w:lineRule="auto"/>
        <w:ind w:firstLine="540" w:firstLineChars="225"/>
        <w:jc w:val="left"/>
        <w:rPr>
          <w:color w:val="auto"/>
          <w:sz w:val="24"/>
          <w:szCs w:val="24"/>
          <w:highlight w:val="none"/>
        </w:rPr>
      </w:pPr>
      <w:r>
        <w:rPr>
          <w:rFonts w:hint="eastAsia" w:ascii="宋体" w:hAnsi="宋体"/>
          <w:color w:val="auto"/>
          <w:sz w:val="24"/>
          <w:szCs w:val="24"/>
          <w:highlight w:val="none"/>
        </w:rPr>
        <w:t>7.1项目落实的政府采购政策：</w:t>
      </w:r>
      <w:r>
        <w:rPr>
          <w:rFonts w:hint="eastAsia"/>
          <w:color w:val="auto"/>
          <w:sz w:val="24"/>
          <w:szCs w:val="24"/>
          <w:highlight w:val="none"/>
        </w:rPr>
        <w:t>强制节能产品强制采购、节能产品、环境标志产品优先采购、促进中小企业发展扶持政策、进口产品政策、信息安全产品、社会信用体系建设、促进残疾人就业、支持监狱企业发展、</w:t>
      </w:r>
      <w:r>
        <w:rPr>
          <w:rFonts w:hint="eastAsia" w:ascii="宋体" w:hAnsi="宋体"/>
          <w:color w:val="auto"/>
          <w:sz w:val="24"/>
          <w:szCs w:val="24"/>
          <w:highlight w:val="none"/>
        </w:rPr>
        <w:t>支持绿色建筑、绿色建材，支持不发达、少数民族地区的企业，促进自主创新产业发展，支持脱贫攻坚等</w:t>
      </w:r>
      <w:r>
        <w:rPr>
          <w:rFonts w:hint="eastAsia"/>
          <w:color w:val="auto"/>
          <w:sz w:val="24"/>
          <w:szCs w:val="24"/>
          <w:highlight w:val="none"/>
        </w:rPr>
        <w:t>。</w:t>
      </w:r>
    </w:p>
    <w:p w14:paraId="37DB7B5C">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7.2政府采购合同融资</w:t>
      </w:r>
    </w:p>
    <w:p w14:paraId="306DD983">
      <w:pPr>
        <w:widowControl w:val="0"/>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5903B7FB">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7.3.网上电子交易系统网址</w:t>
      </w:r>
    </w:p>
    <w:p w14:paraId="1129570E">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7.3.1全国公共资源交易平台（河南省安阳市）https://xwz.ggzy.anyang.gov.cn:3720/ayggzy/</w:t>
      </w:r>
    </w:p>
    <w:p w14:paraId="20F72E31">
      <w:pPr>
        <w:widowControl w:val="0"/>
        <w:tabs>
          <w:tab w:val="left" w:pos="39"/>
          <w:tab w:val="left" w:pos="96"/>
        </w:tabs>
        <w:snapToGrid w:val="0"/>
        <w:spacing w:line="360" w:lineRule="auto"/>
        <w:ind w:firstLine="600" w:firstLineChars="250"/>
        <w:rPr>
          <w:rFonts w:ascii="宋体"/>
          <w:color w:val="auto"/>
          <w:sz w:val="24"/>
          <w:szCs w:val="24"/>
          <w:highlight w:val="none"/>
        </w:rPr>
      </w:pPr>
      <w:r>
        <w:rPr>
          <w:rFonts w:hint="eastAsia" w:ascii="宋体" w:hAnsi="宋体"/>
          <w:color w:val="auto"/>
          <w:sz w:val="24"/>
          <w:szCs w:val="24"/>
          <w:highlight w:val="none"/>
        </w:rPr>
        <w:t>招标</w:t>
      </w:r>
      <w:r>
        <w:rPr>
          <w:rFonts w:ascii="宋体" w:hAnsi="宋体"/>
          <w:color w:val="auto"/>
          <w:sz w:val="24"/>
          <w:szCs w:val="24"/>
          <w:highlight w:val="none"/>
        </w:rPr>
        <w:t>文件简称“</w:t>
      </w:r>
      <w:r>
        <w:rPr>
          <w:rFonts w:hint="eastAsia" w:ascii="宋体" w:hAnsi="宋体"/>
          <w:color w:val="auto"/>
          <w:sz w:val="24"/>
          <w:szCs w:val="24"/>
          <w:highlight w:val="none"/>
        </w:rPr>
        <w:t>安</w:t>
      </w:r>
      <w:r>
        <w:rPr>
          <w:rFonts w:ascii="宋体" w:hAnsi="宋体"/>
          <w:color w:val="auto"/>
          <w:sz w:val="24"/>
          <w:szCs w:val="24"/>
          <w:highlight w:val="none"/>
        </w:rPr>
        <w:t>阳</w:t>
      </w:r>
      <w:r>
        <w:rPr>
          <w:rFonts w:hint="eastAsia" w:ascii="宋体" w:hAnsi="宋体"/>
          <w:color w:val="auto"/>
          <w:sz w:val="24"/>
          <w:szCs w:val="24"/>
          <w:highlight w:val="none"/>
        </w:rPr>
        <w:t>市公共资源交易平</w:t>
      </w:r>
      <w:r>
        <w:rPr>
          <w:rFonts w:ascii="宋体" w:hAnsi="宋体"/>
          <w:color w:val="auto"/>
          <w:sz w:val="24"/>
          <w:szCs w:val="24"/>
          <w:highlight w:val="none"/>
        </w:rPr>
        <w:t>台”</w:t>
      </w:r>
    </w:p>
    <w:p w14:paraId="2C1109FB">
      <w:pPr>
        <w:widowControl w:val="0"/>
        <w:tabs>
          <w:tab w:val="left" w:pos="39"/>
          <w:tab w:val="left" w:pos="96"/>
        </w:tabs>
        <w:snapToGrid w:val="0"/>
        <w:spacing w:line="360" w:lineRule="auto"/>
        <w:ind w:firstLine="600" w:firstLineChars="250"/>
        <w:rPr>
          <w:rFonts w:ascii="宋体"/>
          <w:color w:val="auto"/>
          <w:sz w:val="24"/>
          <w:szCs w:val="24"/>
          <w:highlight w:val="none"/>
        </w:rPr>
      </w:pPr>
      <w:r>
        <w:rPr>
          <w:rFonts w:hint="eastAsia" w:ascii="宋体"/>
          <w:color w:val="auto"/>
          <w:sz w:val="24"/>
          <w:szCs w:val="24"/>
          <w:highlight w:val="none"/>
        </w:rPr>
        <w:t>7.3.2投标文件制作工具：在安阳市公共资源交易平台进行下载。</w:t>
      </w:r>
    </w:p>
    <w:p w14:paraId="32FE2020">
      <w:pPr>
        <w:widowControl w:val="0"/>
        <w:snapToGrid w:val="0"/>
        <w:spacing w:line="360" w:lineRule="auto"/>
        <w:ind w:firstLine="632" w:firstLineChars="225"/>
        <w:jc w:val="left"/>
        <w:rPr>
          <w:rFonts w:ascii="黑体" w:hAnsi="黑体" w:eastAsia="黑体"/>
          <w:b/>
          <w:color w:val="auto"/>
          <w:sz w:val="28"/>
          <w:szCs w:val="28"/>
          <w:highlight w:val="none"/>
        </w:rPr>
      </w:pPr>
    </w:p>
    <w:p w14:paraId="3FB7043C">
      <w:pPr>
        <w:widowControl w:val="0"/>
        <w:snapToGrid w:val="0"/>
        <w:spacing w:line="360" w:lineRule="auto"/>
        <w:ind w:firstLine="562" w:firstLineChars="200"/>
        <w:rPr>
          <w:rFonts w:ascii="黑体" w:hAnsi="黑体" w:eastAsia="黑体"/>
          <w:b/>
          <w:color w:val="auto"/>
          <w:sz w:val="28"/>
          <w:szCs w:val="28"/>
          <w:highlight w:val="none"/>
        </w:rPr>
      </w:pPr>
      <w:bookmarkStart w:id="9" w:name="_Toc28359085"/>
      <w:bookmarkStart w:id="10" w:name="_Toc35393627"/>
      <w:bookmarkStart w:id="11" w:name="_Toc35393796"/>
      <w:bookmarkStart w:id="12" w:name="_Toc28359008"/>
      <w:r>
        <w:rPr>
          <w:rFonts w:hint="eastAsia" w:ascii="黑体" w:hAnsi="黑体" w:eastAsia="黑体"/>
          <w:b/>
          <w:color w:val="auto"/>
          <w:sz w:val="28"/>
          <w:szCs w:val="28"/>
          <w:highlight w:val="none"/>
        </w:rPr>
        <w:t>8.对本次招标提出询问，请按</w:t>
      </w:r>
      <w:r>
        <w:rPr>
          <w:rFonts w:ascii="黑体" w:hAnsi="黑体" w:eastAsia="黑体"/>
          <w:b/>
          <w:color w:val="auto"/>
          <w:sz w:val="28"/>
          <w:szCs w:val="28"/>
          <w:highlight w:val="none"/>
        </w:rPr>
        <w:t>以下方式</w:t>
      </w:r>
      <w:r>
        <w:rPr>
          <w:rFonts w:hint="eastAsia" w:ascii="黑体" w:hAnsi="黑体" w:eastAsia="黑体"/>
          <w:b/>
          <w:color w:val="auto"/>
          <w:sz w:val="28"/>
          <w:szCs w:val="28"/>
          <w:highlight w:val="none"/>
        </w:rPr>
        <w:t>联系</w:t>
      </w:r>
      <w:bookmarkEnd w:id="9"/>
      <w:bookmarkEnd w:id="10"/>
      <w:bookmarkEnd w:id="11"/>
      <w:bookmarkEnd w:id="12"/>
    </w:p>
    <w:p w14:paraId="5BB8FC24">
      <w:pPr>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8.1 采购人信息</w:t>
      </w:r>
    </w:p>
    <w:p w14:paraId="3ADE585D">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名 称：安阳市自然资源和规划局</w:t>
      </w:r>
    </w:p>
    <w:p w14:paraId="2CE06477">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地址：安阳市富源街6号　       　</w:t>
      </w:r>
    </w:p>
    <w:p w14:paraId="69240706">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张新力</w:t>
      </w:r>
      <w:r>
        <w:rPr>
          <w:rFonts w:hint="eastAsia" w:ascii="宋体" w:hAnsi="宋体"/>
          <w:color w:val="auto"/>
          <w:sz w:val="24"/>
          <w:szCs w:val="24"/>
          <w:highlight w:val="none"/>
        </w:rPr>
        <w:t xml:space="preserve">    </w:t>
      </w:r>
    </w:p>
    <w:p w14:paraId="3A2FF691">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13613720056</w:t>
      </w:r>
      <w:r>
        <w:rPr>
          <w:rFonts w:hint="eastAsia" w:ascii="宋体" w:hAnsi="宋体"/>
          <w:color w:val="auto"/>
          <w:sz w:val="24"/>
          <w:szCs w:val="24"/>
          <w:highlight w:val="none"/>
        </w:rPr>
        <w:t xml:space="preserve">　      </w:t>
      </w:r>
      <w:bookmarkStart w:id="13" w:name="_Toc28359009"/>
      <w:bookmarkStart w:id="14" w:name="_Toc28359086"/>
    </w:p>
    <w:p w14:paraId="4A6AE253">
      <w:pPr>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8.2 采购代理机构信息</w:t>
      </w:r>
      <w:bookmarkEnd w:id="13"/>
      <w:bookmarkEnd w:id="14"/>
    </w:p>
    <w:p w14:paraId="6A929170">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名 称：安阳市方正招标采购服务有限责任公司  　</w:t>
      </w:r>
    </w:p>
    <w:p w14:paraId="2A6D29E4">
      <w:pPr>
        <w:spacing w:line="360" w:lineRule="auto"/>
        <w:ind w:left="1798" w:leftChars="399" w:hanging="960" w:hangingChars="400"/>
        <w:rPr>
          <w:rFonts w:ascii="宋体" w:hAnsi="宋体"/>
          <w:color w:val="auto"/>
          <w:sz w:val="24"/>
          <w:szCs w:val="24"/>
          <w:highlight w:val="none"/>
        </w:rPr>
      </w:pPr>
      <w:r>
        <w:rPr>
          <w:rFonts w:hint="eastAsia" w:ascii="宋体" w:hAnsi="宋体"/>
          <w:color w:val="auto"/>
          <w:sz w:val="24"/>
          <w:szCs w:val="24"/>
          <w:highlight w:val="none"/>
        </w:rPr>
        <w:t>地　址：安阳市安钢大道39号（人民大道北地下道口南侧、安阳粮食产业集团-后院办公楼五楼）　　</w:t>
      </w:r>
    </w:p>
    <w:p w14:paraId="3F506B6A">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 xml:space="preserve">联系人：白杨  </w:t>
      </w:r>
    </w:p>
    <w:p w14:paraId="4F622BC6">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联系方式：</w:t>
      </w:r>
      <w:bookmarkStart w:id="15" w:name="_Toc28359087"/>
      <w:bookmarkStart w:id="16" w:name="_Toc28359010"/>
      <w:r>
        <w:rPr>
          <w:rFonts w:hint="eastAsia" w:ascii="宋体" w:hAnsi="宋体"/>
          <w:color w:val="auto"/>
          <w:sz w:val="24"/>
          <w:szCs w:val="24"/>
          <w:highlight w:val="none"/>
        </w:rPr>
        <w:t>0372-2283981、2283982   财务部咨询电话：0372-2283983　</w:t>
      </w:r>
    </w:p>
    <w:p w14:paraId="2785C77E">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8.3 项目</w:t>
      </w:r>
      <w:r>
        <w:rPr>
          <w:rFonts w:ascii="宋体" w:hAnsi="宋体" w:cs="宋体"/>
          <w:color w:val="auto"/>
          <w:sz w:val="24"/>
          <w:szCs w:val="24"/>
          <w:highlight w:val="none"/>
        </w:rPr>
        <w:t>联系方式</w:t>
      </w:r>
      <w:bookmarkEnd w:id="15"/>
      <w:bookmarkEnd w:id="16"/>
    </w:p>
    <w:p w14:paraId="05E93285">
      <w:pPr>
        <w:pStyle w:val="7"/>
        <w:spacing w:line="360" w:lineRule="auto"/>
        <w:ind w:firstLine="840" w:firstLineChars="350"/>
        <w:rPr>
          <w:rFonts w:hAnsi="宋体"/>
          <w:color w:val="auto"/>
          <w:sz w:val="24"/>
          <w:szCs w:val="24"/>
          <w:highlight w:val="none"/>
        </w:rPr>
      </w:pPr>
      <w:r>
        <w:rPr>
          <w:rFonts w:hint="eastAsia" w:hAnsi="宋体"/>
          <w:color w:val="auto"/>
          <w:sz w:val="24"/>
          <w:szCs w:val="24"/>
          <w:highlight w:val="none"/>
        </w:rPr>
        <w:t>项目联系人：白杨</w:t>
      </w:r>
    </w:p>
    <w:p w14:paraId="5B452383">
      <w:pPr>
        <w:spacing w:line="360" w:lineRule="auto"/>
        <w:ind w:firstLine="840" w:firstLineChars="350"/>
        <w:rPr>
          <w:rFonts w:ascii="黑体" w:hAnsi="黑体" w:eastAsia="黑体"/>
          <w:b/>
          <w:color w:val="auto"/>
          <w:sz w:val="28"/>
          <w:szCs w:val="28"/>
          <w:highlight w:val="none"/>
        </w:rPr>
      </w:pPr>
      <w:r>
        <w:rPr>
          <w:rFonts w:hint="eastAsia" w:ascii="宋体" w:hAnsi="宋体"/>
          <w:color w:val="auto"/>
          <w:sz w:val="24"/>
          <w:szCs w:val="24"/>
          <w:highlight w:val="none"/>
        </w:rPr>
        <w:t>联系方式：15737221608</w:t>
      </w:r>
    </w:p>
    <w:p w14:paraId="5D8EEEBF">
      <w:pPr>
        <w:widowControl w:val="0"/>
        <w:adjustRightInd w:val="0"/>
        <w:spacing w:before="156" w:beforeLines="50" w:line="300" w:lineRule="auto"/>
        <w:ind w:firstLine="540" w:firstLineChars="225"/>
        <w:rPr>
          <w:color w:val="auto"/>
          <w:sz w:val="24"/>
          <w:szCs w:val="24"/>
          <w:highlight w:val="none"/>
        </w:rPr>
      </w:pPr>
    </w:p>
    <w:p w14:paraId="578D589F">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9.网</w:t>
      </w:r>
      <w:r>
        <w:rPr>
          <w:rFonts w:ascii="黑体" w:hAnsi="黑体" w:eastAsia="黑体"/>
          <w:b/>
          <w:color w:val="auto"/>
          <w:sz w:val="28"/>
          <w:szCs w:val="28"/>
          <w:highlight w:val="none"/>
        </w:rPr>
        <w:t>上</w:t>
      </w:r>
      <w:r>
        <w:rPr>
          <w:rFonts w:hint="eastAsia" w:ascii="黑体" w:hAnsi="黑体" w:eastAsia="黑体"/>
          <w:b/>
          <w:color w:val="auto"/>
          <w:sz w:val="28"/>
          <w:szCs w:val="28"/>
          <w:highlight w:val="none"/>
        </w:rPr>
        <w:t>电子交易提示：</w:t>
      </w:r>
      <w:r>
        <w:rPr>
          <w:rFonts w:ascii="黑体" w:hAnsi="黑体" w:eastAsia="黑体"/>
          <w:b/>
          <w:color w:val="auto"/>
          <w:sz w:val="28"/>
          <w:szCs w:val="28"/>
          <w:highlight w:val="none"/>
        </w:rPr>
        <w:t xml:space="preserve"> </w:t>
      </w:r>
    </w:p>
    <w:p w14:paraId="306BF029">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color w:val="auto"/>
          <w:sz w:val="24"/>
          <w:szCs w:val="24"/>
          <w:highlight w:val="none"/>
        </w:rPr>
        <w:t>9</w:t>
      </w:r>
      <w:r>
        <w:rPr>
          <w:rFonts w:ascii="宋体" w:hAnsi="宋体"/>
          <w:color w:val="auto"/>
          <w:sz w:val="24"/>
          <w:szCs w:val="24"/>
          <w:highlight w:val="none"/>
        </w:rPr>
        <w:t>.1</w:t>
      </w:r>
      <w:r>
        <w:rPr>
          <w:rFonts w:hint="eastAsia" w:ascii="宋体" w:hAnsi="宋体"/>
          <w:color w:val="auto"/>
          <w:sz w:val="24"/>
          <w:szCs w:val="24"/>
          <w:highlight w:val="none"/>
        </w:rPr>
        <w:t xml:space="preserve"> 注</w:t>
      </w:r>
      <w:r>
        <w:rPr>
          <w:rFonts w:ascii="宋体" w:hAnsi="宋体"/>
          <w:color w:val="auto"/>
          <w:sz w:val="24"/>
          <w:szCs w:val="24"/>
          <w:highlight w:val="none"/>
        </w:rPr>
        <w:t>册</w:t>
      </w:r>
      <w:r>
        <w:rPr>
          <w:rFonts w:hint="eastAsia" w:ascii="宋体" w:hAnsi="宋体"/>
          <w:color w:val="auto"/>
          <w:sz w:val="24"/>
          <w:szCs w:val="24"/>
          <w:highlight w:val="none"/>
        </w:rPr>
        <w:t>：投标人完成注</w:t>
      </w:r>
      <w:r>
        <w:rPr>
          <w:rFonts w:ascii="宋体" w:hAnsi="宋体"/>
          <w:color w:val="auto"/>
          <w:sz w:val="24"/>
          <w:szCs w:val="24"/>
          <w:highlight w:val="none"/>
        </w:rPr>
        <w:t>册</w:t>
      </w:r>
      <w:r>
        <w:rPr>
          <w:rFonts w:hint="eastAsia" w:ascii="宋体" w:hAnsi="宋体"/>
          <w:color w:val="auto"/>
          <w:sz w:val="24"/>
          <w:szCs w:val="24"/>
          <w:highlight w:val="none"/>
        </w:rPr>
        <w:t>、办理数字证书后</w:t>
      </w:r>
      <w:r>
        <w:rPr>
          <w:rFonts w:ascii="宋体" w:hAnsi="宋体"/>
          <w:color w:val="auto"/>
          <w:sz w:val="24"/>
          <w:szCs w:val="24"/>
          <w:highlight w:val="none"/>
        </w:rPr>
        <w:t>，方可</w:t>
      </w:r>
      <w:r>
        <w:rPr>
          <w:rFonts w:hint="eastAsia" w:ascii="宋体" w:hAnsi="宋体"/>
          <w:color w:val="auto"/>
          <w:sz w:val="24"/>
          <w:szCs w:val="24"/>
          <w:highlight w:val="none"/>
        </w:rPr>
        <w:t>获</w:t>
      </w:r>
      <w:r>
        <w:rPr>
          <w:rFonts w:ascii="宋体" w:hAnsi="宋体"/>
          <w:color w:val="auto"/>
          <w:sz w:val="24"/>
          <w:szCs w:val="24"/>
          <w:highlight w:val="none"/>
        </w:rPr>
        <w:t>取</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参</w:t>
      </w:r>
      <w:r>
        <w:rPr>
          <w:rFonts w:ascii="宋体" w:hAnsi="宋体"/>
          <w:color w:val="auto"/>
          <w:sz w:val="24"/>
          <w:szCs w:val="24"/>
          <w:highlight w:val="none"/>
        </w:rPr>
        <w:t>加</w:t>
      </w:r>
      <w:r>
        <w:rPr>
          <w:rFonts w:hint="eastAsia" w:ascii="宋体" w:hAnsi="宋体"/>
          <w:color w:val="auto"/>
          <w:sz w:val="24"/>
          <w:szCs w:val="24"/>
          <w:highlight w:val="none"/>
        </w:rPr>
        <w:t>投标等网上电子交易。</w:t>
      </w:r>
    </w:p>
    <w:p w14:paraId="09B53CA3">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color w:val="auto"/>
          <w:sz w:val="24"/>
          <w:szCs w:val="24"/>
          <w:highlight w:val="none"/>
        </w:rPr>
        <w:t>9</w:t>
      </w:r>
      <w:r>
        <w:rPr>
          <w:rFonts w:hint="eastAsia" w:ascii="宋体" w:hAnsi="宋体"/>
          <w:color w:val="auto"/>
          <w:sz w:val="24"/>
          <w:szCs w:val="24"/>
          <w:highlight w:val="none"/>
        </w:rPr>
        <w:t>.2 获取招标文件：</w:t>
      </w:r>
      <w:r>
        <w:rPr>
          <w:rFonts w:ascii="宋体" w:hAnsi="宋体"/>
          <w:color w:val="auto"/>
          <w:sz w:val="24"/>
          <w:szCs w:val="24"/>
          <w:highlight w:val="none"/>
        </w:rPr>
        <w:t>按</w:t>
      </w:r>
      <w:r>
        <w:rPr>
          <w:rFonts w:hint="eastAsia" w:ascii="宋体" w:hAnsi="宋体"/>
          <w:color w:val="auto"/>
          <w:sz w:val="24"/>
          <w:szCs w:val="24"/>
          <w:highlight w:val="none"/>
        </w:rPr>
        <w:t>本</w:t>
      </w:r>
      <w:r>
        <w:rPr>
          <w:rFonts w:ascii="宋体" w:hAnsi="宋体"/>
          <w:color w:val="auto"/>
          <w:sz w:val="24"/>
          <w:szCs w:val="24"/>
          <w:highlight w:val="none"/>
        </w:rPr>
        <w:t>章第</w:t>
      </w:r>
      <w:r>
        <w:rPr>
          <w:rFonts w:hint="eastAsia" w:ascii="宋体" w:hAnsi="宋体"/>
          <w:color w:val="auto"/>
          <w:sz w:val="24"/>
          <w:szCs w:val="24"/>
          <w:highlight w:val="none"/>
        </w:rPr>
        <w:t>3条</w:t>
      </w:r>
      <w:r>
        <w:rPr>
          <w:rFonts w:ascii="宋体" w:hAnsi="宋体"/>
          <w:color w:val="auto"/>
          <w:sz w:val="24"/>
          <w:szCs w:val="24"/>
          <w:highlight w:val="none"/>
        </w:rPr>
        <w:t>“</w:t>
      </w:r>
      <w:r>
        <w:rPr>
          <w:rFonts w:hint="eastAsia" w:ascii="宋体" w:hAnsi="宋体"/>
          <w:color w:val="auto"/>
          <w:sz w:val="24"/>
          <w:szCs w:val="24"/>
          <w:highlight w:val="none"/>
        </w:rPr>
        <w:t>获取招标文件</w:t>
      </w:r>
      <w:r>
        <w:rPr>
          <w:rFonts w:ascii="宋体" w:hAnsi="宋体"/>
          <w:color w:val="auto"/>
          <w:sz w:val="24"/>
          <w:szCs w:val="24"/>
          <w:highlight w:val="none"/>
        </w:rPr>
        <w:t>”</w:t>
      </w:r>
      <w:r>
        <w:rPr>
          <w:rFonts w:hint="eastAsia" w:ascii="宋体" w:hAnsi="宋体"/>
          <w:color w:val="auto"/>
          <w:sz w:val="24"/>
          <w:szCs w:val="24"/>
          <w:highlight w:val="none"/>
        </w:rPr>
        <w:t>办</w:t>
      </w:r>
      <w:r>
        <w:rPr>
          <w:rFonts w:ascii="宋体" w:hAnsi="宋体"/>
          <w:color w:val="auto"/>
          <w:sz w:val="24"/>
          <w:szCs w:val="24"/>
          <w:highlight w:val="none"/>
        </w:rPr>
        <w:t>理。</w:t>
      </w:r>
    </w:p>
    <w:p w14:paraId="05391979">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hint="eastAsia" w:ascii="宋体" w:hAnsi="宋体"/>
          <w:color w:val="auto"/>
          <w:sz w:val="24"/>
          <w:szCs w:val="24"/>
          <w:highlight w:val="none"/>
        </w:rPr>
        <w:t>.3 招标文件的澄清与修改或延期的</w:t>
      </w:r>
      <w:r>
        <w:rPr>
          <w:rFonts w:ascii="宋体" w:hAnsi="宋体"/>
          <w:color w:val="auto"/>
          <w:sz w:val="24"/>
          <w:szCs w:val="24"/>
          <w:highlight w:val="none"/>
        </w:rPr>
        <w:t>通知</w:t>
      </w:r>
      <w:r>
        <w:rPr>
          <w:rFonts w:hint="eastAsia" w:ascii="宋体" w:hAnsi="宋体"/>
          <w:color w:val="auto"/>
          <w:sz w:val="24"/>
          <w:szCs w:val="24"/>
          <w:highlight w:val="none"/>
        </w:rPr>
        <w:t>：</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2</w:t>
      </w:r>
      <w:r>
        <w:rPr>
          <w:rFonts w:hint="eastAsia" w:ascii="宋体" w:hAnsi="宋体"/>
          <w:color w:val="auto"/>
          <w:sz w:val="24"/>
          <w:szCs w:val="24"/>
          <w:highlight w:val="none"/>
        </w:rPr>
        <w:t>条“2.4 招标文件的澄清、修改、补充的通知，及相应时间变更</w:t>
      </w:r>
      <w:r>
        <w:rPr>
          <w:rFonts w:ascii="宋体" w:hAnsi="宋体"/>
          <w:color w:val="auto"/>
          <w:sz w:val="24"/>
          <w:szCs w:val="24"/>
          <w:highlight w:val="none"/>
        </w:rPr>
        <w:t>”执行</w:t>
      </w:r>
      <w:r>
        <w:rPr>
          <w:rFonts w:hint="eastAsia" w:ascii="宋体" w:hAnsi="宋体"/>
          <w:color w:val="auto"/>
          <w:sz w:val="24"/>
          <w:szCs w:val="24"/>
          <w:highlight w:val="none"/>
        </w:rPr>
        <w:t>。</w:t>
      </w:r>
      <w:r>
        <w:rPr>
          <w:rFonts w:hint="eastAsia" w:ascii="黑体" w:hAnsi="黑体" w:eastAsia="黑体" w:cs="楷体_GB2312"/>
          <w:b/>
          <w:color w:val="auto"/>
          <w:sz w:val="24"/>
          <w:highlight w:val="none"/>
          <w:lang w:val="zh-CN"/>
        </w:rPr>
        <w:t>不</w:t>
      </w:r>
      <w:r>
        <w:rPr>
          <w:rFonts w:ascii="黑体" w:hAnsi="黑体" w:eastAsia="黑体" w:cs="楷体_GB2312"/>
          <w:b/>
          <w:color w:val="auto"/>
          <w:sz w:val="24"/>
          <w:highlight w:val="none"/>
          <w:lang w:val="zh-CN"/>
        </w:rPr>
        <w:t>另行通知。</w:t>
      </w:r>
    </w:p>
    <w:p w14:paraId="76C2AE86">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ascii="宋体" w:hAnsi="宋体"/>
          <w:color w:val="auto"/>
          <w:sz w:val="24"/>
          <w:szCs w:val="24"/>
          <w:highlight w:val="none"/>
        </w:rPr>
        <w:t>.4</w:t>
      </w:r>
      <w:r>
        <w:rPr>
          <w:rFonts w:hint="eastAsia" w:ascii="宋体" w:hAnsi="宋体"/>
          <w:color w:val="auto"/>
          <w:sz w:val="24"/>
          <w:szCs w:val="24"/>
          <w:highlight w:val="none"/>
        </w:rPr>
        <w:t xml:space="preserve"> 投标文件编制：在安阳市公共资源交易中心网站（https://xwz.ggzy.anyang.gov.cn:3720/ayggzy/）下载并安装投标文件制作工具、进行编制，按《招标文件》第三章“投标人须知”第3条第</w:t>
      </w:r>
      <w:r>
        <w:rPr>
          <w:rFonts w:ascii="宋体" w:hAnsi="宋体"/>
          <w:color w:val="auto"/>
          <w:sz w:val="24"/>
          <w:szCs w:val="24"/>
          <w:highlight w:val="none"/>
        </w:rPr>
        <w:t>7</w:t>
      </w:r>
      <w:r>
        <w:rPr>
          <w:rFonts w:hint="eastAsia" w:ascii="宋体" w:hAnsi="宋体"/>
          <w:color w:val="auto"/>
          <w:sz w:val="24"/>
          <w:szCs w:val="24"/>
          <w:highlight w:val="none"/>
        </w:rPr>
        <w:t>款“</w:t>
      </w:r>
      <w:r>
        <w:rPr>
          <w:rFonts w:ascii="宋体" w:hAnsi="宋体"/>
          <w:color w:val="auto"/>
          <w:sz w:val="24"/>
          <w:szCs w:val="24"/>
          <w:highlight w:val="none"/>
        </w:rPr>
        <w:t>3.7</w:t>
      </w:r>
      <w:r>
        <w:rPr>
          <w:rFonts w:hint="eastAsia" w:ascii="宋体" w:hAnsi="宋体"/>
          <w:color w:val="auto"/>
          <w:sz w:val="24"/>
          <w:szCs w:val="24"/>
          <w:highlight w:val="none"/>
        </w:rPr>
        <w:t>投标文件的编制”执行，</w:t>
      </w:r>
      <w:r>
        <w:rPr>
          <w:rFonts w:hint="eastAsia" w:ascii="黑体" w:hAnsi="黑体" w:eastAsia="黑体" w:cs="楷体_GB2312"/>
          <w:b/>
          <w:color w:val="auto"/>
          <w:sz w:val="24"/>
          <w:highlight w:val="none"/>
          <w:lang w:val="zh-CN"/>
        </w:rPr>
        <w:t>否则将会评定为无效投标。</w:t>
      </w:r>
    </w:p>
    <w:p w14:paraId="2D2B2251">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hint="eastAsia" w:ascii="宋体" w:hAnsi="宋体"/>
          <w:color w:val="auto"/>
          <w:sz w:val="24"/>
          <w:szCs w:val="24"/>
          <w:highlight w:val="none"/>
        </w:rPr>
        <w:t>.5</w:t>
      </w:r>
      <w:r>
        <w:rPr>
          <w:rFonts w:hint="eastAsia" w:ascii="宋体"/>
          <w:color w:val="auto"/>
          <w:sz w:val="24"/>
          <w:szCs w:val="24"/>
          <w:highlight w:val="none"/>
        </w:rPr>
        <w:t>投标文件递交：</w:t>
      </w:r>
      <w:r>
        <w:rPr>
          <w:rFonts w:hint="eastAsia" w:ascii="宋体" w:hAnsi="宋体"/>
          <w:color w:val="auto"/>
          <w:sz w:val="24"/>
          <w:szCs w:val="24"/>
          <w:highlight w:val="none"/>
        </w:rPr>
        <w:t>投标人应在投标截止时间前上传加密的电子投标文件（*.aytf）到安阳市公共资源交易平台。</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4</w:t>
      </w:r>
      <w:r>
        <w:rPr>
          <w:rFonts w:hint="eastAsia" w:ascii="宋体" w:hAnsi="宋体"/>
          <w:color w:val="auto"/>
          <w:sz w:val="24"/>
          <w:szCs w:val="24"/>
          <w:highlight w:val="none"/>
        </w:rPr>
        <w:t>条</w:t>
      </w:r>
      <w:r>
        <w:rPr>
          <w:rFonts w:ascii="宋体" w:hAnsi="宋体"/>
          <w:color w:val="auto"/>
          <w:sz w:val="24"/>
          <w:szCs w:val="24"/>
          <w:highlight w:val="none"/>
        </w:rPr>
        <w:t xml:space="preserve"> “</w:t>
      </w:r>
      <w:r>
        <w:rPr>
          <w:rFonts w:hint="eastAsia" w:ascii="宋体" w:hAnsi="宋体"/>
          <w:color w:val="auto"/>
          <w:sz w:val="24"/>
          <w:szCs w:val="24"/>
          <w:highlight w:val="none"/>
        </w:rPr>
        <w:t>4. 投标”</w:t>
      </w:r>
      <w:r>
        <w:rPr>
          <w:rFonts w:ascii="宋体" w:hAnsi="宋体"/>
          <w:color w:val="auto"/>
          <w:sz w:val="24"/>
          <w:szCs w:val="24"/>
          <w:highlight w:val="none"/>
        </w:rPr>
        <w:t>执行，</w:t>
      </w:r>
      <w:r>
        <w:rPr>
          <w:rFonts w:hint="eastAsia" w:ascii="黑体" w:hAnsi="黑体" w:eastAsia="黑体" w:cs="楷体_GB2312"/>
          <w:b/>
          <w:color w:val="auto"/>
          <w:sz w:val="24"/>
          <w:highlight w:val="none"/>
          <w:lang w:val="zh-CN"/>
        </w:rPr>
        <w:t>否</w:t>
      </w:r>
      <w:r>
        <w:rPr>
          <w:rFonts w:ascii="黑体" w:hAnsi="黑体" w:eastAsia="黑体" w:cs="楷体_GB2312"/>
          <w:b/>
          <w:color w:val="auto"/>
          <w:sz w:val="24"/>
          <w:highlight w:val="none"/>
          <w:lang w:val="zh-CN"/>
        </w:rPr>
        <w:t>则将会</w:t>
      </w:r>
      <w:r>
        <w:rPr>
          <w:rFonts w:hint="eastAsia" w:ascii="黑体" w:hAnsi="黑体" w:eastAsia="黑体" w:cs="楷体_GB2312"/>
          <w:b/>
          <w:color w:val="auto"/>
          <w:sz w:val="24"/>
          <w:highlight w:val="none"/>
          <w:lang w:val="zh-CN"/>
        </w:rPr>
        <w:t>评</w:t>
      </w:r>
      <w:r>
        <w:rPr>
          <w:rFonts w:ascii="黑体" w:hAnsi="黑体" w:eastAsia="黑体" w:cs="楷体_GB2312"/>
          <w:b/>
          <w:color w:val="auto"/>
          <w:sz w:val="24"/>
          <w:highlight w:val="none"/>
          <w:lang w:val="zh-CN"/>
        </w:rPr>
        <w:t>定为无效投标。</w:t>
      </w:r>
    </w:p>
    <w:p w14:paraId="18076040">
      <w:pPr>
        <w:widowControl w:val="0"/>
        <w:tabs>
          <w:tab w:val="left" w:pos="39"/>
          <w:tab w:val="left" w:pos="96"/>
        </w:tabs>
        <w:snapToGrid w:val="0"/>
        <w:spacing w:line="360" w:lineRule="auto"/>
        <w:ind w:firstLine="540" w:firstLineChars="225"/>
        <w:rPr>
          <w:rFonts w:ascii="宋体" w:hAnsi="宋体" w:cs="楷体_GB2312"/>
          <w:color w:val="auto"/>
          <w:sz w:val="24"/>
          <w:highlight w:val="none"/>
          <w:lang w:val="zh-CN"/>
        </w:rPr>
      </w:pPr>
      <w:r>
        <w:rPr>
          <w:rFonts w:hint="eastAsia" w:ascii="宋体"/>
          <w:color w:val="auto"/>
          <w:sz w:val="24"/>
          <w:szCs w:val="24"/>
          <w:highlight w:val="none"/>
        </w:rPr>
        <w:t>9.</w:t>
      </w:r>
      <w:r>
        <w:rPr>
          <w:rFonts w:ascii="宋体"/>
          <w:color w:val="auto"/>
          <w:sz w:val="24"/>
          <w:szCs w:val="24"/>
          <w:highlight w:val="none"/>
        </w:rPr>
        <w:t>6</w:t>
      </w:r>
      <w:r>
        <w:rPr>
          <w:rFonts w:hint="eastAsia" w:ascii="宋体"/>
          <w:color w:val="auto"/>
          <w:sz w:val="24"/>
          <w:szCs w:val="24"/>
          <w:highlight w:val="none"/>
        </w:rPr>
        <w:t>投标文件</w:t>
      </w:r>
      <w:r>
        <w:rPr>
          <w:rFonts w:hint="eastAsia" w:ascii="宋体" w:hAnsi="宋体"/>
          <w:color w:val="auto"/>
          <w:sz w:val="24"/>
          <w:szCs w:val="24"/>
          <w:highlight w:val="none"/>
        </w:rPr>
        <w:t>解密</w:t>
      </w:r>
      <w:r>
        <w:rPr>
          <w:rFonts w:hint="eastAsia" w:ascii="宋体"/>
          <w:color w:val="auto"/>
          <w:sz w:val="24"/>
          <w:szCs w:val="24"/>
          <w:highlight w:val="none"/>
        </w:rPr>
        <w:t>：</w:t>
      </w:r>
      <w:r>
        <w:rPr>
          <w:bCs/>
          <w:color w:val="auto"/>
          <w:sz w:val="24"/>
          <w:szCs w:val="24"/>
          <w:highlight w:val="none"/>
        </w:rPr>
        <w:t>本项目采用远程不见面交易的模式，开标当日，投标人无需到开标现场参加开标会议，投标人应当在投标截止时间前，使用IE浏览器登录到安阳市公共资源交易不见面开标大厅（https://xwz.ggzy.anyang.gov.cn:3720/ayggzy/），点击右上方【登录】按钮进入，在线准时参加开标活动并进行投标文件解密等。</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5</w:t>
      </w:r>
      <w:r>
        <w:rPr>
          <w:rFonts w:hint="eastAsia" w:ascii="宋体" w:hAnsi="宋体"/>
          <w:color w:val="auto"/>
          <w:sz w:val="24"/>
          <w:szCs w:val="24"/>
          <w:highlight w:val="none"/>
        </w:rPr>
        <w:t>条</w:t>
      </w:r>
      <w:r>
        <w:rPr>
          <w:rFonts w:ascii="宋体" w:hAnsi="宋体"/>
          <w:color w:val="auto"/>
          <w:sz w:val="24"/>
          <w:szCs w:val="24"/>
          <w:highlight w:val="none"/>
        </w:rPr>
        <w:t xml:space="preserve">“5 </w:t>
      </w:r>
      <w:r>
        <w:rPr>
          <w:rFonts w:hint="eastAsia" w:ascii="宋体"/>
          <w:color w:val="auto"/>
          <w:sz w:val="24"/>
          <w:szCs w:val="24"/>
          <w:highlight w:val="none"/>
        </w:rPr>
        <w:t>开标</w:t>
      </w:r>
      <w:r>
        <w:rPr>
          <w:rFonts w:hint="eastAsia" w:ascii="宋体" w:hAnsi="宋体"/>
          <w:color w:val="auto"/>
          <w:sz w:val="24"/>
          <w:szCs w:val="24"/>
          <w:highlight w:val="none"/>
        </w:rPr>
        <w:t>”</w:t>
      </w:r>
      <w:r>
        <w:rPr>
          <w:rFonts w:ascii="宋体" w:hAnsi="宋体"/>
          <w:color w:val="auto"/>
          <w:sz w:val="24"/>
          <w:szCs w:val="24"/>
          <w:highlight w:val="none"/>
        </w:rPr>
        <w:t>执行，</w:t>
      </w:r>
      <w:r>
        <w:rPr>
          <w:rFonts w:hint="eastAsia" w:ascii="宋体" w:hAnsi="宋体" w:cs="楷体_GB2312"/>
          <w:color w:val="auto"/>
          <w:sz w:val="24"/>
          <w:highlight w:val="none"/>
          <w:lang w:val="zh-CN"/>
        </w:rPr>
        <w:t>否</w:t>
      </w:r>
      <w:r>
        <w:rPr>
          <w:rFonts w:ascii="宋体" w:hAnsi="宋体" w:cs="楷体_GB2312"/>
          <w:color w:val="auto"/>
          <w:sz w:val="24"/>
          <w:highlight w:val="none"/>
          <w:lang w:val="zh-CN"/>
        </w:rPr>
        <w:t>则</w:t>
      </w:r>
      <w:r>
        <w:rPr>
          <w:rFonts w:hint="eastAsia" w:ascii="宋体" w:hAnsi="宋体" w:cs="楷体_GB2312"/>
          <w:color w:val="auto"/>
          <w:sz w:val="24"/>
          <w:highlight w:val="none"/>
          <w:lang w:val="zh-CN"/>
        </w:rPr>
        <w:t>其投标将不能被接受</w:t>
      </w:r>
      <w:r>
        <w:rPr>
          <w:rFonts w:ascii="宋体" w:hAnsi="宋体" w:cs="楷体_GB2312"/>
          <w:color w:val="auto"/>
          <w:sz w:val="24"/>
          <w:highlight w:val="none"/>
          <w:lang w:val="zh-CN"/>
        </w:rPr>
        <w:t>。</w:t>
      </w:r>
    </w:p>
    <w:p w14:paraId="37AAD281">
      <w:pPr>
        <w:widowControl w:val="0"/>
        <w:tabs>
          <w:tab w:val="left" w:pos="39"/>
          <w:tab w:val="left" w:pos="96"/>
        </w:tabs>
        <w:snapToGrid w:val="0"/>
        <w:spacing w:line="360" w:lineRule="auto"/>
        <w:ind w:firstLine="540" w:firstLineChars="225"/>
        <w:rPr>
          <w:rFonts w:ascii="宋体" w:hAnsi="宋体" w:cs="楷体_GB2312"/>
          <w:color w:val="auto"/>
          <w:sz w:val="24"/>
          <w:highlight w:val="none"/>
          <w:lang w:val="zh-CN"/>
        </w:rPr>
      </w:pPr>
      <w:r>
        <w:rPr>
          <w:rFonts w:hint="eastAsia" w:ascii="宋体" w:hAnsi="宋体" w:cs="楷体_GB2312"/>
          <w:color w:val="auto"/>
          <w:sz w:val="24"/>
          <w:highlight w:val="none"/>
          <w:lang w:val="zh-CN"/>
        </w:rPr>
        <w:t>9.7锁名称变更或者延期可能会导致开标过程无法正常解密标书。开标过程中解密必须使用生成标书时使用的CA锁，丢失、变更、延期都会导致无法解密。如无待开标解密项目，变更或者延期不影响正常的业务操作，但需要注意如下事项：</w:t>
      </w:r>
    </w:p>
    <w:p w14:paraId="6EC5CB9D">
      <w:pPr>
        <w:widowControl w:val="0"/>
        <w:tabs>
          <w:tab w:val="left" w:pos="39"/>
          <w:tab w:val="left" w:pos="96"/>
        </w:tabs>
        <w:snapToGrid w:val="0"/>
        <w:spacing w:line="360" w:lineRule="auto"/>
        <w:ind w:firstLine="540" w:firstLineChars="225"/>
        <w:rPr>
          <w:rFonts w:ascii="宋体" w:hAnsi="宋体" w:cs="楷体_GB2312"/>
          <w:color w:val="auto"/>
          <w:sz w:val="24"/>
          <w:highlight w:val="none"/>
          <w:lang w:val="zh-CN"/>
        </w:rPr>
      </w:pPr>
      <w:r>
        <w:rPr>
          <w:rFonts w:hint="eastAsia" w:ascii="宋体" w:hAnsi="宋体" w:cs="楷体_GB2312"/>
          <w:color w:val="auto"/>
          <w:sz w:val="24"/>
          <w:highlight w:val="none"/>
          <w:lang w:val="zh-CN"/>
        </w:rPr>
        <w:t>①锁名称变更前建议先在交易系统修改单位名称为最新的，变更完成后再变更锁名称，以免因名称不一致无法正常登录系统。</w:t>
      </w:r>
    </w:p>
    <w:p w14:paraId="5D11A55C">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s="楷体_GB2312"/>
          <w:color w:val="auto"/>
          <w:sz w:val="24"/>
          <w:highlight w:val="none"/>
          <w:lang w:val="zh-CN"/>
        </w:rPr>
        <w:t>②锁延期之后序列号可能会发生改变（视不同CA而定），变更后需要重新进行绑定。</w:t>
      </w:r>
    </w:p>
    <w:p w14:paraId="523A969F">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9.8政府采购电子交易中，投标人网上电子交易的系统操作规则应以安阳市公共资源交易平台即时发布的相关规则为准。</w:t>
      </w:r>
    </w:p>
    <w:p w14:paraId="1DF1E0B1">
      <w:pPr>
        <w:widowControl w:val="0"/>
        <w:tabs>
          <w:tab w:val="left" w:pos="39"/>
          <w:tab w:val="left" w:pos="96"/>
        </w:tabs>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9.9望投标人充分熟悉网上电子交易操作流程、以便有效投标。</w:t>
      </w:r>
    </w:p>
    <w:p w14:paraId="58FE6FE1">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bCs/>
          <w:color w:val="auto"/>
          <w:sz w:val="24"/>
          <w:szCs w:val="24"/>
          <w:highlight w:val="none"/>
        </w:rPr>
        <w:t>9.10 如遇到网上系统操作等技术问题请咨询</w:t>
      </w:r>
      <w:r>
        <w:rPr>
          <w:rFonts w:hint="eastAsia" w:ascii="宋体" w:hAnsi="宋体"/>
          <w:color w:val="auto"/>
          <w:sz w:val="24"/>
          <w:szCs w:val="24"/>
          <w:highlight w:val="none"/>
        </w:rPr>
        <w:t>400-998-0000、0372-3387739。</w:t>
      </w:r>
    </w:p>
    <w:p w14:paraId="110467E4">
      <w:pPr>
        <w:widowControl w:val="0"/>
        <w:tabs>
          <w:tab w:val="left" w:pos="39"/>
          <w:tab w:val="left" w:pos="96"/>
        </w:tabs>
        <w:snapToGrid w:val="0"/>
        <w:spacing w:line="360" w:lineRule="auto"/>
        <w:ind w:firstLine="540" w:firstLineChars="225"/>
        <w:rPr>
          <w:rFonts w:ascii="宋体"/>
          <w:color w:val="auto"/>
          <w:sz w:val="24"/>
          <w:szCs w:val="24"/>
          <w:highlight w:val="none"/>
        </w:rPr>
      </w:pPr>
    </w:p>
    <w:p w14:paraId="13BB70F5">
      <w:pPr>
        <w:widowControl w:val="0"/>
        <w:tabs>
          <w:tab w:val="left" w:pos="39"/>
          <w:tab w:val="left" w:pos="96"/>
        </w:tabs>
        <w:snapToGrid w:val="0"/>
        <w:spacing w:line="360" w:lineRule="auto"/>
        <w:ind w:right="480"/>
        <w:jc w:val="right"/>
        <w:rPr>
          <w:rFonts w:ascii="宋体"/>
          <w:color w:val="auto"/>
          <w:sz w:val="24"/>
          <w:szCs w:val="24"/>
          <w:highlight w:val="none"/>
        </w:rPr>
      </w:pPr>
      <w:r>
        <w:rPr>
          <w:rFonts w:hint="eastAsia" w:ascii="宋体"/>
          <w:color w:val="auto"/>
          <w:sz w:val="24"/>
          <w:szCs w:val="24"/>
          <w:highlight w:val="none"/>
        </w:rPr>
        <w:t>安阳市方正招标采购服务有限责任公司</w:t>
      </w:r>
    </w:p>
    <w:p w14:paraId="3F3320B7">
      <w:pPr>
        <w:widowControl w:val="0"/>
        <w:tabs>
          <w:tab w:val="left" w:pos="39"/>
          <w:tab w:val="left" w:pos="96"/>
        </w:tabs>
        <w:snapToGrid w:val="0"/>
        <w:spacing w:line="360" w:lineRule="auto"/>
        <w:ind w:firstLine="540" w:firstLineChars="225"/>
        <w:jc w:val="right"/>
        <w:rPr>
          <w:rFonts w:ascii="宋体"/>
          <w:color w:val="auto"/>
          <w:sz w:val="24"/>
          <w:szCs w:val="24"/>
          <w:highlight w:val="none"/>
        </w:rPr>
      </w:pPr>
      <w:r>
        <w:rPr>
          <w:rFonts w:hint="eastAsia" w:ascii="宋体"/>
          <w:color w:val="auto"/>
          <w:sz w:val="24"/>
          <w:szCs w:val="24"/>
          <w:highlight w:val="none"/>
        </w:rPr>
        <w:t>二〇二四年</w:t>
      </w:r>
      <w:r>
        <w:rPr>
          <w:rFonts w:hint="eastAsia" w:ascii="宋体"/>
          <w:color w:val="auto"/>
          <w:sz w:val="24"/>
          <w:szCs w:val="24"/>
          <w:highlight w:val="none"/>
          <w:lang w:eastAsia="zh-CN"/>
        </w:rPr>
        <w:t>八</w:t>
      </w:r>
      <w:r>
        <w:rPr>
          <w:rFonts w:hint="eastAsia" w:ascii="宋体"/>
          <w:color w:val="auto"/>
          <w:sz w:val="24"/>
          <w:szCs w:val="24"/>
          <w:highlight w:val="none"/>
        </w:rPr>
        <w:t>月</w:t>
      </w:r>
      <w:r>
        <w:rPr>
          <w:rFonts w:hint="eastAsia" w:ascii="宋体"/>
          <w:color w:val="auto"/>
          <w:sz w:val="24"/>
          <w:szCs w:val="24"/>
          <w:highlight w:val="none"/>
          <w:lang w:eastAsia="zh-CN"/>
        </w:rPr>
        <w:t>十三</w:t>
      </w:r>
      <w:r>
        <w:rPr>
          <w:rFonts w:hint="eastAsia" w:ascii="宋体"/>
          <w:color w:val="auto"/>
          <w:sz w:val="24"/>
          <w:szCs w:val="24"/>
          <w:highlight w:val="none"/>
        </w:rPr>
        <w:t>日</w:t>
      </w:r>
    </w:p>
    <w:p w14:paraId="05CD7FB4">
      <w:pPr>
        <w:widowControl w:val="0"/>
        <w:tabs>
          <w:tab w:val="left" w:pos="39"/>
          <w:tab w:val="left" w:pos="96"/>
        </w:tabs>
        <w:snapToGrid w:val="0"/>
        <w:spacing w:line="360" w:lineRule="auto"/>
        <w:ind w:firstLine="630" w:firstLineChars="225"/>
        <w:rPr>
          <w:rFonts w:eastAsia="方正黑体简体"/>
          <w:color w:val="auto"/>
          <w:sz w:val="28"/>
          <w:szCs w:val="28"/>
          <w:highlight w:val="none"/>
        </w:rPr>
      </w:pPr>
      <w:r>
        <w:rPr>
          <w:rFonts w:eastAsia="方正黑体简体"/>
          <w:color w:val="auto"/>
          <w:sz w:val="28"/>
          <w:szCs w:val="28"/>
          <w:highlight w:val="none"/>
        </w:rPr>
        <w:br w:type="page"/>
      </w:r>
    </w:p>
    <w:p w14:paraId="49DB0955">
      <w:pPr>
        <w:widowControl w:val="0"/>
        <w:snapToGrid w:val="0"/>
        <w:spacing w:line="360" w:lineRule="auto"/>
        <w:jc w:val="center"/>
        <w:outlineLvl w:val="0"/>
        <w:rPr>
          <w:rFonts w:eastAsia="方正黑体简体"/>
          <w:color w:val="auto"/>
          <w:sz w:val="36"/>
          <w:szCs w:val="36"/>
          <w:highlight w:val="none"/>
        </w:rPr>
      </w:pPr>
      <w:bookmarkStart w:id="17" w:name="_Toc169770929"/>
      <w:r>
        <w:rPr>
          <w:rFonts w:hint="eastAsia" w:eastAsia="黑体"/>
          <w:b/>
          <w:color w:val="auto"/>
          <w:sz w:val="36"/>
          <w:szCs w:val="36"/>
          <w:highlight w:val="none"/>
        </w:rPr>
        <w:t>第二章</w:t>
      </w:r>
      <w:r>
        <w:rPr>
          <w:rFonts w:eastAsia="黑体"/>
          <w:b/>
          <w:color w:val="auto"/>
          <w:sz w:val="36"/>
          <w:szCs w:val="36"/>
          <w:highlight w:val="none"/>
        </w:rPr>
        <w:t xml:space="preserve">  </w:t>
      </w:r>
      <w:r>
        <w:rPr>
          <w:rFonts w:hint="eastAsia" w:eastAsia="黑体"/>
          <w:b/>
          <w:color w:val="auto"/>
          <w:sz w:val="36"/>
          <w:szCs w:val="36"/>
          <w:highlight w:val="none"/>
        </w:rPr>
        <w:t>招标项目要求及采购需求</w:t>
      </w:r>
      <w:bookmarkEnd w:id="17"/>
    </w:p>
    <w:p w14:paraId="62F04917">
      <w:pPr>
        <w:widowControl w:val="0"/>
        <w:snapToGrid w:val="0"/>
        <w:spacing w:line="360" w:lineRule="auto"/>
        <w:jc w:val="center"/>
        <w:rPr>
          <w:b/>
          <w:color w:val="auto"/>
          <w:sz w:val="28"/>
          <w:highlight w:val="none"/>
        </w:rPr>
      </w:pPr>
    </w:p>
    <w:p w14:paraId="51ABEF38">
      <w:pPr>
        <w:widowControl w:val="0"/>
        <w:snapToGrid w:val="0"/>
        <w:spacing w:line="360" w:lineRule="auto"/>
        <w:ind w:firstLine="422" w:firstLineChars="150"/>
        <w:jc w:val="left"/>
        <w:outlineLvl w:val="1"/>
        <w:rPr>
          <w:rFonts w:ascii="黑体" w:hAnsi="黑体" w:eastAsia="黑体"/>
          <w:b/>
          <w:color w:val="auto"/>
          <w:sz w:val="28"/>
          <w:highlight w:val="none"/>
        </w:rPr>
      </w:pPr>
      <w:bookmarkStart w:id="18" w:name="_Toc169770930"/>
      <w:r>
        <w:rPr>
          <w:rFonts w:ascii="黑体" w:hAnsi="黑体" w:eastAsia="黑体"/>
          <w:b/>
          <w:color w:val="auto"/>
          <w:sz w:val="28"/>
          <w:highlight w:val="none"/>
        </w:rPr>
        <w:t xml:space="preserve">1. </w:t>
      </w:r>
      <w:r>
        <w:rPr>
          <w:rFonts w:hint="eastAsia" w:ascii="黑体" w:hAnsi="黑体" w:eastAsia="黑体"/>
          <w:b/>
          <w:color w:val="auto"/>
          <w:sz w:val="28"/>
          <w:highlight w:val="none"/>
        </w:rPr>
        <w:t>招标项目、标段（包）划分、投标报价</w:t>
      </w:r>
      <w:bookmarkEnd w:id="18"/>
    </w:p>
    <w:p w14:paraId="4D755068">
      <w:pPr>
        <w:widowControl w:val="0"/>
        <w:snapToGrid w:val="0"/>
        <w:spacing w:line="360" w:lineRule="auto"/>
        <w:ind w:firstLine="482" w:firstLineChars="200"/>
        <w:jc w:val="left"/>
        <w:rPr>
          <w:color w:val="auto"/>
          <w:sz w:val="24"/>
          <w:szCs w:val="24"/>
          <w:highlight w:val="none"/>
        </w:rPr>
      </w:pPr>
      <w:r>
        <w:rPr>
          <w:rFonts w:ascii="黑体" w:hAnsi="黑体" w:eastAsia="黑体"/>
          <w:b/>
          <w:color w:val="auto"/>
          <w:sz w:val="24"/>
          <w:szCs w:val="24"/>
          <w:highlight w:val="none"/>
        </w:rPr>
        <w:t>1.1</w:t>
      </w:r>
      <w:r>
        <w:rPr>
          <w:rFonts w:hint="eastAsia" w:ascii="黑体" w:hAnsi="黑体" w:eastAsia="黑体"/>
          <w:b/>
          <w:color w:val="auto"/>
          <w:sz w:val="24"/>
          <w:szCs w:val="24"/>
          <w:highlight w:val="none"/>
        </w:rPr>
        <w:t>招标项目名称</w:t>
      </w:r>
      <w:r>
        <w:rPr>
          <w:rFonts w:hint="eastAsia"/>
          <w:color w:val="auto"/>
          <w:sz w:val="24"/>
          <w:szCs w:val="24"/>
          <w:highlight w:val="none"/>
        </w:rPr>
        <w:t>：</w:t>
      </w:r>
      <w:r>
        <w:rPr>
          <w:rFonts w:hint="eastAsia" w:ascii="宋体" w:hAnsi="宋体"/>
          <w:color w:val="auto"/>
          <w:sz w:val="24"/>
          <w:szCs w:val="24"/>
          <w:highlight w:val="none"/>
        </w:rPr>
        <w:t>安阳市自然资源和规划局安阳市城市更新专项规划项目</w:t>
      </w:r>
    </w:p>
    <w:p w14:paraId="706DB7B7">
      <w:pPr>
        <w:widowControl w:val="0"/>
        <w:snapToGrid w:val="0"/>
        <w:spacing w:line="360" w:lineRule="auto"/>
        <w:ind w:firstLine="482" w:firstLineChars="200"/>
        <w:jc w:val="left"/>
        <w:rPr>
          <w:color w:val="auto"/>
          <w:sz w:val="24"/>
          <w:szCs w:val="24"/>
          <w:highlight w:val="none"/>
        </w:rPr>
      </w:pPr>
      <w:r>
        <w:rPr>
          <w:rFonts w:ascii="黑体" w:hAnsi="黑体" w:eastAsia="黑体"/>
          <w:b/>
          <w:color w:val="auto"/>
          <w:sz w:val="24"/>
          <w:szCs w:val="24"/>
          <w:highlight w:val="none"/>
        </w:rPr>
        <w:t xml:space="preserve">1.2 </w:t>
      </w:r>
      <w:r>
        <w:rPr>
          <w:rFonts w:hint="eastAsia" w:ascii="黑体" w:hAnsi="黑体" w:eastAsia="黑体"/>
          <w:b/>
          <w:color w:val="auto"/>
          <w:sz w:val="24"/>
          <w:szCs w:val="24"/>
          <w:highlight w:val="none"/>
        </w:rPr>
        <w:t>标段（包）划分及其交付（实施）期交付（实施）地点</w:t>
      </w:r>
      <w:r>
        <w:rPr>
          <w:rFonts w:hint="eastAsia"/>
          <w:color w:val="auto"/>
          <w:sz w:val="24"/>
          <w:szCs w:val="24"/>
          <w:highlight w:val="none"/>
        </w:rPr>
        <w:t>：本次招标项目划分为</w:t>
      </w:r>
      <w:r>
        <w:rPr>
          <w:color w:val="auto"/>
          <w:sz w:val="24"/>
          <w:szCs w:val="24"/>
          <w:highlight w:val="none"/>
        </w:rPr>
        <w:t>1</w:t>
      </w:r>
      <w:r>
        <w:rPr>
          <w:rFonts w:hint="eastAsia"/>
          <w:color w:val="auto"/>
          <w:sz w:val="24"/>
          <w:szCs w:val="24"/>
          <w:highlight w:val="none"/>
        </w:rPr>
        <w:t>个标段（包）。</w:t>
      </w:r>
    </w:p>
    <w:tbl>
      <w:tblPr>
        <w:tblStyle w:val="18"/>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56"/>
        <w:gridCol w:w="2515"/>
        <w:gridCol w:w="2127"/>
        <w:gridCol w:w="1237"/>
      </w:tblGrid>
      <w:tr w14:paraId="69F2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709" w:type="dxa"/>
            <w:gridSpan w:val="5"/>
            <w:vAlign w:val="center"/>
          </w:tcPr>
          <w:p w14:paraId="5676381E">
            <w:pPr>
              <w:widowControl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标段（包）一览表</w:t>
            </w:r>
          </w:p>
        </w:tc>
      </w:tr>
      <w:tr w14:paraId="0F57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74" w:type="dxa"/>
            <w:vAlign w:val="center"/>
          </w:tcPr>
          <w:p w14:paraId="74E074F0">
            <w:pPr>
              <w:widowControl w:val="0"/>
              <w:snapToGrid w:val="0"/>
              <w:spacing w:line="240" w:lineRule="auto"/>
              <w:jc w:val="center"/>
              <w:rPr>
                <w:b/>
                <w:color w:val="auto"/>
                <w:sz w:val="24"/>
                <w:szCs w:val="24"/>
                <w:highlight w:val="none"/>
              </w:rPr>
            </w:pPr>
            <w:r>
              <w:rPr>
                <w:rFonts w:hint="eastAsia"/>
                <w:b/>
                <w:color w:val="auto"/>
                <w:sz w:val="24"/>
                <w:szCs w:val="24"/>
                <w:highlight w:val="none"/>
              </w:rPr>
              <w:t>项目名称</w:t>
            </w:r>
          </w:p>
        </w:tc>
        <w:tc>
          <w:tcPr>
            <w:tcW w:w="1856" w:type="dxa"/>
            <w:vAlign w:val="center"/>
          </w:tcPr>
          <w:p w14:paraId="02796436">
            <w:pPr>
              <w:widowControl w:val="0"/>
              <w:snapToGrid w:val="0"/>
              <w:spacing w:line="240" w:lineRule="auto"/>
              <w:jc w:val="center"/>
              <w:rPr>
                <w:b/>
                <w:color w:val="auto"/>
                <w:sz w:val="24"/>
                <w:szCs w:val="24"/>
                <w:highlight w:val="none"/>
              </w:rPr>
            </w:pPr>
            <w:r>
              <w:rPr>
                <w:rFonts w:hint="eastAsia"/>
                <w:b/>
                <w:color w:val="auto"/>
                <w:sz w:val="24"/>
                <w:szCs w:val="24"/>
                <w:highlight w:val="none"/>
              </w:rPr>
              <w:t>标段（包）名称</w:t>
            </w:r>
          </w:p>
        </w:tc>
        <w:tc>
          <w:tcPr>
            <w:tcW w:w="2515" w:type="dxa"/>
            <w:vAlign w:val="center"/>
          </w:tcPr>
          <w:p w14:paraId="1E4FCE1A">
            <w:pPr>
              <w:widowControl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标段（包）内容（范围）</w:t>
            </w:r>
          </w:p>
        </w:tc>
        <w:tc>
          <w:tcPr>
            <w:tcW w:w="2127" w:type="dxa"/>
            <w:vAlign w:val="center"/>
          </w:tcPr>
          <w:p w14:paraId="01817EBA">
            <w:pPr>
              <w:widowControl w:val="0"/>
              <w:snapToGrid w:val="0"/>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合同履行期限</w:t>
            </w:r>
          </w:p>
          <w:p w14:paraId="509297EB">
            <w:pPr>
              <w:widowControl w:val="0"/>
              <w:snapToGrid w:val="0"/>
              <w:spacing w:line="240" w:lineRule="auto"/>
              <w:jc w:val="center"/>
              <w:rPr>
                <w:b/>
                <w:color w:val="auto"/>
                <w:sz w:val="24"/>
                <w:szCs w:val="24"/>
                <w:highlight w:val="none"/>
              </w:rPr>
            </w:pPr>
            <w:r>
              <w:rPr>
                <w:rFonts w:hint="eastAsia" w:ascii="宋体" w:hAnsi="宋体"/>
                <w:b/>
                <w:color w:val="auto"/>
                <w:sz w:val="24"/>
                <w:szCs w:val="24"/>
                <w:highlight w:val="none"/>
              </w:rPr>
              <w:t>（交付&lt;实施&gt;期）</w:t>
            </w:r>
          </w:p>
        </w:tc>
        <w:tc>
          <w:tcPr>
            <w:tcW w:w="1237" w:type="dxa"/>
            <w:vAlign w:val="center"/>
          </w:tcPr>
          <w:p w14:paraId="0F2EEA4C">
            <w:pPr>
              <w:widowControl w:val="0"/>
              <w:snapToGrid w:val="0"/>
              <w:spacing w:line="240" w:lineRule="auto"/>
              <w:jc w:val="center"/>
              <w:rPr>
                <w:b/>
                <w:color w:val="auto"/>
                <w:sz w:val="24"/>
                <w:szCs w:val="24"/>
                <w:highlight w:val="none"/>
              </w:rPr>
            </w:pPr>
            <w:r>
              <w:rPr>
                <w:rFonts w:hint="eastAsia" w:ascii="宋体" w:hAnsi="宋体"/>
                <w:b/>
                <w:color w:val="auto"/>
                <w:sz w:val="24"/>
                <w:szCs w:val="24"/>
                <w:highlight w:val="none"/>
              </w:rPr>
              <w:t>交付（实施）地点</w:t>
            </w:r>
          </w:p>
        </w:tc>
      </w:tr>
      <w:tr w14:paraId="09AD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974" w:type="dxa"/>
            <w:vAlign w:val="center"/>
          </w:tcPr>
          <w:p w14:paraId="47DBE4FF">
            <w:pPr>
              <w:widowControl w:val="0"/>
              <w:adjustRightInd w:val="0"/>
              <w:snapToGrid w:val="0"/>
              <w:spacing w:line="240" w:lineRule="auto"/>
              <w:rPr>
                <w:color w:val="auto"/>
                <w:sz w:val="24"/>
                <w:szCs w:val="24"/>
                <w:highlight w:val="none"/>
              </w:rPr>
            </w:pPr>
            <w:r>
              <w:rPr>
                <w:rFonts w:hint="eastAsia" w:ascii="宋体" w:hAnsi="宋体"/>
                <w:color w:val="auto"/>
                <w:sz w:val="24"/>
                <w:szCs w:val="24"/>
                <w:highlight w:val="none"/>
              </w:rPr>
              <w:t>安阳市自然资源和规划局安阳市城市更新专项规划项目</w:t>
            </w:r>
          </w:p>
        </w:tc>
        <w:tc>
          <w:tcPr>
            <w:tcW w:w="1856" w:type="dxa"/>
            <w:vAlign w:val="center"/>
          </w:tcPr>
          <w:p w14:paraId="50950EDF">
            <w:pPr>
              <w:widowControl w:val="0"/>
              <w:adjustRightInd w:val="0"/>
              <w:snapToGrid w:val="0"/>
              <w:spacing w:line="240" w:lineRule="auto"/>
              <w:rPr>
                <w:color w:val="auto"/>
                <w:sz w:val="24"/>
                <w:szCs w:val="24"/>
                <w:highlight w:val="none"/>
              </w:rPr>
            </w:pPr>
            <w:r>
              <w:rPr>
                <w:rFonts w:hint="eastAsia"/>
                <w:color w:val="auto"/>
                <w:sz w:val="24"/>
                <w:szCs w:val="24"/>
                <w:highlight w:val="none"/>
              </w:rPr>
              <w:t>同项目名称</w:t>
            </w:r>
          </w:p>
        </w:tc>
        <w:tc>
          <w:tcPr>
            <w:tcW w:w="2515" w:type="dxa"/>
            <w:vAlign w:val="center"/>
          </w:tcPr>
          <w:p w14:paraId="6F9565FA">
            <w:pPr>
              <w:widowControl w:val="0"/>
              <w:adjustRightInd w:val="0"/>
              <w:snapToGrid w:val="0"/>
              <w:spacing w:line="240" w:lineRule="auto"/>
              <w:rPr>
                <w:color w:val="auto"/>
                <w:sz w:val="24"/>
                <w:szCs w:val="24"/>
                <w:highlight w:val="none"/>
              </w:rPr>
            </w:pPr>
            <w:r>
              <w:rPr>
                <w:rFonts w:hint="eastAsia"/>
                <w:color w:val="auto"/>
                <w:sz w:val="24"/>
                <w:szCs w:val="24"/>
                <w:highlight w:val="none"/>
              </w:rPr>
              <w:t>见“第二章第</w:t>
            </w:r>
            <w:r>
              <w:rPr>
                <w:color w:val="auto"/>
                <w:sz w:val="24"/>
                <w:szCs w:val="24"/>
                <w:highlight w:val="none"/>
              </w:rPr>
              <w:t>2</w:t>
            </w:r>
            <w:r>
              <w:rPr>
                <w:rFonts w:hint="eastAsia"/>
                <w:color w:val="auto"/>
                <w:sz w:val="24"/>
                <w:szCs w:val="24"/>
                <w:highlight w:val="none"/>
              </w:rPr>
              <w:t>条：标段（包）内容（范围）及具体采购需求”</w:t>
            </w:r>
          </w:p>
        </w:tc>
        <w:tc>
          <w:tcPr>
            <w:tcW w:w="2127" w:type="dxa"/>
            <w:vAlign w:val="center"/>
          </w:tcPr>
          <w:p w14:paraId="0B203E2C">
            <w:pPr>
              <w:widowControl w:val="0"/>
              <w:adjustRightInd w:val="0"/>
              <w:snapToGrid w:val="0"/>
              <w:spacing w:line="240" w:lineRule="auto"/>
              <w:rPr>
                <w:color w:val="auto"/>
                <w:sz w:val="24"/>
                <w:szCs w:val="24"/>
                <w:highlight w:val="none"/>
              </w:rPr>
            </w:pPr>
            <w:r>
              <w:rPr>
                <w:rFonts w:hint="eastAsia"/>
                <w:color w:val="auto"/>
                <w:sz w:val="24"/>
                <w:szCs w:val="24"/>
                <w:highlight w:val="none"/>
              </w:rPr>
              <w:t>见招标公告1.6</w:t>
            </w:r>
          </w:p>
        </w:tc>
        <w:tc>
          <w:tcPr>
            <w:tcW w:w="1237" w:type="dxa"/>
            <w:vAlign w:val="center"/>
          </w:tcPr>
          <w:p w14:paraId="3497F458">
            <w:pPr>
              <w:widowControl w:val="0"/>
              <w:adjustRightInd w:val="0"/>
              <w:snapToGrid w:val="0"/>
              <w:spacing w:line="240" w:lineRule="auto"/>
              <w:rPr>
                <w:color w:val="auto"/>
                <w:sz w:val="24"/>
                <w:szCs w:val="24"/>
                <w:highlight w:val="none"/>
              </w:rPr>
            </w:pPr>
            <w:r>
              <w:rPr>
                <w:rFonts w:hint="eastAsia"/>
                <w:color w:val="auto"/>
                <w:sz w:val="24"/>
                <w:szCs w:val="24"/>
                <w:highlight w:val="none"/>
              </w:rPr>
              <w:t>采购人指定地点</w:t>
            </w:r>
          </w:p>
        </w:tc>
      </w:tr>
    </w:tbl>
    <w:p w14:paraId="02E92F66">
      <w:pPr>
        <w:spacing w:line="560" w:lineRule="exact"/>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 xml:space="preserve">1.3 </w:t>
      </w:r>
      <w:r>
        <w:rPr>
          <w:rFonts w:hint="eastAsia" w:ascii="黑体" w:hAnsi="黑体" w:eastAsia="黑体"/>
          <w:b/>
          <w:color w:val="auto"/>
          <w:sz w:val="24"/>
          <w:szCs w:val="24"/>
          <w:highlight w:val="none"/>
        </w:rPr>
        <w:t>投标报价（价格构成）</w:t>
      </w:r>
    </w:p>
    <w:p w14:paraId="1299C478">
      <w:pPr>
        <w:widowControl w:val="0"/>
        <w:snapToGrid w:val="0"/>
        <w:spacing w:line="360" w:lineRule="auto"/>
        <w:ind w:firstLine="480" w:firstLineChars="200"/>
        <w:jc w:val="left"/>
        <w:rPr>
          <w:color w:val="auto"/>
          <w:sz w:val="24"/>
          <w:szCs w:val="24"/>
          <w:highlight w:val="none"/>
        </w:rPr>
      </w:pPr>
      <w:r>
        <w:rPr>
          <w:color w:val="auto"/>
          <w:sz w:val="24"/>
          <w:szCs w:val="24"/>
          <w:highlight w:val="none"/>
        </w:rPr>
        <w:t>1.3.1</w:t>
      </w:r>
      <w:r>
        <w:rPr>
          <w:rFonts w:hint="eastAsia"/>
          <w:color w:val="auto"/>
          <w:sz w:val="24"/>
          <w:szCs w:val="24"/>
          <w:highlight w:val="none"/>
        </w:rPr>
        <w:t>投标人的投标报价应为达到服务要求下的目的地交验价，包括人工费、相关税费、外业调查费，数据处理费、交通费、材料费、知识产权（如有）、保险（如需）、成果印刷费、相关部门论证评审费、所涉货物包装、技术服务费等与招标项目（标段&lt;包&gt;）相关的、必须的款项及费用（包括未列明而完成交验所必须的所有费用、材料、工具、设施）。</w:t>
      </w:r>
      <w:r>
        <w:rPr>
          <w:rFonts w:hint="eastAsia" w:ascii="宋体" w:hAnsi="宋体"/>
          <w:color w:val="auto"/>
          <w:sz w:val="24"/>
          <w:szCs w:val="24"/>
          <w:highlight w:val="none"/>
        </w:rPr>
        <w:t>中标价格在中标合同范围内固定不变。</w:t>
      </w:r>
    </w:p>
    <w:p w14:paraId="44185C42">
      <w:pPr>
        <w:widowControl w:val="0"/>
        <w:snapToGrid w:val="0"/>
        <w:spacing w:line="360" w:lineRule="auto"/>
        <w:ind w:firstLine="480" w:firstLineChars="200"/>
        <w:jc w:val="left"/>
        <w:rPr>
          <w:color w:val="auto"/>
          <w:sz w:val="24"/>
          <w:szCs w:val="24"/>
          <w:highlight w:val="none"/>
        </w:rPr>
      </w:pPr>
      <w:r>
        <w:rPr>
          <w:color w:val="auto"/>
          <w:sz w:val="24"/>
          <w:szCs w:val="24"/>
          <w:highlight w:val="none"/>
        </w:rPr>
        <w:t>1.3.2</w:t>
      </w:r>
      <w:r>
        <w:rPr>
          <w:rFonts w:hint="eastAsia"/>
          <w:color w:val="auto"/>
          <w:sz w:val="24"/>
          <w:szCs w:val="24"/>
          <w:highlight w:val="none"/>
        </w:rPr>
        <w:t>投标报价为一次性报价，报价时间截止后对投标报价的任何承诺、修改，除法定修正或招标文件规定修正情形外，评标委员会将不予考虑。</w:t>
      </w:r>
    </w:p>
    <w:p w14:paraId="39699563">
      <w:pPr>
        <w:widowControl w:val="0"/>
        <w:snapToGrid w:val="0"/>
        <w:spacing w:line="360" w:lineRule="auto"/>
        <w:ind w:firstLine="480" w:firstLineChars="200"/>
        <w:jc w:val="left"/>
        <w:rPr>
          <w:color w:val="auto"/>
          <w:sz w:val="24"/>
          <w:szCs w:val="24"/>
          <w:highlight w:val="none"/>
        </w:rPr>
      </w:pPr>
      <w:r>
        <w:rPr>
          <w:color w:val="auto"/>
          <w:sz w:val="24"/>
          <w:szCs w:val="24"/>
          <w:highlight w:val="none"/>
        </w:rPr>
        <w:t xml:space="preserve">1.3.3 </w:t>
      </w:r>
      <w:r>
        <w:rPr>
          <w:rFonts w:hint="eastAsia"/>
          <w:color w:val="auto"/>
          <w:sz w:val="24"/>
          <w:szCs w:val="24"/>
          <w:highlight w:val="none"/>
        </w:rPr>
        <w:t>如投标人的投标报价未超过</w:t>
      </w:r>
      <w:r>
        <w:rPr>
          <w:rFonts w:hint="eastAsia" w:ascii="宋体" w:hAnsi="宋体" w:cs="楷体_GB2312"/>
          <w:bCs/>
          <w:color w:val="auto"/>
          <w:sz w:val="24"/>
          <w:highlight w:val="none"/>
          <w:lang w:val="zh-CN"/>
        </w:rPr>
        <w:t>预算金额</w:t>
      </w:r>
      <w:r>
        <w:rPr>
          <w:rFonts w:hint="eastAsia"/>
          <w:color w:val="auto"/>
          <w:sz w:val="24"/>
          <w:szCs w:val="24"/>
          <w:highlight w:val="none"/>
        </w:rPr>
        <w:t>（见招标公告</w:t>
      </w:r>
      <w:r>
        <w:rPr>
          <w:color w:val="auto"/>
          <w:sz w:val="24"/>
          <w:szCs w:val="24"/>
          <w:highlight w:val="none"/>
        </w:rPr>
        <w:t>1.</w:t>
      </w:r>
      <w:r>
        <w:rPr>
          <w:rFonts w:hint="eastAsia"/>
          <w:color w:val="auto"/>
          <w:sz w:val="24"/>
          <w:szCs w:val="24"/>
          <w:highlight w:val="none"/>
        </w:rPr>
        <w:t>4）的供应商不足三家的，该标段（包）做废标处理。</w:t>
      </w:r>
    </w:p>
    <w:p w14:paraId="2E0118C6">
      <w:pPr>
        <w:widowControl w:val="0"/>
        <w:snapToGrid w:val="0"/>
        <w:spacing w:line="360" w:lineRule="auto"/>
        <w:ind w:firstLine="480" w:firstLineChars="200"/>
        <w:jc w:val="left"/>
        <w:rPr>
          <w:color w:val="auto"/>
          <w:sz w:val="24"/>
          <w:szCs w:val="24"/>
          <w:highlight w:val="none"/>
        </w:rPr>
      </w:pPr>
      <w:r>
        <w:rPr>
          <w:color w:val="auto"/>
          <w:sz w:val="24"/>
          <w:szCs w:val="24"/>
          <w:highlight w:val="none"/>
        </w:rPr>
        <w:t xml:space="preserve">1.3.4 </w:t>
      </w:r>
      <w:r>
        <w:rPr>
          <w:rFonts w:hint="eastAsia"/>
          <w:color w:val="auto"/>
          <w:sz w:val="24"/>
          <w:szCs w:val="24"/>
          <w:highlight w:val="none"/>
        </w:rPr>
        <w:t>遵循第三章投标人须知</w:t>
      </w:r>
      <w:r>
        <w:rPr>
          <w:color w:val="auto"/>
          <w:sz w:val="24"/>
          <w:szCs w:val="24"/>
          <w:highlight w:val="none"/>
        </w:rPr>
        <w:t>3.7.</w:t>
      </w:r>
      <w:r>
        <w:rPr>
          <w:rFonts w:hint="eastAsia"/>
          <w:color w:val="auto"/>
          <w:sz w:val="24"/>
          <w:szCs w:val="24"/>
          <w:highlight w:val="none"/>
        </w:rPr>
        <w:t>5项规定。</w:t>
      </w:r>
    </w:p>
    <w:p w14:paraId="3D24564E">
      <w:pPr>
        <w:spacing w:line="560" w:lineRule="exact"/>
        <w:ind w:firstLine="562" w:firstLineChars="200"/>
        <w:rPr>
          <w:rFonts w:ascii="黑体" w:hAnsi="黑体" w:eastAsia="黑体"/>
          <w:b/>
          <w:color w:val="auto"/>
          <w:sz w:val="28"/>
          <w:highlight w:val="none"/>
        </w:rPr>
      </w:pPr>
    </w:p>
    <w:p w14:paraId="0C43B142">
      <w:pPr>
        <w:spacing w:line="560" w:lineRule="exact"/>
        <w:ind w:firstLine="562" w:firstLineChars="200"/>
        <w:outlineLvl w:val="1"/>
        <w:rPr>
          <w:rFonts w:ascii="黑体" w:hAnsi="黑体" w:eastAsia="黑体"/>
          <w:b/>
          <w:color w:val="auto"/>
          <w:sz w:val="28"/>
          <w:highlight w:val="none"/>
        </w:rPr>
      </w:pPr>
      <w:bookmarkStart w:id="19" w:name="_Toc169770931"/>
      <w:r>
        <w:rPr>
          <w:rFonts w:ascii="黑体" w:hAnsi="黑体" w:eastAsia="黑体"/>
          <w:b/>
          <w:color w:val="auto"/>
          <w:sz w:val="28"/>
          <w:highlight w:val="none"/>
        </w:rPr>
        <w:t xml:space="preserve">2. </w:t>
      </w:r>
      <w:r>
        <w:rPr>
          <w:rFonts w:hint="eastAsia" w:ascii="黑体" w:hAnsi="黑体" w:eastAsia="黑体"/>
          <w:b/>
          <w:color w:val="auto"/>
          <w:sz w:val="28"/>
          <w:highlight w:val="none"/>
        </w:rPr>
        <w:t>标段（包）内容（范围）及具体采购需求</w:t>
      </w:r>
      <w:bookmarkEnd w:id="19"/>
    </w:p>
    <w:p w14:paraId="41BA1FAC">
      <w:pPr>
        <w:spacing w:line="560" w:lineRule="exact"/>
        <w:ind w:firstLine="482" w:firstLineChars="200"/>
        <w:rPr>
          <w:color w:val="auto"/>
          <w:sz w:val="24"/>
          <w:szCs w:val="24"/>
          <w:highlight w:val="none"/>
        </w:rPr>
      </w:pPr>
      <w:r>
        <w:rPr>
          <w:rFonts w:ascii="黑体" w:hAnsi="黑体" w:eastAsia="黑体"/>
          <w:b/>
          <w:color w:val="auto"/>
          <w:sz w:val="24"/>
          <w:szCs w:val="24"/>
          <w:highlight w:val="none"/>
        </w:rPr>
        <w:t>2.1</w:t>
      </w:r>
      <w:r>
        <w:rPr>
          <w:rFonts w:hint="eastAsia" w:ascii="黑体" w:hAnsi="黑体" w:eastAsia="黑体"/>
          <w:b/>
          <w:color w:val="auto"/>
          <w:sz w:val="24"/>
          <w:szCs w:val="24"/>
          <w:highlight w:val="none"/>
        </w:rPr>
        <w:t>采购标的需实现的功能或者目标，标段（包）总体范围：</w:t>
      </w:r>
      <w:r>
        <w:rPr>
          <w:color w:val="auto"/>
          <w:sz w:val="24"/>
          <w:szCs w:val="24"/>
          <w:highlight w:val="none"/>
        </w:rPr>
        <w:t xml:space="preserve"> </w:t>
      </w:r>
    </w:p>
    <w:p w14:paraId="11CF53F0">
      <w:pPr>
        <w:adjustRightInd w:val="0"/>
        <w:snapToGrid w:val="0"/>
        <w:spacing w:line="300" w:lineRule="auto"/>
        <w:ind w:firstLine="600" w:firstLineChars="250"/>
        <w:jc w:val="left"/>
        <w:rPr>
          <w:color w:val="auto"/>
          <w:sz w:val="24"/>
          <w:szCs w:val="24"/>
          <w:highlight w:val="none"/>
        </w:rPr>
      </w:pPr>
      <w:r>
        <w:rPr>
          <w:rFonts w:hint="eastAsia" w:ascii="宋体" w:hAnsi="宋体" w:cs="宋体"/>
          <w:color w:val="auto"/>
          <w:sz w:val="24"/>
          <w:highlight w:val="none"/>
        </w:rPr>
        <w:t>一、按时保质的满足采购人正常工作需要。</w:t>
      </w:r>
    </w:p>
    <w:p w14:paraId="146BBF28">
      <w:pPr>
        <w:adjustRightInd w:val="0"/>
        <w:snapToGrid w:val="0"/>
        <w:spacing w:line="300" w:lineRule="auto"/>
        <w:ind w:firstLine="600" w:firstLineChars="250"/>
        <w:jc w:val="left"/>
        <w:rPr>
          <w:color w:val="auto"/>
          <w:sz w:val="24"/>
          <w:szCs w:val="24"/>
          <w:highlight w:val="none"/>
        </w:rPr>
      </w:pPr>
      <w:r>
        <w:rPr>
          <w:rFonts w:hint="eastAsia"/>
          <w:color w:val="auto"/>
          <w:sz w:val="24"/>
          <w:szCs w:val="24"/>
          <w:highlight w:val="none"/>
        </w:rPr>
        <w:t>二、服务（规划）范围</w:t>
      </w:r>
    </w:p>
    <w:p w14:paraId="4DC0ADF5">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以《安阳市国土空间总体规划（2021-2035年）》确定的中心城区范围，其中</w:t>
      </w:r>
      <w:r>
        <w:rPr>
          <w:rFonts w:hint="eastAsia" w:ascii="宋体" w:hAnsi="宋体"/>
          <w:color w:val="auto"/>
          <w:sz w:val="24"/>
          <w:szCs w:val="24"/>
          <w:highlight w:val="none"/>
          <w:lang w:eastAsia="zh-CN"/>
        </w:rPr>
        <w:t>重点区域为中心城区</w:t>
      </w:r>
      <w:r>
        <w:rPr>
          <w:rFonts w:hint="eastAsia" w:ascii="宋体" w:hAnsi="宋体"/>
          <w:color w:val="auto"/>
          <w:sz w:val="24"/>
          <w:szCs w:val="24"/>
          <w:highlight w:val="none"/>
        </w:rPr>
        <w:t>城镇开发边界</w:t>
      </w:r>
      <w:r>
        <w:rPr>
          <w:rFonts w:hint="eastAsia" w:ascii="宋体" w:hAnsi="宋体"/>
          <w:color w:val="auto"/>
          <w:sz w:val="24"/>
          <w:szCs w:val="24"/>
          <w:highlight w:val="none"/>
          <w:lang w:eastAsia="zh-CN"/>
        </w:rPr>
        <w:t>范围</w:t>
      </w:r>
      <w:r>
        <w:rPr>
          <w:rFonts w:hint="eastAsia" w:ascii="宋体" w:hAnsi="宋体"/>
          <w:color w:val="auto"/>
          <w:sz w:val="24"/>
          <w:szCs w:val="24"/>
          <w:highlight w:val="none"/>
        </w:rPr>
        <w:t>。</w:t>
      </w:r>
    </w:p>
    <w:p w14:paraId="415D7139">
      <w:pPr>
        <w:adjustRightInd w:val="0"/>
        <w:snapToGrid w:val="0"/>
        <w:spacing w:line="300" w:lineRule="auto"/>
        <w:ind w:firstLine="600" w:firstLineChars="250"/>
        <w:jc w:val="left"/>
        <w:rPr>
          <w:color w:val="auto"/>
          <w:sz w:val="24"/>
          <w:szCs w:val="24"/>
          <w:highlight w:val="none"/>
        </w:rPr>
      </w:pPr>
    </w:p>
    <w:p w14:paraId="5A8DADA4">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 xml:space="preserve">2.2 </w:t>
      </w:r>
      <w:r>
        <w:rPr>
          <w:rFonts w:hint="eastAsia" w:ascii="黑体" w:hAnsi="黑体" w:eastAsia="黑体"/>
          <w:b/>
          <w:color w:val="auto"/>
          <w:sz w:val="24"/>
          <w:szCs w:val="24"/>
          <w:highlight w:val="none"/>
        </w:rPr>
        <w:t>项目落实的政府采购政策（法规标准条款）</w:t>
      </w:r>
    </w:p>
    <w:p w14:paraId="0BFA2DFE">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政府采购节能产品、环境标志产品实施品目清单管理后，对本次采购产品属于“节能产品政府采购品目清单”中强制采购品目的</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标产</w:t>
      </w:r>
      <w:r>
        <w:rPr>
          <w:rFonts w:hint="eastAsia" w:ascii="宋体" w:hAnsi="宋体" w:cs="宋体"/>
          <w:color w:val="auto"/>
          <w:sz w:val="24"/>
          <w:szCs w:val="24"/>
          <w:highlight w:val="none"/>
        </w:rPr>
        <w:t>品</w:t>
      </w:r>
      <w:r>
        <w:rPr>
          <w:rFonts w:ascii="宋体" w:hAnsi="宋体" w:cs="宋体"/>
          <w:color w:val="auto"/>
          <w:sz w:val="24"/>
          <w:szCs w:val="24"/>
          <w:highlight w:val="none"/>
        </w:rPr>
        <w:t>应当具有</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标文件中应当提供</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p>
    <w:p w14:paraId="61FA7ACE">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属于政府强制采购</w:t>
      </w:r>
      <w:r>
        <w:rPr>
          <w:rFonts w:hint="eastAsia" w:ascii="宋体" w:hAnsi="宋体" w:cs="宋体"/>
          <w:color w:val="auto"/>
          <w:sz w:val="24"/>
          <w:szCs w:val="24"/>
          <w:highlight w:val="none"/>
        </w:rPr>
        <w:t>品目</w:t>
      </w:r>
      <w:r>
        <w:rPr>
          <w:rFonts w:hint="eastAsia" w:ascii="宋体" w:hAnsi="宋体"/>
          <w:color w:val="auto"/>
          <w:sz w:val="24"/>
          <w:szCs w:val="24"/>
          <w:highlight w:val="none"/>
        </w:rPr>
        <w:t>、而未按要求提供相应资料的，</w:t>
      </w:r>
      <w:r>
        <w:rPr>
          <w:rFonts w:hint="eastAsia" w:ascii="宋体" w:hAnsi="宋体"/>
          <w:b/>
          <w:color w:val="auto"/>
          <w:sz w:val="24"/>
          <w:szCs w:val="24"/>
          <w:highlight w:val="none"/>
        </w:rPr>
        <w:t>为无效投标</w:t>
      </w:r>
      <w:r>
        <w:rPr>
          <w:rFonts w:hint="eastAsia" w:ascii="宋体" w:hAnsi="宋体"/>
          <w:color w:val="auto"/>
          <w:sz w:val="24"/>
          <w:szCs w:val="24"/>
          <w:highlight w:val="none"/>
        </w:rPr>
        <w:t>。</w:t>
      </w:r>
    </w:p>
    <w:p w14:paraId="5D08F134">
      <w:pPr>
        <w:adjustRightInd w:val="0"/>
        <w:snapToGrid w:val="0"/>
        <w:spacing w:before="156" w:beforeLines="50" w:line="300" w:lineRule="auto"/>
        <w:ind w:firstLine="480" w:firstLineChars="200"/>
        <w:rPr>
          <w:rFonts w:ascii="宋体" w:hAnsi="宋体" w:cs="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.2 </w:t>
      </w:r>
      <w:r>
        <w:rPr>
          <w:rFonts w:hint="eastAsia" w:ascii="宋体" w:hAnsi="宋体"/>
          <w:color w:val="auto"/>
          <w:sz w:val="24"/>
          <w:szCs w:val="24"/>
          <w:highlight w:val="none"/>
        </w:rPr>
        <w:t>同等条件下，</w:t>
      </w:r>
      <w:r>
        <w:rPr>
          <w:rFonts w:hint="eastAsia" w:ascii="宋体" w:hAnsi="宋体" w:cs="宋体"/>
          <w:color w:val="auto"/>
          <w:sz w:val="24"/>
          <w:szCs w:val="24"/>
          <w:highlight w:val="none"/>
        </w:rPr>
        <w:t>获得节能产品认证证书或环境标志产品认证证书的产品优先采购。(认证证书应</w:t>
      </w:r>
      <w:r>
        <w:rPr>
          <w:rFonts w:ascii="宋体" w:hAnsi="宋体" w:cs="宋体"/>
          <w:color w:val="auto"/>
          <w:sz w:val="24"/>
          <w:szCs w:val="24"/>
          <w:highlight w:val="none"/>
        </w:rPr>
        <w:t>当为</w:t>
      </w:r>
      <w:r>
        <w:rPr>
          <w:rFonts w:hint="eastAsia" w:ascii="宋体" w:hAnsi="宋体" w:cs="宋体"/>
          <w:color w:val="auto"/>
          <w:sz w:val="24"/>
          <w:szCs w:val="24"/>
          <w:highlight w:val="none"/>
        </w:rPr>
        <w:t>国家确定的认证机构出具、且</w:t>
      </w:r>
      <w:r>
        <w:rPr>
          <w:rFonts w:ascii="宋体" w:hAnsi="宋体" w:cs="宋体"/>
          <w:color w:val="auto"/>
          <w:sz w:val="24"/>
          <w:szCs w:val="24"/>
          <w:highlight w:val="none"/>
        </w:rPr>
        <w:t>应</w:t>
      </w:r>
      <w:r>
        <w:rPr>
          <w:rFonts w:hint="eastAsia" w:ascii="宋体" w:hAnsi="宋体" w:cs="宋体"/>
          <w:color w:val="auto"/>
          <w:sz w:val="24"/>
          <w:szCs w:val="24"/>
          <w:highlight w:val="none"/>
        </w:rPr>
        <w:t>处于有效期之内。)</w:t>
      </w:r>
    </w:p>
    <w:p w14:paraId="7A1A1C6D">
      <w:pPr>
        <w:adjustRightInd w:val="0"/>
        <w:snapToGrid w:val="0"/>
        <w:spacing w:before="156" w:beforeLines="50" w:line="300" w:lineRule="auto"/>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3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w:t>
      </w:r>
      <w:r>
        <w:rPr>
          <w:rFonts w:hint="eastAsia" w:ascii="宋体" w:hAnsi="宋体" w:cs="宋体"/>
          <w:color w:val="auto"/>
          <w:sz w:val="24"/>
          <w:szCs w:val="24"/>
          <w:highlight w:val="none"/>
        </w:rPr>
        <w:t>应处于有效期内</w:t>
      </w:r>
      <w:r>
        <w:rPr>
          <w:rFonts w:hint="eastAsia" w:ascii="宋体" w:hAnsi="宋体"/>
          <w:color w:val="auto"/>
          <w:sz w:val="24"/>
          <w:szCs w:val="24"/>
          <w:highlight w:val="none"/>
        </w:rPr>
        <w:t>）。</w:t>
      </w:r>
    </w:p>
    <w:p w14:paraId="42DCD5A6">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4计算机产品须预装正版操作系统软件。</w:t>
      </w:r>
    </w:p>
    <w:p w14:paraId="4A64DF94">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本次采购不允许进口产品参加。</w:t>
      </w:r>
    </w:p>
    <w:p w14:paraId="1523873C">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6如允许采购进口产品的，优先采购向我国企业转让技术、与我国企业签订消化吸收再创新方案的供应商的进口产品。</w:t>
      </w:r>
    </w:p>
    <w:p w14:paraId="624F760F">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 xml:space="preserve"> </w:t>
      </w:r>
      <w:r>
        <w:rPr>
          <w:rFonts w:hint="eastAsia" w:ascii="宋体" w:hAnsi="宋体"/>
          <w:color w:val="auto"/>
          <w:sz w:val="24"/>
          <w:szCs w:val="24"/>
          <w:highlight w:val="none"/>
        </w:rPr>
        <w:t>促进中小企业发展扶持政策：见第四章“评标办法”第</w:t>
      </w:r>
      <w:r>
        <w:rPr>
          <w:rFonts w:ascii="宋体" w:hAnsi="宋体"/>
          <w:color w:val="auto"/>
          <w:sz w:val="24"/>
          <w:szCs w:val="24"/>
          <w:highlight w:val="none"/>
        </w:rPr>
        <w:t>4</w:t>
      </w:r>
      <w:r>
        <w:rPr>
          <w:rFonts w:hint="eastAsia" w:ascii="宋体" w:hAnsi="宋体"/>
          <w:color w:val="auto"/>
          <w:sz w:val="24"/>
          <w:szCs w:val="24"/>
          <w:highlight w:val="none"/>
        </w:rPr>
        <w:t>条。</w:t>
      </w:r>
    </w:p>
    <w:p w14:paraId="0C14FF5E">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8促进残疾人就业、支持监狱企业发展：见第四章“评标办法”第</w:t>
      </w:r>
      <w:r>
        <w:rPr>
          <w:rFonts w:ascii="宋体" w:hAnsi="宋体"/>
          <w:color w:val="auto"/>
          <w:sz w:val="24"/>
          <w:szCs w:val="24"/>
          <w:highlight w:val="none"/>
        </w:rPr>
        <w:t>4</w:t>
      </w:r>
      <w:r>
        <w:rPr>
          <w:rFonts w:hint="eastAsia" w:ascii="宋体" w:hAnsi="宋体"/>
          <w:color w:val="auto"/>
          <w:sz w:val="24"/>
          <w:szCs w:val="24"/>
          <w:highlight w:val="none"/>
        </w:rPr>
        <w:t>条。</w:t>
      </w:r>
    </w:p>
    <w:p w14:paraId="6B01F1A8">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9</w:t>
      </w:r>
      <w:r>
        <w:rPr>
          <w:rFonts w:ascii="宋体" w:hAnsi="宋体"/>
          <w:color w:val="auto"/>
          <w:sz w:val="24"/>
          <w:szCs w:val="24"/>
          <w:highlight w:val="none"/>
        </w:rPr>
        <w:t xml:space="preserve"> </w:t>
      </w:r>
      <w:r>
        <w:rPr>
          <w:rFonts w:hint="eastAsia" w:ascii="宋体" w:hAnsi="宋体"/>
          <w:color w:val="auto"/>
          <w:sz w:val="24"/>
          <w:szCs w:val="24"/>
          <w:highlight w:val="none"/>
        </w:rPr>
        <w:t>所供产品有商品包装的应当使用绿色包装。所供产品有其他环保政策要求的，应符合相关环保法律政策要求。</w:t>
      </w:r>
    </w:p>
    <w:p w14:paraId="0F943B87">
      <w:pPr>
        <w:widowControl w:val="0"/>
        <w:adjustRightInd w:val="0"/>
        <w:snapToGrid w:val="0"/>
        <w:spacing w:before="156" w:beforeLines="50" w:line="300" w:lineRule="auto"/>
        <w:ind w:left="22" w:firstLine="555"/>
        <w:jc w:val="left"/>
        <w:rPr>
          <w:rFonts w:ascii="宋体" w:hAnsi="宋体"/>
          <w:color w:val="auto"/>
          <w:sz w:val="24"/>
          <w:szCs w:val="24"/>
          <w:highlight w:val="none"/>
        </w:rPr>
      </w:pPr>
      <w:r>
        <w:rPr>
          <w:rFonts w:hint="eastAsia" w:ascii="宋体" w:hAnsi="宋体"/>
          <w:color w:val="auto"/>
          <w:sz w:val="24"/>
          <w:szCs w:val="24"/>
          <w:highlight w:val="none"/>
        </w:rPr>
        <w:t>2.2.10</w:t>
      </w:r>
      <w:r>
        <w:rPr>
          <w:rFonts w:ascii="宋体" w:hAnsi="宋体"/>
          <w:color w:val="auto"/>
          <w:sz w:val="24"/>
          <w:szCs w:val="24"/>
          <w:highlight w:val="none"/>
        </w:rPr>
        <w:t xml:space="preserve"> </w:t>
      </w:r>
      <w:r>
        <w:rPr>
          <w:rFonts w:hint="eastAsia" w:ascii="宋体" w:hAnsi="宋体"/>
          <w:color w:val="auto"/>
          <w:sz w:val="24"/>
          <w:szCs w:val="24"/>
          <w:highlight w:val="none"/>
        </w:rPr>
        <w:t>支持绿色建筑、绿色建材，支持使用低</w:t>
      </w:r>
      <w:r>
        <w:rPr>
          <w:rFonts w:ascii="Arial" w:hAnsi="Arial" w:cs="Arial"/>
          <w:color w:val="auto"/>
          <w:szCs w:val="21"/>
          <w:highlight w:val="none"/>
          <w:shd w:val="clear" w:color="auto" w:fill="FFFFFF"/>
        </w:rPr>
        <w:t>VOCs</w:t>
      </w:r>
      <w:r>
        <w:rPr>
          <w:rFonts w:hint="eastAsia" w:ascii="宋体" w:hAnsi="宋体"/>
          <w:color w:val="auto"/>
          <w:sz w:val="24"/>
          <w:szCs w:val="24"/>
          <w:highlight w:val="none"/>
        </w:rPr>
        <w:t>含量涂料和胶黏剂，支持不发达、少数民族地区的企业，促进自主创新产业发展，支持脱贫攻坚等；同等条件下，优先采购。</w:t>
      </w:r>
    </w:p>
    <w:p w14:paraId="5DAFAB2F">
      <w:pPr>
        <w:adjustRightInd w:val="0"/>
        <w:snapToGrid w:val="0"/>
        <w:spacing w:line="300" w:lineRule="auto"/>
        <w:ind w:firstLine="482" w:firstLineChars="200"/>
        <w:jc w:val="left"/>
        <w:rPr>
          <w:rFonts w:ascii="黑体" w:hAnsi="黑体" w:eastAsia="黑体"/>
          <w:b/>
          <w:color w:val="auto"/>
          <w:sz w:val="24"/>
          <w:szCs w:val="24"/>
          <w:highlight w:val="none"/>
        </w:rPr>
      </w:pPr>
      <w:r>
        <w:rPr>
          <w:rFonts w:ascii="黑体" w:hAnsi="黑体" w:eastAsia="黑体"/>
          <w:b/>
          <w:color w:val="auto"/>
          <w:sz w:val="24"/>
          <w:szCs w:val="24"/>
          <w:highlight w:val="none"/>
        </w:rPr>
        <w:t>2.3</w:t>
      </w:r>
      <w:r>
        <w:rPr>
          <w:rFonts w:hint="eastAsia" w:ascii="黑体" w:hAnsi="黑体" w:eastAsia="黑体"/>
          <w:b/>
          <w:color w:val="auto"/>
          <w:sz w:val="24"/>
          <w:szCs w:val="24"/>
          <w:highlight w:val="none"/>
        </w:rPr>
        <w:t>采购标的需执行的国家相关标准、行业标准、地方标准或者其他标准、规范；</w:t>
      </w:r>
    </w:p>
    <w:p w14:paraId="6065357F">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人所投服务（及所涉货物材料设施）应符合国家质量标准、部颁标准及行业规范的要求，符合国家各项强制性规范及安全标准，投标服务（及所涉货物材料设施）不应与第三方存在知识产权权属问题；投标人应本着服务客户、为客户着想的宗旨，来完善服务（及所涉货物材料设施）及技术要求未尽事宜，不得以招标文件未列明事项为由，来降低投标服务（及所涉货物材料设施）的质量。</w:t>
      </w:r>
    </w:p>
    <w:p w14:paraId="0E2AE119">
      <w:pPr>
        <w:spacing w:line="560" w:lineRule="exact"/>
        <w:ind w:firstLine="482" w:firstLineChars="200"/>
        <w:rPr>
          <w:rFonts w:ascii="宋体" w:hAnsi="宋体" w:cs="宋体"/>
          <w:color w:val="auto"/>
          <w:sz w:val="24"/>
          <w:highlight w:val="none"/>
        </w:rPr>
      </w:pPr>
      <w:r>
        <w:rPr>
          <w:rFonts w:ascii="黑体" w:hAnsi="黑体" w:eastAsia="黑体"/>
          <w:b/>
          <w:color w:val="auto"/>
          <w:sz w:val="24"/>
          <w:szCs w:val="24"/>
          <w:highlight w:val="none"/>
        </w:rPr>
        <w:t>2.4</w:t>
      </w:r>
      <w:r>
        <w:rPr>
          <w:rFonts w:hint="eastAsia" w:ascii="黑体" w:hAnsi="黑体" w:eastAsia="黑体"/>
          <w:b/>
          <w:color w:val="auto"/>
          <w:sz w:val="24"/>
          <w:szCs w:val="24"/>
          <w:highlight w:val="none"/>
        </w:rPr>
        <w:t>标段（包）内容（具体范围、数量），具体服务（技术）要求（</w:t>
      </w:r>
      <w:r>
        <w:rPr>
          <w:rFonts w:hint="eastAsia" w:ascii="宋体" w:hAnsi="宋体" w:cs="宋体"/>
          <w:color w:val="auto"/>
          <w:sz w:val="24"/>
          <w:highlight w:val="none"/>
        </w:rPr>
        <w:t>采购标的需满足的质量、安全、技术规格、物理特性等）</w:t>
      </w:r>
    </w:p>
    <w:p w14:paraId="3D2A489B">
      <w:pPr>
        <w:spacing w:line="560" w:lineRule="exact"/>
        <w:ind w:firstLine="482" w:firstLineChars="200"/>
        <w:rPr>
          <w:rFonts w:hint="default" w:ascii="黑体" w:hAnsi="黑体" w:eastAsia="黑体"/>
          <w:b/>
          <w:color w:val="auto"/>
          <w:sz w:val="24"/>
          <w:szCs w:val="24"/>
          <w:highlight w:val="none"/>
          <w:lang w:val="en-US" w:eastAsia="zh-CN"/>
        </w:rPr>
      </w:pPr>
      <w:r>
        <w:rPr>
          <w:rFonts w:hint="eastAsia" w:ascii="黑体" w:hAnsi="黑体" w:eastAsia="黑体"/>
          <w:b/>
          <w:color w:val="auto"/>
          <w:sz w:val="24"/>
          <w:szCs w:val="24"/>
          <w:highlight w:val="none"/>
        </w:rPr>
        <w:t>一、</w:t>
      </w:r>
      <w:r>
        <w:rPr>
          <w:rFonts w:hint="eastAsia" w:ascii="黑体" w:hAnsi="黑体" w:eastAsia="黑体"/>
          <w:b/>
          <w:color w:val="auto"/>
          <w:sz w:val="24"/>
          <w:szCs w:val="24"/>
          <w:highlight w:val="none"/>
          <w:lang w:val="en-US" w:eastAsia="zh-CN"/>
        </w:rPr>
        <w:t>招标内容</w:t>
      </w:r>
    </w:p>
    <w:p w14:paraId="0E8798DC">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按照国家关于城市更新的相关要求，编制《安阳市城市更新专项规划》。规划范围为《安阳市国土空间总体规划（2021-2035年）》确定的中心城区范围，重点区域为安阳市城镇开发边界范围。规划要以《安阳市国土空间城市总体规划（2021-2035年）》为上位依据，通过城市</w:t>
      </w:r>
      <w:r>
        <w:rPr>
          <w:rFonts w:hint="eastAsia" w:ascii="宋体" w:hAnsi="宋体"/>
          <w:color w:val="auto"/>
          <w:sz w:val="24"/>
          <w:szCs w:val="24"/>
          <w:highlight w:val="none"/>
          <w:lang w:eastAsia="zh-CN"/>
        </w:rPr>
        <w:t>体检评估对</w:t>
      </w:r>
      <w:r>
        <w:rPr>
          <w:rFonts w:hint="eastAsia" w:ascii="宋体" w:hAnsi="宋体"/>
          <w:color w:val="auto"/>
          <w:sz w:val="24"/>
          <w:szCs w:val="24"/>
          <w:highlight w:val="none"/>
        </w:rPr>
        <w:t>现状</w:t>
      </w:r>
      <w:r>
        <w:rPr>
          <w:rFonts w:hint="eastAsia" w:ascii="宋体" w:hAnsi="宋体"/>
          <w:color w:val="auto"/>
          <w:sz w:val="24"/>
          <w:szCs w:val="24"/>
          <w:highlight w:val="none"/>
          <w:lang w:eastAsia="zh-CN"/>
        </w:rPr>
        <w:t>进行</w:t>
      </w:r>
      <w:r>
        <w:rPr>
          <w:rFonts w:hint="eastAsia" w:ascii="宋体" w:hAnsi="宋体"/>
          <w:color w:val="auto"/>
          <w:sz w:val="24"/>
          <w:szCs w:val="24"/>
          <w:highlight w:val="none"/>
        </w:rPr>
        <w:t>梳理，提出规划目标，确定更新策略，建立重点项目清单，合理划定控制性详细规划单元并明确单元内用地布局、人口规模、建设总量、开发强度、道路交通、市政设施及公共服务设施配套标准，增强城市安全韧性，优化城区功能部局，改善基础民生设施，提升建筑风貌品质，推动安阳市城市建设高质量发展。规划成果为通过审批的城市更新专项规划文本、图集、说明书、基础资料汇编</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重点项目建设清单等纸质和电子成果、符合标准的矢量数据成果、城市更新宣传片。</w:t>
      </w:r>
    </w:p>
    <w:p w14:paraId="3E8D53E0">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lang w:val="en-US" w:eastAsia="zh-CN"/>
        </w:rPr>
        <w:t>二</w:t>
      </w:r>
      <w:r>
        <w:rPr>
          <w:rFonts w:hint="eastAsia" w:ascii="黑体" w:hAnsi="黑体" w:eastAsia="黑体"/>
          <w:b/>
          <w:color w:val="auto"/>
          <w:sz w:val="24"/>
          <w:szCs w:val="24"/>
          <w:highlight w:val="none"/>
        </w:rPr>
        <w:t>、保密要求</w:t>
      </w:r>
    </w:p>
    <w:p w14:paraId="303926FA">
      <w:pPr>
        <w:pStyle w:val="65"/>
        <w:ind w:firstLine="480"/>
        <w:rPr>
          <w:rFonts w:ascii="宋体" w:hAnsi="宋体" w:cs="Arial"/>
          <w:color w:val="auto"/>
          <w:szCs w:val="24"/>
          <w:highlight w:val="none"/>
          <w:shd w:val="clear" w:color="auto" w:fill="FFFFFF"/>
        </w:rPr>
      </w:pPr>
      <w:r>
        <w:rPr>
          <w:rFonts w:hint="eastAsia" w:ascii="宋体" w:hAnsi="宋体" w:cs="Arial"/>
          <w:color w:val="auto"/>
          <w:szCs w:val="24"/>
          <w:highlight w:val="none"/>
          <w:shd w:val="clear" w:color="auto" w:fill="FFFFFF"/>
        </w:rPr>
        <w:t>投标人应做到下列保密义务：</w:t>
      </w:r>
    </w:p>
    <w:p w14:paraId="79D5B341">
      <w:pPr>
        <w:pStyle w:val="65"/>
        <w:ind w:firstLine="480"/>
        <w:rPr>
          <w:rFonts w:ascii="宋体" w:hAnsi="宋体" w:cs="Arial"/>
          <w:color w:val="auto"/>
          <w:szCs w:val="24"/>
          <w:highlight w:val="none"/>
          <w:shd w:val="clear" w:color="auto" w:fill="FFFFFF"/>
        </w:rPr>
      </w:pPr>
      <w:r>
        <w:rPr>
          <w:rFonts w:hint="eastAsia" w:ascii="宋体" w:hAnsi="宋体" w:cs="Arial"/>
          <w:color w:val="auto"/>
          <w:szCs w:val="24"/>
          <w:highlight w:val="none"/>
          <w:shd w:val="clear" w:color="auto" w:fill="FFFFFF"/>
        </w:rPr>
        <w:t>1、保密内容（包括技术信息）：所有项目相关的技术资料及商务文件。</w:t>
      </w:r>
    </w:p>
    <w:p w14:paraId="53CF9303">
      <w:pPr>
        <w:pStyle w:val="65"/>
        <w:ind w:firstLine="480"/>
        <w:rPr>
          <w:rFonts w:ascii="宋体" w:hAnsi="宋体" w:cs="Arial"/>
          <w:color w:val="auto"/>
          <w:szCs w:val="24"/>
          <w:highlight w:val="none"/>
          <w:shd w:val="clear" w:color="auto" w:fill="FFFFFF"/>
        </w:rPr>
      </w:pPr>
      <w:r>
        <w:rPr>
          <w:rFonts w:hint="eastAsia" w:ascii="宋体" w:hAnsi="宋体" w:cs="Arial"/>
          <w:color w:val="auto"/>
          <w:szCs w:val="24"/>
          <w:highlight w:val="none"/>
          <w:shd w:val="clear" w:color="auto" w:fill="FFFFFF"/>
        </w:rPr>
        <w:t>2、涉密人员范围：投标人所有项目参与成员。</w:t>
      </w:r>
    </w:p>
    <w:p w14:paraId="6414F3D0">
      <w:pPr>
        <w:pStyle w:val="65"/>
        <w:ind w:firstLine="480"/>
        <w:rPr>
          <w:rFonts w:ascii="宋体" w:hAnsi="宋体" w:cs="Arial"/>
          <w:color w:val="auto"/>
          <w:szCs w:val="24"/>
          <w:highlight w:val="none"/>
          <w:shd w:val="clear" w:color="auto" w:fill="FFFFFF"/>
        </w:rPr>
      </w:pPr>
      <w:r>
        <w:rPr>
          <w:rFonts w:hint="eastAsia" w:ascii="宋体" w:hAnsi="宋体" w:cs="Arial"/>
          <w:color w:val="auto"/>
          <w:szCs w:val="24"/>
          <w:highlight w:val="none"/>
          <w:shd w:val="clear" w:color="auto" w:fill="FFFFFF"/>
        </w:rPr>
        <w:t>3、泄密责任：按照国家法律规定执行。</w:t>
      </w:r>
    </w:p>
    <w:p w14:paraId="2CF1A03B">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lang w:val="en-US" w:eastAsia="zh-CN"/>
        </w:rPr>
        <w:t>三</w:t>
      </w:r>
      <w:r>
        <w:rPr>
          <w:rFonts w:hint="eastAsia" w:ascii="黑体" w:hAnsi="黑体" w:eastAsia="黑体"/>
          <w:b/>
          <w:color w:val="auto"/>
          <w:sz w:val="24"/>
          <w:szCs w:val="24"/>
          <w:highlight w:val="none"/>
        </w:rPr>
        <w:t>、其他要求</w:t>
      </w:r>
    </w:p>
    <w:p w14:paraId="7BF8EF35">
      <w:pPr>
        <w:adjustRightInd w:val="0"/>
        <w:snapToGrid w:val="0"/>
        <w:spacing w:before="156" w:beforeLines="50" w:line="30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1、本项目</w:t>
      </w:r>
      <w:r>
        <w:rPr>
          <w:rFonts w:hint="eastAsia" w:ascii="宋体" w:hAnsi="宋体"/>
          <w:color w:val="auto"/>
          <w:sz w:val="24"/>
          <w:szCs w:val="24"/>
          <w:highlight w:val="none"/>
        </w:rPr>
        <w:t>完成</w:t>
      </w:r>
      <w:r>
        <w:rPr>
          <w:rFonts w:hint="eastAsia" w:ascii="宋体" w:hAnsi="宋体"/>
          <w:color w:val="auto"/>
          <w:sz w:val="24"/>
          <w:szCs w:val="24"/>
          <w:highlight w:val="none"/>
          <w:lang w:eastAsia="zh-CN"/>
        </w:rPr>
        <w:t>（经政府审批通过）</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，要求提供三年的维保期，维保期内根据采购人的变更要求随时进行调整、完善。</w:t>
      </w:r>
    </w:p>
    <w:p w14:paraId="21C8776F">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应当加强劳动安全管理，加强劳动合同管理。如因管理不善和其它意外（包括上下班途中）引起的各类人身伤害、工伤事故等，或出现劳动纠纷，由中标人负责并承担经济和道义上的责任，采购人不承担任何责任。中标人违反国家相关法规与聘用人员发生纠纷，均由中标人的单位负责人负责调解和处理，采购人不承担责任。</w:t>
      </w:r>
    </w:p>
    <w:p w14:paraId="4125761B">
      <w:pPr>
        <w:adjustRightInd w:val="0"/>
        <w:snapToGrid w:val="0"/>
        <w:spacing w:before="156" w:beforeLines="50" w:line="30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注：安阳市自然资源和规划局：安阳市城市更新专项规划项目的中小企业划分标准所属行业为：其他未列明行业</w:t>
      </w:r>
      <w:r>
        <w:rPr>
          <w:rFonts w:hint="eastAsia" w:ascii="宋体" w:hAnsi="宋体"/>
          <w:color w:val="auto"/>
          <w:sz w:val="24"/>
          <w:szCs w:val="24"/>
          <w:highlight w:val="none"/>
          <w:lang w:eastAsia="zh-CN"/>
        </w:rPr>
        <w:t>。</w:t>
      </w:r>
    </w:p>
    <w:p w14:paraId="340EDD77">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提醒：投标人按照招标文件中标明的服务项目的所属行业、按该行业所对应的中小企业划分标准，作为服务的承接商（供应商）是否属于小微企业的判断标准。</w:t>
      </w:r>
    </w:p>
    <w:p w14:paraId="2542BA6B">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投标人不应按照自身的行业属性作为小微企业的判断标准（应按招标文件标明的所属行业进行判断）。</w:t>
      </w:r>
    </w:p>
    <w:p w14:paraId="67A2366D">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5</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安</w:t>
      </w:r>
      <w:r>
        <w:rPr>
          <w:rFonts w:ascii="黑体" w:hAnsi="黑体" w:eastAsia="黑体"/>
          <w:b/>
          <w:color w:val="auto"/>
          <w:sz w:val="24"/>
          <w:szCs w:val="24"/>
          <w:highlight w:val="none"/>
        </w:rPr>
        <w:t>全</w:t>
      </w:r>
    </w:p>
    <w:p w14:paraId="13FBBD81">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投标服务（及所涉货物材料设施）应符合国家、行业的各</w:t>
      </w:r>
      <w:r>
        <w:rPr>
          <w:color w:val="auto"/>
          <w:sz w:val="24"/>
          <w:szCs w:val="24"/>
          <w:highlight w:val="none"/>
        </w:rPr>
        <w:t>项</w:t>
      </w:r>
      <w:r>
        <w:rPr>
          <w:rFonts w:hint="eastAsia"/>
          <w:color w:val="auto"/>
          <w:sz w:val="24"/>
          <w:szCs w:val="24"/>
          <w:highlight w:val="none"/>
        </w:rPr>
        <w:t>安全标准，投</w:t>
      </w:r>
      <w:r>
        <w:rPr>
          <w:color w:val="auto"/>
          <w:sz w:val="24"/>
          <w:szCs w:val="24"/>
          <w:highlight w:val="none"/>
        </w:rPr>
        <w:t>标</w:t>
      </w:r>
      <w:r>
        <w:rPr>
          <w:rFonts w:hint="eastAsia"/>
          <w:color w:val="auto"/>
          <w:sz w:val="24"/>
          <w:szCs w:val="24"/>
          <w:highlight w:val="none"/>
        </w:rPr>
        <w:t>人</w:t>
      </w:r>
      <w:r>
        <w:rPr>
          <w:color w:val="auto"/>
          <w:sz w:val="24"/>
          <w:szCs w:val="24"/>
          <w:highlight w:val="none"/>
        </w:rPr>
        <w:t>对</w:t>
      </w:r>
      <w:r>
        <w:rPr>
          <w:rFonts w:hint="eastAsia"/>
          <w:color w:val="auto"/>
          <w:sz w:val="24"/>
          <w:szCs w:val="24"/>
          <w:highlight w:val="none"/>
        </w:rPr>
        <w:t>投标服务（及所涉货物材料设施）的</w:t>
      </w:r>
      <w:r>
        <w:rPr>
          <w:color w:val="auto"/>
          <w:sz w:val="24"/>
          <w:szCs w:val="24"/>
          <w:highlight w:val="none"/>
        </w:rPr>
        <w:t>安全性承担全部责任。</w:t>
      </w:r>
      <w:r>
        <w:rPr>
          <w:rFonts w:hint="eastAsia"/>
          <w:color w:val="auto"/>
          <w:sz w:val="24"/>
          <w:szCs w:val="24"/>
          <w:highlight w:val="none"/>
        </w:rPr>
        <w:t>服务期内不符合保障人身、财产安全的国家标准、行业标准的服务（及所涉货物材料设施），将</w:t>
      </w:r>
      <w:r>
        <w:rPr>
          <w:color w:val="auto"/>
          <w:sz w:val="24"/>
          <w:szCs w:val="24"/>
          <w:highlight w:val="none"/>
        </w:rPr>
        <w:t>依法承担民事及相应刑事责任</w:t>
      </w:r>
      <w:r>
        <w:rPr>
          <w:rFonts w:hint="eastAsia"/>
          <w:color w:val="auto"/>
          <w:sz w:val="24"/>
          <w:szCs w:val="24"/>
          <w:highlight w:val="none"/>
        </w:rPr>
        <w:t>。合</w:t>
      </w:r>
      <w:r>
        <w:rPr>
          <w:color w:val="auto"/>
          <w:sz w:val="24"/>
          <w:szCs w:val="24"/>
          <w:highlight w:val="none"/>
        </w:rPr>
        <w:t>同履行中的安全责任由中标人承担全部责任。</w:t>
      </w:r>
    </w:p>
    <w:p w14:paraId="49B5A057">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6</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投</w:t>
      </w:r>
      <w:r>
        <w:rPr>
          <w:rFonts w:ascii="黑体" w:hAnsi="黑体" w:eastAsia="黑体"/>
          <w:b/>
          <w:color w:val="auto"/>
          <w:sz w:val="24"/>
          <w:szCs w:val="24"/>
          <w:highlight w:val="none"/>
        </w:rPr>
        <w:t>标文件</w:t>
      </w:r>
      <w:r>
        <w:rPr>
          <w:rFonts w:hint="eastAsia" w:ascii="黑体" w:hAnsi="黑体" w:eastAsia="黑体"/>
          <w:b/>
          <w:color w:val="auto"/>
          <w:sz w:val="24"/>
          <w:szCs w:val="24"/>
          <w:highlight w:val="none"/>
        </w:rPr>
        <w:t>对“具体服务（技术）要求”的</w:t>
      </w:r>
      <w:r>
        <w:rPr>
          <w:rFonts w:ascii="黑体" w:hAnsi="黑体" w:eastAsia="黑体"/>
          <w:b/>
          <w:color w:val="auto"/>
          <w:sz w:val="24"/>
          <w:szCs w:val="24"/>
          <w:highlight w:val="none"/>
        </w:rPr>
        <w:t>响应</w:t>
      </w:r>
    </w:p>
    <w:p w14:paraId="5A3A9B14">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w:t>
      </w:r>
      <w:r>
        <w:rPr>
          <w:rFonts w:ascii="宋体" w:hAnsi="宋体"/>
          <w:color w:val="auto"/>
          <w:sz w:val="24"/>
          <w:szCs w:val="24"/>
          <w:highlight w:val="none"/>
        </w:rPr>
        <w:t>2.4</w:t>
      </w:r>
      <w:r>
        <w:rPr>
          <w:rFonts w:hint="eastAsia" w:ascii="宋体" w:hAnsi="宋体"/>
          <w:color w:val="auto"/>
          <w:sz w:val="24"/>
          <w:szCs w:val="24"/>
          <w:highlight w:val="none"/>
        </w:rPr>
        <w:t>标段（包）内容（具体范围、数量），具体服务（技术）要求</w:t>
      </w:r>
      <w:r>
        <w:rPr>
          <w:rFonts w:hint="eastAsia"/>
          <w:color w:val="auto"/>
          <w:sz w:val="24"/>
          <w:szCs w:val="24"/>
          <w:highlight w:val="none"/>
        </w:rPr>
        <w:t>”为采购</w:t>
      </w:r>
      <w:r>
        <w:rPr>
          <w:color w:val="auto"/>
          <w:sz w:val="24"/>
          <w:szCs w:val="24"/>
          <w:highlight w:val="none"/>
        </w:rPr>
        <w:t>需求的</w:t>
      </w:r>
      <w:r>
        <w:rPr>
          <w:rFonts w:hint="eastAsia"/>
          <w:color w:val="auto"/>
          <w:sz w:val="24"/>
          <w:szCs w:val="24"/>
          <w:highlight w:val="none"/>
        </w:rPr>
        <w:t>基础</w:t>
      </w:r>
      <w:r>
        <w:rPr>
          <w:color w:val="auto"/>
          <w:sz w:val="24"/>
          <w:szCs w:val="24"/>
          <w:highlight w:val="none"/>
        </w:rPr>
        <w:t>性</w:t>
      </w:r>
      <w:r>
        <w:rPr>
          <w:rFonts w:hint="eastAsia"/>
          <w:color w:val="auto"/>
          <w:sz w:val="24"/>
          <w:szCs w:val="24"/>
          <w:highlight w:val="none"/>
        </w:rPr>
        <w:t>要求，服务内容</w:t>
      </w:r>
      <w:r>
        <w:rPr>
          <w:color w:val="auto"/>
          <w:sz w:val="24"/>
          <w:szCs w:val="24"/>
          <w:highlight w:val="none"/>
        </w:rPr>
        <w:t>应当明确</w:t>
      </w:r>
      <w:r>
        <w:rPr>
          <w:rFonts w:hint="eastAsia"/>
          <w:color w:val="auto"/>
          <w:sz w:val="24"/>
          <w:szCs w:val="24"/>
          <w:highlight w:val="none"/>
        </w:rPr>
        <w:t>，服务所涉产品及技术参数应当明确并最</w:t>
      </w:r>
      <w:r>
        <w:rPr>
          <w:color w:val="auto"/>
          <w:sz w:val="24"/>
          <w:szCs w:val="24"/>
          <w:highlight w:val="none"/>
        </w:rPr>
        <w:t>终指向具体明确的产</w:t>
      </w:r>
      <w:r>
        <w:rPr>
          <w:rFonts w:hint="eastAsia"/>
          <w:color w:val="auto"/>
          <w:sz w:val="24"/>
          <w:szCs w:val="24"/>
          <w:highlight w:val="none"/>
        </w:rPr>
        <w:t>品。投</w:t>
      </w:r>
      <w:r>
        <w:rPr>
          <w:color w:val="auto"/>
          <w:sz w:val="24"/>
          <w:szCs w:val="24"/>
          <w:highlight w:val="none"/>
        </w:rPr>
        <w:t>标</w:t>
      </w:r>
      <w:r>
        <w:rPr>
          <w:rFonts w:hint="eastAsia"/>
          <w:color w:val="auto"/>
          <w:sz w:val="24"/>
          <w:szCs w:val="24"/>
          <w:highlight w:val="none"/>
        </w:rPr>
        <w:t>文</w:t>
      </w:r>
      <w:r>
        <w:rPr>
          <w:color w:val="auto"/>
          <w:sz w:val="24"/>
          <w:szCs w:val="24"/>
          <w:highlight w:val="none"/>
        </w:rPr>
        <w:t>件</w:t>
      </w:r>
      <w:r>
        <w:rPr>
          <w:rFonts w:hint="eastAsia"/>
          <w:color w:val="auto"/>
          <w:sz w:val="24"/>
          <w:szCs w:val="24"/>
          <w:highlight w:val="none"/>
        </w:rPr>
        <w:t>技术参数抄袭招标文件“</w:t>
      </w:r>
      <w:r>
        <w:rPr>
          <w:rFonts w:hint="eastAsia" w:ascii="宋体" w:hAnsi="宋体"/>
          <w:color w:val="auto"/>
          <w:sz w:val="24"/>
          <w:szCs w:val="24"/>
          <w:highlight w:val="none"/>
        </w:rPr>
        <w:t>具体服务（技术）要求</w:t>
      </w:r>
      <w:r>
        <w:rPr>
          <w:rFonts w:hint="eastAsia"/>
          <w:color w:val="auto"/>
          <w:sz w:val="24"/>
          <w:szCs w:val="24"/>
          <w:highlight w:val="none"/>
        </w:rPr>
        <w:t>”，投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明确</w:t>
      </w:r>
      <w:r>
        <w:rPr>
          <w:rFonts w:hint="eastAsia"/>
          <w:color w:val="auto"/>
          <w:sz w:val="24"/>
          <w:szCs w:val="24"/>
          <w:highlight w:val="none"/>
        </w:rPr>
        <w:t>的</w:t>
      </w:r>
      <w:r>
        <w:rPr>
          <w:color w:val="auto"/>
          <w:sz w:val="24"/>
          <w:szCs w:val="24"/>
          <w:highlight w:val="none"/>
        </w:rPr>
        <w:t>、或</w:t>
      </w:r>
      <w:r>
        <w:rPr>
          <w:rFonts w:hint="eastAsia"/>
          <w:color w:val="auto"/>
          <w:sz w:val="24"/>
          <w:szCs w:val="24"/>
          <w:highlight w:val="none"/>
        </w:rPr>
        <w:t>与投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一致</w:t>
      </w:r>
      <w:r>
        <w:rPr>
          <w:rFonts w:hint="eastAsia"/>
          <w:color w:val="auto"/>
          <w:sz w:val="24"/>
          <w:szCs w:val="24"/>
          <w:highlight w:val="none"/>
        </w:rPr>
        <w:t>的</w:t>
      </w:r>
      <w:r>
        <w:rPr>
          <w:color w:val="auto"/>
          <w:sz w:val="24"/>
          <w:szCs w:val="24"/>
          <w:highlight w:val="none"/>
        </w:rPr>
        <w:t>，</w:t>
      </w:r>
      <w:r>
        <w:rPr>
          <w:rFonts w:hint="eastAsia"/>
          <w:color w:val="auto"/>
          <w:sz w:val="24"/>
          <w:szCs w:val="24"/>
          <w:highlight w:val="none"/>
        </w:rPr>
        <w:t>评标委员会有权按照实质性判断原则评定其为无效投标。</w:t>
      </w:r>
    </w:p>
    <w:p w14:paraId="2C72F8E6">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7技术偏离</w:t>
      </w:r>
    </w:p>
    <w:p w14:paraId="129BB3F0">
      <w:pPr>
        <w:widowControl w:val="0"/>
        <w:adjustRightInd w:val="0"/>
        <w:snapToGrid w:val="0"/>
        <w:spacing w:before="156" w:beforeLines="50" w:line="300" w:lineRule="auto"/>
        <w:ind w:firstLine="540"/>
        <w:rPr>
          <w:rFonts w:ascii="宋体" w:hAnsi="宋体"/>
          <w:color w:val="auto"/>
          <w:sz w:val="24"/>
          <w:szCs w:val="24"/>
          <w:highlight w:val="none"/>
        </w:rPr>
      </w:pPr>
      <w:r>
        <w:rPr>
          <w:color w:val="auto"/>
          <w:sz w:val="24"/>
          <w:szCs w:val="24"/>
          <w:highlight w:val="none"/>
        </w:rPr>
        <w:t>2.7.</w:t>
      </w:r>
      <w:r>
        <w:rPr>
          <w:rFonts w:hint="eastAsia"/>
          <w:color w:val="auto"/>
          <w:sz w:val="24"/>
          <w:szCs w:val="24"/>
          <w:highlight w:val="none"/>
        </w:rPr>
        <w:t>1★服务所涉货物材料设施的</w:t>
      </w:r>
      <w:r>
        <w:rPr>
          <w:rFonts w:hint="eastAsia" w:ascii="黑体" w:hAnsi="黑体" w:eastAsia="黑体"/>
          <w:b/>
          <w:color w:val="auto"/>
          <w:sz w:val="24"/>
          <w:szCs w:val="24"/>
          <w:highlight w:val="none"/>
        </w:rPr>
        <w:t>不接受负偏差，低于“具体服务（技术）要求”的、为无效投标。</w:t>
      </w:r>
    </w:p>
    <w:p w14:paraId="3D2A8CD3">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2 除服务所涉货物材料设施的</w:t>
      </w:r>
      <w:r>
        <w:rPr>
          <w:rFonts w:hint="eastAsia" w:ascii="黑体" w:hAnsi="黑体" w:eastAsia="黑体"/>
          <w:b/>
          <w:color w:val="auto"/>
          <w:sz w:val="24"/>
          <w:szCs w:val="24"/>
          <w:highlight w:val="none"/>
        </w:rPr>
        <w:t>技术偏离外，其他内容不接受负偏差。</w:t>
      </w:r>
    </w:p>
    <w:p w14:paraId="3025A319">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3 投标文件对技术偏差的描述要求：见第三章投标人须知</w:t>
      </w:r>
      <w:r>
        <w:rPr>
          <w:color w:val="auto"/>
          <w:sz w:val="24"/>
          <w:szCs w:val="24"/>
          <w:highlight w:val="none"/>
        </w:rPr>
        <w:t>3.7.3</w:t>
      </w:r>
      <w:r>
        <w:rPr>
          <w:rFonts w:hint="eastAsia"/>
          <w:color w:val="auto"/>
          <w:sz w:val="24"/>
          <w:szCs w:val="24"/>
          <w:highlight w:val="none"/>
        </w:rPr>
        <w:t>项。</w:t>
      </w:r>
    </w:p>
    <w:p w14:paraId="28E8E809">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8</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合同履行期限后、服务项目所涉货物的售后服务</w:t>
      </w:r>
    </w:p>
    <w:p w14:paraId="00724189">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无特殊要求，服务要求中已作要求的从其要求。</w:t>
      </w:r>
    </w:p>
    <w:p w14:paraId="781BEB11">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9保险、所涉货物包装</w:t>
      </w:r>
    </w:p>
    <w:p w14:paraId="4C64A48C">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2.9.1保险（如需）：</w:t>
      </w:r>
    </w:p>
    <w:p w14:paraId="79FF1E76">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投标人应遵循国家相关保险的规定，依照法规规定，根据项目属性需要，办理货物设施等的财产保险、危险作业人员的工伤和意外伤害保险、设计和工程保险、第三方责任险，相关保险费用及相应责任由中标人承担。</w:t>
      </w:r>
    </w:p>
    <w:p w14:paraId="2194479E">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2.9.2所涉货物包装：</w:t>
      </w:r>
    </w:p>
    <w:p w14:paraId="4E71A0D5">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中标人负责按国家相关标准进行货物包装，设备的包装均应有良好的防湿、防锈、防潮、防雨、防腐及防碰撞的措施，凡由于包装不良造成的损失和由此产生的费用均由中标人承担。</w:t>
      </w:r>
    </w:p>
    <w:p w14:paraId="3999F919">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10</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采购标的的验收标准</w:t>
      </w:r>
    </w:p>
    <w:p w14:paraId="786234B1">
      <w:pPr>
        <w:adjustRightInd w:val="0"/>
        <w:snapToGrid w:val="0"/>
        <w:spacing w:line="300" w:lineRule="auto"/>
        <w:ind w:firstLine="564" w:firstLineChars="235"/>
        <w:jc w:val="left"/>
        <w:rPr>
          <w:rFonts w:ascii="黑体" w:hAnsi="黑体" w:eastAsia="黑体"/>
          <w:b/>
          <w:color w:val="auto"/>
          <w:sz w:val="24"/>
          <w:szCs w:val="24"/>
          <w:highlight w:val="none"/>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第9条“验收”条款。</w:t>
      </w:r>
    </w:p>
    <w:p w14:paraId="75056ECE">
      <w:pPr>
        <w:adjustRightInd w:val="0"/>
        <w:snapToGrid w:val="0"/>
        <w:spacing w:before="156" w:beforeLines="50" w:line="300" w:lineRule="auto"/>
        <w:ind w:firstLine="566" w:firstLineChars="235"/>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11采购标的的其他技术、服务等要求</w:t>
      </w:r>
    </w:p>
    <w:p w14:paraId="5CCCD423">
      <w:pPr>
        <w:adjustRightInd w:val="0"/>
        <w:snapToGrid w:val="0"/>
        <w:spacing w:before="156" w:beforeLines="50" w:line="300" w:lineRule="auto"/>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 </w:t>
      </w:r>
      <w:r>
        <w:rPr>
          <w:rFonts w:hint="eastAsia"/>
          <w:color w:val="auto"/>
          <w:sz w:val="24"/>
          <w:szCs w:val="24"/>
          <w:highlight w:val="none"/>
        </w:rPr>
        <w:t xml:space="preserve">  无</w:t>
      </w:r>
    </w:p>
    <w:p w14:paraId="3A852F43">
      <w:pPr>
        <w:adjustRightInd w:val="0"/>
        <w:snapToGrid w:val="0"/>
        <w:spacing w:before="156" w:beforeLines="50" w:line="300" w:lineRule="auto"/>
        <w:rPr>
          <w:rFonts w:ascii="黑体" w:hAnsi="黑体" w:eastAsia="黑体"/>
          <w:b/>
          <w:color w:val="auto"/>
          <w:sz w:val="24"/>
          <w:szCs w:val="24"/>
          <w:highlight w:val="none"/>
        </w:rPr>
      </w:pPr>
    </w:p>
    <w:p w14:paraId="5E1C5D5D">
      <w:pPr>
        <w:adjustRightInd w:val="0"/>
        <w:snapToGrid w:val="0"/>
        <w:spacing w:before="156" w:beforeLines="50" w:line="300" w:lineRule="auto"/>
        <w:ind w:firstLine="562" w:firstLineChars="200"/>
        <w:outlineLvl w:val="1"/>
        <w:rPr>
          <w:rFonts w:ascii="黑体" w:hAnsi="黑体" w:eastAsia="黑体"/>
          <w:b/>
          <w:color w:val="auto"/>
          <w:sz w:val="28"/>
          <w:highlight w:val="none"/>
        </w:rPr>
      </w:pPr>
      <w:bookmarkStart w:id="20" w:name="_Toc169770932"/>
      <w:r>
        <w:rPr>
          <w:rFonts w:hint="eastAsia" w:ascii="黑体" w:hAnsi="黑体" w:eastAsia="黑体"/>
          <w:b/>
          <w:color w:val="auto"/>
          <w:sz w:val="28"/>
          <w:highlight w:val="none"/>
        </w:rPr>
        <w:t>3</w:t>
      </w:r>
      <w:r>
        <w:rPr>
          <w:rFonts w:ascii="黑体" w:hAnsi="黑体" w:eastAsia="黑体"/>
          <w:b/>
          <w:color w:val="auto"/>
          <w:sz w:val="28"/>
          <w:highlight w:val="none"/>
        </w:rPr>
        <w:t xml:space="preserve">. </w:t>
      </w:r>
      <w:r>
        <w:rPr>
          <w:rFonts w:hint="eastAsia" w:ascii="黑体" w:hAnsi="黑体" w:eastAsia="黑体"/>
          <w:b/>
          <w:color w:val="auto"/>
          <w:sz w:val="28"/>
          <w:highlight w:val="none"/>
        </w:rPr>
        <w:t>项目其他要求</w:t>
      </w:r>
      <w:bookmarkEnd w:id="20"/>
    </w:p>
    <w:p w14:paraId="0A7D5240">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无</w:t>
      </w:r>
    </w:p>
    <w:p w14:paraId="3BE1DF83">
      <w:pPr>
        <w:spacing w:line="360" w:lineRule="auto"/>
        <w:ind w:right="238"/>
        <w:jc w:val="center"/>
        <w:outlineLvl w:val="0"/>
        <w:rPr>
          <w:rFonts w:ascii="黑体" w:hAnsi="黑体" w:eastAsia="黑体"/>
          <w:b/>
          <w:color w:val="auto"/>
          <w:sz w:val="24"/>
          <w:szCs w:val="24"/>
          <w:highlight w:val="none"/>
        </w:rPr>
      </w:pPr>
      <w:r>
        <w:rPr>
          <w:rFonts w:ascii="黑体" w:hAnsi="黑体" w:eastAsia="黑体"/>
          <w:b/>
          <w:color w:val="auto"/>
          <w:sz w:val="24"/>
          <w:szCs w:val="24"/>
          <w:highlight w:val="none"/>
        </w:rPr>
        <w:br w:type="page"/>
      </w:r>
    </w:p>
    <w:p w14:paraId="3E716A0B">
      <w:pPr>
        <w:spacing w:line="360" w:lineRule="auto"/>
        <w:ind w:right="238"/>
        <w:jc w:val="center"/>
        <w:outlineLvl w:val="0"/>
        <w:rPr>
          <w:rFonts w:eastAsia="黑体"/>
          <w:b/>
          <w:color w:val="auto"/>
          <w:sz w:val="36"/>
          <w:szCs w:val="36"/>
          <w:highlight w:val="none"/>
        </w:rPr>
      </w:pPr>
      <w:bookmarkStart w:id="21" w:name="_Toc169770933"/>
      <w:r>
        <w:rPr>
          <w:rFonts w:hint="eastAsia" w:eastAsia="黑体"/>
          <w:b/>
          <w:color w:val="auto"/>
          <w:sz w:val="36"/>
          <w:szCs w:val="36"/>
          <w:highlight w:val="none"/>
        </w:rPr>
        <w:t>第三章</w:t>
      </w:r>
      <w:r>
        <w:rPr>
          <w:rFonts w:eastAsia="黑体"/>
          <w:b/>
          <w:color w:val="auto"/>
          <w:sz w:val="36"/>
          <w:szCs w:val="36"/>
          <w:highlight w:val="none"/>
        </w:rPr>
        <w:t xml:space="preserve">  </w:t>
      </w:r>
      <w:r>
        <w:rPr>
          <w:rFonts w:hint="eastAsia" w:eastAsia="黑体"/>
          <w:b/>
          <w:color w:val="auto"/>
          <w:sz w:val="36"/>
          <w:szCs w:val="36"/>
          <w:highlight w:val="none"/>
        </w:rPr>
        <w:t>投标人须知</w:t>
      </w:r>
      <w:bookmarkEnd w:id="21"/>
    </w:p>
    <w:p w14:paraId="4CE1AFAA">
      <w:pPr>
        <w:spacing w:line="360" w:lineRule="auto"/>
        <w:ind w:right="240"/>
        <w:jc w:val="center"/>
        <w:rPr>
          <w:rFonts w:eastAsia="黑体"/>
          <w:b/>
          <w:color w:val="auto"/>
          <w:spacing w:val="36"/>
          <w:sz w:val="36"/>
          <w:szCs w:val="36"/>
          <w:highlight w:val="none"/>
        </w:rPr>
      </w:pPr>
    </w:p>
    <w:p w14:paraId="18A8FDBF">
      <w:pPr>
        <w:spacing w:line="360" w:lineRule="auto"/>
        <w:ind w:right="238"/>
        <w:jc w:val="left"/>
        <w:outlineLvl w:val="1"/>
        <w:rPr>
          <w:rFonts w:eastAsia="黑体"/>
          <w:b/>
          <w:color w:val="auto"/>
          <w:sz w:val="28"/>
          <w:szCs w:val="28"/>
          <w:highlight w:val="none"/>
        </w:rPr>
      </w:pPr>
      <w:bookmarkStart w:id="22" w:name="_Toc169770934"/>
      <w:r>
        <w:rPr>
          <w:rFonts w:hint="eastAsia" w:eastAsia="黑体"/>
          <w:b/>
          <w:color w:val="auto"/>
          <w:sz w:val="28"/>
          <w:szCs w:val="28"/>
          <w:highlight w:val="none"/>
        </w:rPr>
        <w:t>投标人须知前附表</w:t>
      </w:r>
      <w:bookmarkEnd w:id="22"/>
    </w:p>
    <w:tbl>
      <w:tblPr>
        <w:tblStyle w:val="18"/>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699"/>
        <w:gridCol w:w="1961"/>
        <w:gridCol w:w="6590"/>
      </w:tblGrid>
      <w:tr w14:paraId="7F16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03" w:type="dxa"/>
          </w:tcPr>
          <w:p w14:paraId="3942E702">
            <w:pPr>
              <w:autoSpaceDE w:val="0"/>
              <w:autoSpaceDN w:val="0"/>
              <w:adjustRightInd w:val="0"/>
              <w:spacing w:line="240" w:lineRule="auto"/>
              <w:rPr>
                <w:rFonts w:ascii="宋体" w:cs="楷体_GB2312"/>
                <w:b/>
                <w:bCs/>
                <w:color w:val="auto"/>
                <w:sz w:val="24"/>
                <w:highlight w:val="none"/>
                <w:lang w:val="zh-CN"/>
              </w:rPr>
            </w:pPr>
            <w:r>
              <w:rPr>
                <w:rFonts w:hint="eastAsia" w:ascii="宋体" w:hAnsi="宋体" w:cs="楷体_GB2312"/>
                <w:b/>
                <w:bCs/>
                <w:color w:val="auto"/>
                <w:sz w:val="24"/>
                <w:highlight w:val="none"/>
                <w:lang w:val="zh-CN"/>
              </w:rPr>
              <w:t>章节</w:t>
            </w:r>
          </w:p>
        </w:tc>
        <w:tc>
          <w:tcPr>
            <w:tcW w:w="699" w:type="dxa"/>
            <w:vAlign w:val="center"/>
          </w:tcPr>
          <w:p w14:paraId="3F68CC48">
            <w:pPr>
              <w:autoSpaceDE w:val="0"/>
              <w:autoSpaceDN w:val="0"/>
              <w:adjustRightInd w:val="0"/>
              <w:spacing w:line="240" w:lineRule="auto"/>
              <w:rPr>
                <w:rFonts w:ascii="宋体" w:cs="楷体_GB2312"/>
                <w:b/>
                <w:bCs/>
                <w:color w:val="auto"/>
                <w:sz w:val="24"/>
                <w:highlight w:val="none"/>
                <w:lang w:val="zh-CN"/>
              </w:rPr>
            </w:pPr>
            <w:r>
              <w:rPr>
                <w:rFonts w:hint="eastAsia" w:ascii="宋体" w:hAnsi="宋体" w:cs="楷体_GB2312"/>
                <w:b/>
                <w:bCs/>
                <w:color w:val="auto"/>
                <w:sz w:val="24"/>
                <w:highlight w:val="none"/>
                <w:lang w:val="zh-CN"/>
              </w:rPr>
              <w:t>条款号</w:t>
            </w:r>
          </w:p>
        </w:tc>
        <w:tc>
          <w:tcPr>
            <w:tcW w:w="1961" w:type="dxa"/>
            <w:vAlign w:val="center"/>
          </w:tcPr>
          <w:p w14:paraId="11055EDC">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条款名称</w:t>
            </w:r>
          </w:p>
        </w:tc>
        <w:tc>
          <w:tcPr>
            <w:tcW w:w="6590" w:type="dxa"/>
            <w:vAlign w:val="center"/>
          </w:tcPr>
          <w:p w14:paraId="20325571">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编列内容</w:t>
            </w:r>
          </w:p>
        </w:tc>
      </w:tr>
      <w:tr w14:paraId="778D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restart"/>
            <w:vAlign w:val="center"/>
          </w:tcPr>
          <w:p w14:paraId="5687914B">
            <w:pPr>
              <w:autoSpaceDE w:val="0"/>
              <w:autoSpaceDN w:val="0"/>
              <w:adjustRightInd w:val="0"/>
              <w:snapToGrid w:val="0"/>
              <w:spacing w:line="240" w:lineRule="auto"/>
              <w:rPr>
                <w:rFonts w:ascii="宋体" w:cs="楷体_GB2312"/>
                <w:b/>
                <w:bCs/>
                <w:color w:val="auto"/>
                <w:sz w:val="24"/>
                <w:highlight w:val="none"/>
              </w:rPr>
            </w:pPr>
            <w:r>
              <w:rPr>
                <w:rFonts w:hint="eastAsia" w:ascii="宋体" w:hAnsi="宋体" w:cs="楷体_GB2312"/>
                <w:b/>
                <w:bCs/>
                <w:color w:val="auto"/>
                <w:sz w:val="24"/>
                <w:highlight w:val="none"/>
              </w:rPr>
              <w:t>第一章</w:t>
            </w:r>
          </w:p>
        </w:tc>
        <w:tc>
          <w:tcPr>
            <w:tcW w:w="699" w:type="dxa"/>
            <w:vAlign w:val="center"/>
          </w:tcPr>
          <w:p w14:paraId="656036A3">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2</w:t>
            </w:r>
          </w:p>
        </w:tc>
        <w:tc>
          <w:tcPr>
            <w:tcW w:w="1961" w:type="dxa"/>
            <w:vAlign w:val="center"/>
          </w:tcPr>
          <w:p w14:paraId="435C9829">
            <w:pPr>
              <w:autoSpaceDE w:val="0"/>
              <w:autoSpaceDN w:val="0"/>
              <w:adjustRightInd w:val="0"/>
              <w:snapToGrid w:val="0"/>
              <w:spacing w:line="240" w:lineRule="auto"/>
              <w:jc w:val="center"/>
              <w:rPr>
                <w:rFonts w:ascii="宋体" w:cs="楷体_GB2312"/>
                <w:color w:val="auto"/>
                <w:sz w:val="24"/>
                <w:highlight w:val="none"/>
                <w:lang w:val="zh-CN"/>
              </w:rPr>
            </w:pPr>
            <w:r>
              <w:rPr>
                <w:rFonts w:hint="eastAsia" w:ascii="宋体" w:hAnsi="宋体" w:cs="楷体_GB2312"/>
                <w:b/>
                <w:bCs/>
                <w:color w:val="auto"/>
                <w:sz w:val="24"/>
                <w:highlight w:val="none"/>
              </w:rPr>
              <w:t>招标项目名称</w:t>
            </w:r>
          </w:p>
        </w:tc>
        <w:tc>
          <w:tcPr>
            <w:tcW w:w="6590" w:type="dxa"/>
            <w:vAlign w:val="center"/>
          </w:tcPr>
          <w:p w14:paraId="55246417">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p>
        </w:tc>
      </w:tr>
      <w:tr w14:paraId="2C2D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continue"/>
            <w:vAlign w:val="center"/>
          </w:tcPr>
          <w:p w14:paraId="79B1E6A0">
            <w:pPr>
              <w:autoSpaceDE w:val="0"/>
              <w:autoSpaceDN w:val="0"/>
              <w:adjustRightInd w:val="0"/>
              <w:snapToGrid w:val="0"/>
              <w:spacing w:line="240" w:lineRule="auto"/>
              <w:rPr>
                <w:rFonts w:ascii="宋体" w:cs="楷体_GB2312"/>
                <w:b/>
                <w:bCs/>
                <w:color w:val="auto"/>
                <w:sz w:val="24"/>
                <w:highlight w:val="none"/>
              </w:rPr>
            </w:pPr>
          </w:p>
        </w:tc>
        <w:tc>
          <w:tcPr>
            <w:tcW w:w="699" w:type="dxa"/>
            <w:vAlign w:val="center"/>
          </w:tcPr>
          <w:p w14:paraId="4ED05CF2">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1</w:t>
            </w:r>
          </w:p>
        </w:tc>
        <w:tc>
          <w:tcPr>
            <w:tcW w:w="1961" w:type="dxa"/>
            <w:vAlign w:val="center"/>
          </w:tcPr>
          <w:p w14:paraId="024A363F">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项目编号</w:t>
            </w:r>
          </w:p>
        </w:tc>
        <w:tc>
          <w:tcPr>
            <w:tcW w:w="6590" w:type="dxa"/>
            <w:vAlign w:val="center"/>
          </w:tcPr>
          <w:p w14:paraId="3AA8D27C">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14:paraId="630E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continue"/>
            <w:vAlign w:val="center"/>
          </w:tcPr>
          <w:p w14:paraId="40E0C3EC">
            <w:pPr>
              <w:autoSpaceDE w:val="0"/>
              <w:autoSpaceDN w:val="0"/>
              <w:adjustRightInd w:val="0"/>
              <w:snapToGrid w:val="0"/>
              <w:spacing w:line="240" w:lineRule="auto"/>
              <w:rPr>
                <w:rFonts w:ascii="宋体" w:cs="楷体_GB2312"/>
                <w:b/>
                <w:bCs/>
                <w:color w:val="auto"/>
                <w:sz w:val="24"/>
                <w:highlight w:val="none"/>
              </w:rPr>
            </w:pPr>
          </w:p>
        </w:tc>
        <w:tc>
          <w:tcPr>
            <w:tcW w:w="699" w:type="dxa"/>
            <w:vAlign w:val="center"/>
          </w:tcPr>
          <w:p w14:paraId="725F4B9A">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1.3</w:t>
            </w:r>
          </w:p>
        </w:tc>
        <w:tc>
          <w:tcPr>
            <w:tcW w:w="1961" w:type="dxa"/>
            <w:vAlign w:val="center"/>
          </w:tcPr>
          <w:p w14:paraId="0C776F16">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采购方式</w:t>
            </w:r>
          </w:p>
        </w:tc>
        <w:tc>
          <w:tcPr>
            <w:tcW w:w="6590" w:type="dxa"/>
            <w:vAlign w:val="center"/>
          </w:tcPr>
          <w:p w14:paraId="084366C3">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公开</w:t>
            </w:r>
            <w:r>
              <w:rPr>
                <w:color w:val="auto"/>
                <w:sz w:val="24"/>
                <w:szCs w:val="24"/>
                <w:highlight w:val="none"/>
              </w:rPr>
              <w:t>招标</w:t>
            </w:r>
          </w:p>
        </w:tc>
      </w:tr>
      <w:tr w14:paraId="7EE4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03" w:type="dxa"/>
            <w:vMerge w:val="continue"/>
          </w:tcPr>
          <w:p w14:paraId="79B6F73A">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4E02F241">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w:t>
            </w:r>
            <w:r>
              <w:rPr>
                <w:rFonts w:hint="eastAsia" w:ascii="宋体" w:hAnsi="宋体" w:cs="楷体_GB2312"/>
                <w:b/>
                <w:bCs/>
                <w:color w:val="auto"/>
                <w:szCs w:val="21"/>
                <w:highlight w:val="none"/>
                <w:lang w:val="zh-CN"/>
              </w:rPr>
              <w:t>4</w:t>
            </w:r>
          </w:p>
        </w:tc>
        <w:tc>
          <w:tcPr>
            <w:tcW w:w="1961" w:type="dxa"/>
            <w:vAlign w:val="center"/>
          </w:tcPr>
          <w:p w14:paraId="35F5DABD">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预算金额</w:t>
            </w:r>
          </w:p>
        </w:tc>
        <w:tc>
          <w:tcPr>
            <w:tcW w:w="6590" w:type="dxa"/>
            <w:vAlign w:val="center"/>
          </w:tcPr>
          <w:p w14:paraId="6AC03DF8">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r>
              <w:rPr>
                <w:rFonts w:hint="eastAsia" w:ascii="宋体" w:hAnsi="宋体" w:cs="楷体_GB2312"/>
                <w:b/>
                <w:color w:val="auto"/>
                <w:sz w:val="24"/>
                <w:highlight w:val="none"/>
                <w:lang w:val="zh-CN"/>
              </w:rPr>
              <w:t>注：投标人的投标报价未超过</w:t>
            </w:r>
            <w:r>
              <w:rPr>
                <w:rFonts w:hint="eastAsia" w:ascii="宋体" w:hAnsi="宋体" w:cs="楷体_GB2312"/>
                <w:b/>
                <w:bCs/>
                <w:color w:val="auto"/>
                <w:sz w:val="24"/>
                <w:highlight w:val="none"/>
                <w:lang w:val="zh-CN"/>
              </w:rPr>
              <w:t>预算金额</w:t>
            </w:r>
            <w:r>
              <w:rPr>
                <w:rFonts w:hint="eastAsia" w:ascii="宋体" w:hAnsi="宋体" w:cs="楷体_GB2312"/>
                <w:b/>
                <w:color w:val="auto"/>
                <w:sz w:val="24"/>
                <w:highlight w:val="none"/>
                <w:lang w:val="zh-CN"/>
              </w:rPr>
              <w:t>的不足三家时，该标段（包）废标。</w:t>
            </w:r>
          </w:p>
        </w:tc>
      </w:tr>
      <w:tr w14:paraId="6775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63DF97B0">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774E32B1">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p>
        </w:tc>
        <w:tc>
          <w:tcPr>
            <w:tcW w:w="1961" w:type="dxa"/>
            <w:vAlign w:val="center"/>
          </w:tcPr>
          <w:p w14:paraId="7767B412">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申请人的资格要求及相关证明材料要求</w:t>
            </w:r>
          </w:p>
        </w:tc>
        <w:tc>
          <w:tcPr>
            <w:tcW w:w="6590" w:type="dxa"/>
            <w:vAlign w:val="center"/>
          </w:tcPr>
          <w:p w14:paraId="12E72E54">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14:paraId="5E9B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2EC3EB07">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5DC059F5">
            <w:pPr>
              <w:autoSpaceDE w:val="0"/>
              <w:autoSpaceDN w:val="0"/>
              <w:adjustRightInd w:val="0"/>
              <w:snapToGrid w:val="0"/>
              <w:spacing w:line="240" w:lineRule="auto"/>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8.1</w:t>
            </w:r>
          </w:p>
        </w:tc>
        <w:tc>
          <w:tcPr>
            <w:tcW w:w="1961" w:type="dxa"/>
            <w:vAlign w:val="center"/>
          </w:tcPr>
          <w:p w14:paraId="65C6822E">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采购人</w:t>
            </w:r>
          </w:p>
        </w:tc>
        <w:tc>
          <w:tcPr>
            <w:tcW w:w="6590" w:type="dxa"/>
            <w:vAlign w:val="center"/>
          </w:tcPr>
          <w:p w14:paraId="4FB3BD04">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14:paraId="2ABD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5DE8460C">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1217E126">
            <w:pPr>
              <w:autoSpaceDE w:val="0"/>
              <w:autoSpaceDN w:val="0"/>
              <w:adjustRightInd w:val="0"/>
              <w:snapToGrid w:val="0"/>
              <w:spacing w:line="240" w:lineRule="auto"/>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8.2</w:t>
            </w:r>
          </w:p>
        </w:tc>
        <w:tc>
          <w:tcPr>
            <w:tcW w:w="1961" w:type="dxa"/>
            <w:vAlign w:val="center"/>
          </w:tcPr>
          <w:p w14:paraId="07A8AF53">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采购代理机构</w:t>
            </w:r>
          </w:p>
        </w:tc>
        <w:tc>
          <w:tcPr>
            <w:tcW w:w="6590" w:type="dxa"/>
            <w:vAlign w:val="center"/>
          </w:tcPr>
          <w:p w14:paraId="040B09BA">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14:paraId="5F34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restart"/>
            <w:vAlign w:val="center"/>
          </w:tcPr>
          <w:p w14:paraId="7C3EA1B0">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第二章</w:t>
            </w:r>
          </w:p>
        </w:tc>
        <w:tc>
          <w:tcPr>
            <w:tcW w:w="699" w:type="dxa"/>
            <w:vAlign w:val="center"/>
          </w:tcPr>
          <w:p w14:paraId="7F6B8DE2">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1961" w:type="dxa"/>
            <w:vAlign w:val="center"/>
          </w:tcPr>
          <w:p w14:paraId="2440CDD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b/>
                <w:color w:val="auto"/>
                <w:sz w:val="24"/>
                <w:szCs w:val="24"/>
                <w:highlight w:val="none"/>
              </w:rPr>
              <w:t>标段（包）划分</w:t>
            </w:r>
          </w:p>
        </w:tc>
        <w:tc>
          <w:tcPr>
            <w:tcW w:w="6590" w:type="dxa"/>
            <w:vAlign w:val="center"/>
          </w:tcPr>
          <w:p w14:paraId="5A183056">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见“第二章招标项目要求及采购需求”相应条款</w:t>
            </w:r>
          </w:p>
        </w:tc>
      </w:tr>
      <w:tr w14:paraId="1D43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0066A416">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41EA7D51">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1961" w:type="dxa"/>
            <w:vAlign w:val="center"/>
          </w:tcPr>
          <w:p w14:paraId="1913C8DC">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b/>
                <w:color w:val="auto"/>
                <w:sz w:val="24"/>
                <w:szCs w:val="24"/>
                <w:highlight w:val="none"/>
              </w:rPr>
              <w:t>交付&lt;实施&gt;期</w:t>
            </w:r>
          </w:p>
        </w:tc>
        <w:tc>
          <w:tcPr>
            <w:tcW w:w="6590" w:type="dxa"/>
            <w:vAlign w:val="center"/>
          </w:tcPr>
          <w:p w14:paraId="71E8168D">
            <w:pPr>
              <w:autoSpaceDE w:val="0"/>
              <w:autoSpaceDN w:val="0"/>
              <w:adjustRightInd w:val="0"/>
              <w:snapToGrid w:val="0"/>
              <w:spacing w:before="156" w:beforeLines="50" w:line="240" w:lineRule="auto"/>
              <w:rPr>
                <w:rFonts w:ascii="宋体" w:cs="楷体_GB2312"/>
                <w:bCs/>
                <w:color w:val="auto"/>
                <w:sz w:val="24"/>
                <w:highlight w:val="none"/>
                <w:lang w:val="zh-CN"/>
              </w:rPr>
            </w:pPr>
            <w:r>
              <w:rPr>
                <w:rFonts w:hint="eastAsia" w:ascii="宋体" w:hAnsi="宋体"/>
                <w:color w:val="auto"/>
                <w:sz w:val="24"/>
                <w:highlight w:val="none"/>
              </w:rPr>
              <w:t>见“第二章招标项目要求及采购需求”</w:t>
            </w:r>
            <w:r>
              <w:rPr>
                <w:rFonts w:hint="eastAsia"/>
                <w:color w:val="auto"/>
                <w:sz w:val="24"/>
                <w:szCs w:val="24"/>
                <w:highlight w:val="none"/>
              </w:rPr>
              <w:t>相应条款</w:t>
            </w:r>
          </w:p>
        </w:tc>
      </w:tr>
      <w:tr w14:paraId="646A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61449249">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2D0005BF">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1961" w:type="dxa"/>
            <w:vAlign w:val="center"/>
          </w:tcPr>
          <w:p w14:paraId="57F11FE5">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rPr>
              <w:t>交付（实施）</w:t>
            </w:r>
            <w:r>
              <w:rPr>
                <w:rFonts w:hint="eastAsia" w:ascii="宋体" w:hAnsi="宋体" w:cs="楷体_GB2312"/>
                <w:b/>
                <w:bCs/>
                <w:color w:val="auto"/>
                <w:sz w:val="24"/>
                <w:highlight w:val="none"/>
                <w:lang w:val="zh-CN"/>
              </w:rPr>
              <w:t>地</w:t>
            </w:r>
          </w:p>
        </w:tc>
        <w:tc>
          <w:tcPr>
            <w:tcW w:w="6590" w:type="dxa"/>
            <w:vAlign w:val="center"/>
          </w:tcPr>
          <w:p w14:paraId="2AD73806">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14:paraId="2B67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2B94E656">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2E9A2B81">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1.3</w:t>
            </w:r>
          </w:p>
        </w:tc>
        <w:tc>
          <w:tcPr>
            <w:tcW w:w="1961" w:type="dxa"/>
            <w:vAlign w:val="center"/>
          </w:tcPr>
          <w:p w14:paraId="14E7C3FC">
            <w:pPr>
              <w:autoSpaceDE w:val="0"/>
              <w:autoSpaceDN w:val="0"/>
              <w:adjustRightInd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投标报价</w:t>
            </w:r>
          </w:p>
        </w:tc>
        <w:tc>
          <w:tcPr>
            <w:tcW w:w="6590" w:type="dxa"/>
            <w:vAlign w:val="center"/>
          </w:tcPr>
          <w:p w14:paraId="2CD62262">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见“第二章招标项目要求及采购需求”相应条款</w:t>
            </w:r>
          </w:p>
        </w:tc>
      </w:tr>
      <w:tr w14:paraId="549B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3" w:type="dxa"/>
            <w:vMerge w:val="continue"/>
          </w:tcPr>
          <w:p w14:paraId="1DCACA10">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6AE8D5E7">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p>
        </w:tc>
        <w:tc>
          <w:tcPr>
            <w:tcW w:w="1961" w:type="dxa"/>
            <w:vAlign w:val="center"/>
          </w:tcPr>
          <w:p w14:paraId="599CB5C7">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标段（包）内容（范围）及具体采购需求</w:t>
            </w:r>
          </w:p>
        </w:tc>
        <w:tc>
          <w:tcPr>
            <w:tcW w:w="6590" w:type="dxa"/>
            <w:vAlign w:val="center"/>
          </w:tcPr>
          <w:p w14:paraId="643CDDB9">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14:paraId="050F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03" w:type="dxa"/>
            <w:vMerge w:val="restart"/>
          </w:tcPr>
          <w:p w14:paraId="7F435AB8">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第三章</w:t>
            </w:r>
          </w:p>
        </w:tc>
        <w:tc>
          <w:tcPr>
            <w:tcW w:w="699" w:type="dxa"/>
            <w:vAlign w:val="center"/>
          </w:tcPr>
          <w:p w14:paraId="5AC03961">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1.4</w:t>
            </w:r>
          </w:p>
        </w:tc>
        <w:tc>
          <w:tcPr>
            <w:tcW w:w="1961" w:type="dxa"/>
            <w:vAlign w:val="center"/>
          </w:tcPr>
          <w:p w14:paraId="6FB324DB">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联合体投标</w:t>
            </w:r>
          </w:p>
        </w:tc>
        <w:tc>
          <w:tcPr>
            <w:tcW w:w="6590" w:type="dxa"/>
            <w:vAlign w:val="center"/>
          </w:tcPr>
          <w:p w14:paraId="1136AF5F">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p>
        </w:tc>
      </w:tr>
      <w:tr w14:paraId="3732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14:paraId="6DD3EAD9">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4AE72166">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10</w:t>
            </w:r>
          </w:p>
        </w:tc>
        <w:tc>
          <w:tcPr>
            <w:tcW w:w="1961" w:type="dxa"/>
            <w:vAlign w:val="center"/>
          </w:tcPr>
          <w:p w14:paraId="5322E9D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踏勘现场</w:t>
            </w:r>
          </w:p>
        </w:tc>
        <w:tc>
          <w:tcPr>
            <w:tcW w:w="6590" w:type="dxa"/>
            <w:vAlign w:val="center"/>
          </w:tcPr>
          <w:p w14:paraId="7D0D4CDA">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不组织</w:t>
            </w:r>
          </w:p>
        </w:tc>
      </w:tr>
      <w:tr w14:paraId="5209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14:paraId="0C394EAC">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66771761">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1.1</w:t>
            </w:r>
            <w:r>
              <w:rPr>
                <w:rFonts w:hint="eastAsia" w:ascii="宋体" w:hAnsi="宋体" w:cs="楷体_GB2312"/>
                <w:b/>
                <w:bCs/>
                <w:color w:val="auto"/>
                <w:szCs w:val="21"/>
                <w:highlight w:val="none"/>
              </w:rPr>
              <w:t>1</w:t>
            </w:r>
          </w:p>
        </w:tc>
        <w:tc>
          <w:tcPr>
            <w:tcW w:w="1961" w:type="dxa"/>
            <w:vAlign w:val="center"/>
          </w:tcPr>
          <w:p w14:paraId="261B37BF">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开标前答疑会</w:t>
            </w:r>
          </w:p>
        </w:tc>
        <w:tc>
          <w:tcPr>
            <w:tcW w:w="6590" w:type="dxa"/>
            <w:vAlign w:val="center"/>
          </w:tcPr>
          <w:p w14:paraId="5A6862A6">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不召开</w:t>
            </w:r>
          </w:p>
        </w:tc>
      </w:tr>
      <w:tr w14:paraId="70E5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14:paraId="050F3BA7">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1B6A3958">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1.1</w:t>
            </w:r>
            <w:r>
              <w:rPr>
                <w:rFonts w:hint="eastAsia" w:ascii="宋体" w:hAnsi="宋体" w:cs="楷体_GB2312"/>
                <w:b/>
                <w:bCs/>
                <w:color w:val="auto"/>
                <w:szCs w:val="21"/>
                <w:highlight w:val="none"/>
              </w:rPr>
              <w:t>2</w:t>
            </w:r>
          </w:p>
        </w:tc>
        <w:tc>
          <w:tcPr>
            <w:tcW w:w="1961" w:type="dxa"/>
            <w:vAlign w:val="center"/>
          </w:tcPr>
          <w:p w14:paraId="37334FD1">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分包</w:t>
            </w:r>
          </w:p>
        </w:tc>
        <w:tc>
          <w:tcPr>
            <w:tcW w:w="6590" w:type="dxa"/>
            <w:vAlign w:val="center"/>
          </w:tcPr>
          <w:p w14:paraId="40A00B4C">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 xml:space="preserve">不允许  </w:t>
            </w:r>
          </w:p>
        </w:tc>
      </w:tr>
      <w:tr w14:paraId="02DC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14:paraId="06CB89D7">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2C622741">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2.1</w:t>
            </w:r>
          </w:p>
        </w:tc>
        <w:tc>
          <w:tcPr>
            <w:tcW w:w="1961" w:type="dxa"/>
            <w:vAlign w:val="center"/>
          </w:tcPr>
          <w:p w14:paraId="5475A7A9">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构成招标文件的其他材料</w:t>
            </w:r>
          </w:p>
        </w:tc>
        <w:tc>
          <w:tcPr>
            <w:tcW w:w="6590" w:type="dxa"/>
            <w:vAlign w:val="center"/>
          </w:tcPr>
          <w:p w14:paraId="690E1A7C">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79AC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3" w:type="dxa"/>
            <w:vMerge w:val="continue"/>
          </w:tcPr>
          <w:p w14:paraId="4863F70E">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322E555B">
            <w:pPr>
              <w:autoSpaceDE w:val="0"/>
              <w:autoSpaceDN w:val="0"/>
              <w:adjustRightInd w:val="0"/>
              <w:snapToGrid w:val="0"/>
              <w:spacing w:line="240" w:lineRule="auto"/>
              <w:ind w:left="-134" w:leftChars="-64" w:right="-88" w:rightChars="-42"/>
              <w:jc w:val="center"/>
              <w:rPr>
                <w:rFonts w:ascii="宋体" w:hAnsi="宋体" w:cs="楷体_GB2312"/>
                <w:b/>
                <w:bCs/>
                <w:color w:val="auto"/>
                <w:szCs w:val="21"/>
                <w:highlight w:val="none"/>
              </w:rPr>
            </w:pPr>
            <w:r>
              <w:rPr>
                <w:rFonts w:ascii="宋体" w:hAnsi="宋体" w:cs="楷体_GB2312"/>
                <w:b/>
                <w:bCs/>
                <w:color w:val="auto"/>
                <w:szCs w:val="21"/>
                <w:highlight w:val="none"/>
              </w:rPr>
              <w:t>2.2.1</w:t>
            </w:r>
          </w:p>
        </w:tc>
        <w:tc>
          <w:tcPr>
            <w:tcW w:w="1961" w:type="dxa"/>
            <w:vAlign w:val="center"/>
          </w:tcPr>
          <w:p w14:paraId="16C4EF71">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投标人提出问题的截止时间</w:t>
            </w:r>
          </w:p>
        </w:tc>
        <w:tc>
          <w:tcPr>
            <w:tcW w:w="6590" w:type="dxa"/>
            <w:vAlign w:val="center"/>
          </w:tcPr>
          <w:p w14:paraId="2B43419C">
            <w:pPr>
              <w:autoSpaceDE w:val="0"/>
              <w:autoSpaceDN w:val="0"/>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公告期结束或获取招标文件</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个工作日内。</w:t>
            </w:r>
          </w:p>
        </w:tc>
      </w:tr>
      <w:tr w14:paraId="1EF3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3" w:type="dxa"/>
            <w:vMerge w:val="continue"/>
          </w:tcPr>
          <w:p w14:paraId="1AB5A80B">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6076A978">
            <w:pPr>
              <w:autoSpaceDE w:val="0"/>
              <w:autoSpaceDN w:val="0"/>
              <w:adjustRightInd w:val="0"/>
              <w:snapToGrid w:val="0"/>
              <w:spacing w:line="240" w:lineRule="auto"/>
              <w:ind w:left="-134" w:leftChars="-64" w:right="-88" w:rightChars="-42"/>
              <w:jc w:val="center"/>
              <w:rPr>
                <w:rFonts w:ascii="宋体" w:hAnsi="宋体" w:cs="楷体_GB2312"/>
                <w:b/>
                <w:bCs/>
                <w:color w:val="auto"/>
                <w:szCs w:val="21"/>
                <w:highlight w:val="none"/>
              </w:rPr>
            </w:pPr>
            <w:r>
              <w:rPr>
                <w:rFonts w:ascii="宋体" w:hAnsi="宋体" w:cs="楷体_GB2312"/>
                <w:b/>
                <w:bCs/>
                <w:color w:val="auto"/>
                <w:szCs w:val="21"/>
                <w:highlight w:val="none"/>
              </w:rPr>
              <w:t>2.3</w:t>
            </w:r>
          </w:p>
        </w:tc>
        <w:tc>
          <w:tcPr>
            <w:tcW w:w="1961" w:type="dxa"/>
            <w:vAlign w:val="center"/>
          </w:tcPr>
          <w:p w14:paraId="46A9DA43">
            <w:pPr>
              <w:autoSpaceDE w:val="0"/>
              <w:autoSpaceDN w:val="0"/>
              <w:adjustRightInd w:val="0"/>
              <w:snapToGrid w:val="0"/>
              <w:spacing w:line="240" w:lineRule="auto"/>
              <w:ind w:left="-126" w:leftChars="-60" w:right="-36" w:rightChars="-17"/>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招标文件的澄清修改补充告知方式</w:t>
            </w:r>
          </w:p>
        </w:tc>
        <w:tc>
          <w:tcPr>
            <w:tcW w:w="6590" w:type="dxa"/>
            <w:vAlign w:val="center"/>
          </w:tcPr>
          <w:p w14:paraId="570C09ED">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38B5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dxa"/>
            <w:vMerge w:val="continue"/>
          </w:tcPr>
          <w:p w14:paraId="7393E17D">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6F9B6BEC">
            <w:pPr>
              <w:autoSpaceDE w:val="0"/>
              <w:autoSpaceDN w:val="0"/>
              <w:adjustRightInd w:val="0"/>
              <w:snapToGrid w:val="0"/>
              <w:spacing w:line="240" w:lineRule="auto"/>
              <w:ind w:right="-88" w:rightChars="-42"/>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2.</w:t>
            </w:r>
            <w:r>
              <w:rPr>
                <w:rFonts w:hint="eastAsia" w:ascii="宋体" w:hAnsi="宋体" w:cs="楷体_GB2312"/>
                <w:b/>
                <w:bCs/>
                <w:color w:val="auto"/>
                <w:szCs w:val="21"/>
                <w:highlight w:val="none"/>
                <w:lang w:val="zh-CN"/>
              </w:rPr>
              <w:t>4</w:t>
            </w:r>
          </w:p>
        </w:tc>
        <w:tc>
          <w:tcPr>
            <w:tcW w:w="1961" w:type="dxa"/>
            <w:vAlign w:val="center"/>
          </w:tcPr>
          <w:p w14:paraId="0654773B">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招标文件澄清修改补充时间</w:t>
            </w:r>
          </w:p>
        </w:tc>
        <w:tc>
          <w:tcPr>
            <w:tcW w:w="6590" w:type="dxa"/>
            <w:vAlign w:val="center"/>
          </w:tcPr>
          <w:p w14:paraId="0DB869B1">
            <w:pPr>
              <w:autoSpaceDE w:val="0"/>
              <w:autoSpaceDN w:val="0"/>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投标截止时间</w:t>
            </w:r>
            <w:r>
              <w:rPr>
                <w:rFonts w:ascii="宋体" w:hAnsi="宋体" w:cs="楷体_GB2312"/>
                <w:color w:val="auto"/>
                <w:sz w:val="24"/>
                <w:highlight w:val="none"/>
              </w:rPr>
              <w:t>15</w:t>
            </w:r>
            <w:r>
              <w:rPr>
                <w:rFonts w:hint="eastAsia" w:ascii="宋体" w:hAnsi="宋体" w:cs="楷体_GB2312"/>
                <w:color w:val="auto"/>
                <w:sz w:val="24"/>
                <w:highlight w:val="none"/>
                <w:lang w:val="zh-CN"/>
              </w:rPr>
              <w:t>日前。</w:t>
            </w:r>
          </w:p>
        </w:tc>
      </w:tr>
      <w:tr w14:paraId="35D1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3" w:type="dxa"/>
            <w:vMerge w:val="continue"/>
          </w:tcPr>
          <w:p w14:paraId="205AEA6C">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48F8E6D5">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3.2</w:t>
            </w:r>
          </w:p>
        </w:tc>
        <w:tc>
          <w:tcPr>
            <w:tcW w:w="1961" w:type="dxa"/>
            <w:vAlign w:val="center"/>
          </w:tcPr>
          <w:p w14:paraId="602D7676">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构成投标文件的其他材料</w:t>
            </w:r>
          </w:p>
        </w:tc>
        <w:tc>
          <w:tcPr>
            <w:tcW w:w="6590" w:type="dxa"/>
            <w:vAlign w:val="center"/>
          </w:tcPr>
          <w:p w14:paraId="1E4254D6">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3AD7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3" w:type="dxa"/>
            <w:vMerge w:val="restart"/>
          </w:tcPr>
          <w:p w14:paraId="72076BA2">
            <w:pPr>
              <w:autoSpaceDE w:val="0"/>
              <w:autoSpaceDN w:val="0"/>
              <w:adjustRightInd w:val="0"/>
              <w:snapToGrid w:val="0"/>
              <w:spacing w:line="240" w:lineRule="auto"/>
              <w:jc w:val="center"/>
              <w:rPr>
                <w:rFonts w:ascii="宋体" w:hAnsi="宋体" w:cs="楷体_GB2312"/>
                <w:b/>
                <w:bCs/>
                <w:color w:val="auto"/>
                <w:sz w:val="24"/>
                <w:highlight w:val="none"/>
                <w:lang w:val="zh-CN"/>
              </w:rPr>
            </w:pPr>
            <w:r>
              <w:rPr>
                <w:rFonts w:hint="eastAsia" w:ascii="宋体" w:hAnsi="宋体" w:cs="楷体_GB2312"/>
                <w:b/>
                <w:bCs/>
                <w:color w:val="auto"/>
                <w:sz w:val="24"/>
                <w:highlight w:val="none"/>
                <w:lang w:val="zh-CN"/>
              </w:rPr>
              <w:t>第三章</w:t>
            </w:r>
          </w:p>
          <w:p w14:paraId="1BB24E91">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404D8C10">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3.4.1</w:t>
            </w:r>
          </w:p>
        </w:tc>
        <w:tc>
          <w:tcPr>
            <w:tcW w:w="1961" w:type="dxa"/>
            <w:vAlign w:val="center"/>
          </w:tcPr>
          <w:p w14:paraId="51AB9AC3">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投标有效期</w:t>
            </w:r>
          </w:p>
        </w:tc>
        <w:tc>
          <w:tcPr>
            <w:tcW w:w="6590" w:type="dxa"/>
            <w:vAlign w:val="center"/>
          </w:tcPr>
          <w:p w14:paraId="062A7768">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从开标之日起，投标有效期为</w:t>
            </w:r>
            <w:r>
              <w:rPr>
                <w:rFonts w:ascii="宋体" w:hAnsi="宋体" w:cs="楷体_GB2312"/>
                <w:color w:val="auto"/>
                <w:sz w:val="24"/>
                <w:highlight w:val="none"/>
                <w:lang w:val="zh-CN"/>
              </w:rPr>
              <w:t>90</w:t>
            </w:r>
            <w:r>
              <w:rPr>
                <w:rFonts w:hint="eastAsia" w:ascii="宋体" w:hAnsi="宋体" w:cs="楷体_GB2312"/>
                <w:color w:val="auto"/>
                <w:sz w:val="24"/>
                <w:highlight w:val="none"/>
                <w:lang w:val="zh-CN"/>
              </w:rPr>
              <w:t>日历天</w:t>
            </w:r>
          </w:p>
        </w:tc>
      </w:tr>
      <w:tr w14:paraId="636F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03" w:type="dxa"/>
            <w:vMerge w:val="continue"/>
          </w:tcPr>
          <w:p w14:paraId="5D944C9C">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1F1AEC60">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3.5</w:t>
            </w:r>
          </w:p>
        </w:tc>
        <w:tc>
          <w:tcPr>
            <w:tcW w:w="1961" w:type="dxa"/>
            <w:vAlign w:val="center"/>
          </w:tcPr>
          <w:p w14:paraId="4D51482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投标承诺函</w:t>
            </w:r>
          </w:p>
          <w:p w14:paraId="09E02CE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（替代投标保证金）</w:t>
            </w:r>
          </w:p>
        </w:tc>
        <w:tc>
          <w:tcPr>
            <w:tcW w:w="6590" w:type="dxa"/>
            <w:vAlign w:val="center"/>
          </w:tcPr>
          <w:p w14:paraId="32190A92">
            <w:pPr>
              <w:widowControl w:val="0"/>
              <w:snapToGrid w:val="0"/>
              <w:spacing w:before="156" w:beforeLines="50" w:line="240" w:lineRule="auto"/>
              <w:rPr>
                <w:color w:val="auto"/>
                <w:sz w:val="24"/>
                <w:szCs w:val="24"/>
                <w:highlight w:val="none"/>
              </w:rPr>
            </w:pPr>
            <w:r>
              <w:rPr>
                <w:rFonts w:hint="eastAsia"/>
                <w:color w:val="auto"/>
                <w:sz w:val="24"/>
                <w:szCs w:val="24"/>
                <w:highlight w:val="none"/>
              </w:rPr>
              <w:t>以投标承诺函形式替代投标保证金。</w:t>
            </w:r>
          </w:p>
          <w:p w14:paraId="5EF047F3">
            <w:pPr>
              <w:pStyle w:val="52"/>
              <w:snapToGrid w:val="0"/>
              <w:spacing w:before="156" w:beforeLines="50" w:beforeAutospacing="0" w:after="0" w:afterAutospacing="0"/>
              <w:jc w:val="both"/>
              <w:rPr>
                <w:color w:val="auto"/>
                <w:sz w:val="24"/>
                <w:szCs w:val="24"/>
                <w:highlight w:val="none"/>
              </w:rPr>
            </w:pPr>
            <w:r>
              <w:rPr>
                <w:rFonts w:hint="eastAsia"/>
                <w:color w:val="auto"/>
                <w:sz w:val="24"/>
                <w:szCs w:val="24"/>
                <w:highlight w:val="none"/>
              </w:rPr>
              <w:t>供应商应按附件格式进行投标承诺、违背承诺的责任追究。</w:t>
            </w:r>
          </w:p>
        </w:tc>
      </w:tr>
      <w:tr w14:paraId="04C4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03" w:type="dxa"/>
            <w:vMerge w:val="continue"/>
          </w:tcPr>
          <w:p w14:paraId="63DB549E">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78FB090D">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3.7.3</w:t>
            </w:r>
          </w:p>
        </w:tc>
        <w:tc>
          <w:tcPr>
            <w:tcW w:w="1961" w:type="dxa"/>
            <w:vAlign w:val="center"/>
          </w:tcPr>
          <w:p w14:paraId="01D4B26B">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偏差描述</w:t>
            </w:r>
          </w:p>
        </w:tc>
        <w:tc>
          <w:tcPr>
            <w:tcW w:w="6590" w:type="dxa"/>
            <w:vAlign w:val="center"/>
          </w:tcPr>
          <w:p w14:paraId="065536B1">
            <w:pPr>
              <w:widowControl w:val="0"/>
              <w:snapToGrid w:val="0"/>
              <w:spacing w:before="156" w:beforeLines="50" w:line="240" w:lineRule="auto"/>
              <w:rPr>
                <w:b/>
                <w:color w:val="auto"/>
                <w:sz w:val="24"/>
                <w:szCs w:val="24"/>
                <w:highlight w:val="none"/>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592C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503" w:type="dxa"/>
            <w:vMerge w:val="continue"/>
          </w:tcPr>
          <w:p w14:paraId="59229DF2">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294F8B7F">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3.7.</w:t>
            </w:r>
            <w:r>
              <w:rPr>
                <w:rFonts w:hint="eastAsia" w:ascii="宋体" w:hAnsi="宋体" w:cs="楷体_GB2312"/>
                <w:b/>
                <w:bCs/>
                <w:color w:val="auto"/>
                <w:szCs w:val="21"/>
                <w:highlight w:val="none"/>
              </w:rPr>
              <w:t>4</w:t>
            </w:r>
          </w:p>
        </w:tc>
        <w:tc>
          <w:tcPr>
            <w:tcW w:w="1961" w:type="dxa"/>
            <w:vAlign w:val="center"/>
          </w:tcPr>
          <w:p w14:paraId="606EB6FB">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签字或盖章要求</w:t>
            </w:r>
          </w:p>
        </w:tc>
        <w:tc>
          <w:tcPr>
            <w:tcW w:w="6590" w:type="dxa"/>
            <w:vAlign w:val="center"/>
          </w:tcPr>
          <w:p w14:paraId="34DA2FFA">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5C5E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3" w:type="dxa"/>
            <w:vMerge w:val="continue"/>
          </w:tcPr>
          <w:p w14:paraId="043C8AD2">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7F87F0B4">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4.2.</w:t>
            </w:r>
            <w:r>
              <w:rPr>
                <w:rFonts w:hint="eastAsia" w:ascii="宋体" w:hAnsi="宋体" w:cs="楷体_GB2312"/>
                <w:b/>
                <w:bCs/>
                <w:color w:val="auto"/>
                <w:szCs w:val="21"/>
                <w:highlight w:val="none"/>
              </w:rPr>
              <w:t>4</w:t>
            </w:r>
          </w:p>
        </w:tc>
        <w:tc>
          <w:tcPr>
            <w:tcW w:w="1961" w:type="dxa"/>
            <w:vAlign w:val="center"/>
          </w:tcPr>
          <w:p w14:paraId="2FB6AD80">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是否退还投标文件</w:t>
            </w:r>
          </w:p>
        </w:tc>
        <w:tc>
          <w:tcPr>
            <w:tcW w:w="6590" w:type="dxa"/>
            <w:vAlign w:val="center"/>
          </w:tcPr>
          <w:p w14:paraId="38456BD7">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否</w:t>
            </w:r>
          </w:p>
        </w:tc>
      </w:tr>
      <w:tr w14:paraId="3BDF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3" w:type="dxa"/>
            <w:vMerge w:val="continue"/>
          </w:tcPr>
          <w:p w14:paraId="0262A07D">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4CF139EE">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7.1</w:t>
            </w:r>
          </w:p>
        </w:tc>
        <w:tc>
          <w:tcPr>
            <w:tcW w:w="1961" w:type="dxa"/>
            <w:vAlign w:val="center"/>
          </w:tcPr>
          <w:p w14:paraId="45164B5F">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评标委员会的组建</w:t>
            </w:r>
          </w:p>
        </w:tc>
        <w:tc>
          <w:tcPr>
            <w:tcW w:w="6590" w:type="dxa"/>
            <w:vAlign w:val="center"/>
          </w:tcPr>
          <w:p w14:paraId="3439E2F6">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6D7D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3" w:type="dxa"/>
            <w:vMerge w:val="restart"/>
          </w:tcPr>
          <w:p w14:paraId="35C8F6D7">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第三章</w:t>
            </w:r>
          </w:p>
        </w:tc>
        <w:tc>
          <w:tcPr>
            <w:tcW w:w="699" w:type="dxa"/>
            <w:vAlign w:val="center"/>
          </w:tcPr>
          <w:p w14:paraId="64CD6ECD">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rPr>
            </w:pPr>
            <w:r>
              <w:rPr>
                <w:rFonts w:ascii="宋体" w:hAnsi="宋体" w:cs="楷体_GB2312"/>
                <w:b/>
                <w:bCs/>
                <w:color w:val="auto"/>
                <w:szCs w:val="21"/>
                <w:highlight w:val="none"/>
              </w:rPr>
              <w:t>8.1</w:t>
            </w:r>
          </w:p>
        </w:tc>
        <w:tc>
          <w:tcPr>
            <w:tcW w:w="1961" w:type="dxa"/>
            <w:vAlign w:val="center"/>
          </w:tcPr>
          <w:p w14:paraId="3D6B6311">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是否授权评标委员会确定中标人</w:t>
            </w:r>
          </w:p>
        </w:tc>
        <w:tc>
          <w:tcPr>
            <w:tcW w:w="6590" w:type="dxa"/>
            <w:vAlign w:val="center"/>
          </w:tcPr>
          <w:p w14:paraId="58BFA473">
            <w:pPr>
              <w:adjustRightInd w:val="0"/>
              <w:snapToGrid w:val="0"/>
              <w:spacing w:before="156" w:beforeLines="50" w:line="240" w:lineRule="auto"/>
              <w:rPr>
                <w:rFonts w:ascii="宋体"/>
                <w:color w:val="auto"/>
                <w:sz w:val="24"/>
                <w:highlight w:val="none"/>
              </w:rPr>
            </w:pPr>
            <w:r>
              <w:rPr>
                <w:rFonts w:hint="eastAsia" w:ascii="宋体" w:hAnsi="宋体"/>
                <w:color w:val="auto"/>
                <w:sz w:val="24"/>
                <w:highlight w:val="none"/>
              </w:rPr>
              <w:t>是。评标委员会按照综合得分由高到低的顺序提出</w:t>
            </w:r>
            <w:r>
              <w:rPr>
                <w:rFonts w:ascii="宋体" w:hAnsi="宋体"/>
                <w:color w:val="auto"/>
                <w:sz w:val="24"/>
                <w:highlight w:val="none"/>
              </w:rPr>
              <w:t>3</w:t>
            </w:r>
            <w:r>
              <w:rPr>
                <w:rFonts w:hint="eastAsia" w:ascii="宋体" w:hAnsi="宋体"/>
                <w:color w:val="auto"/>
                <w:sz w:val="24"/>
                <w:highlight w:val="none"/>
              </w:rPr>
              <w:t>名中标候选人，并确定排名第一的中标候选人为中标人。</w:t>
            </w:r>
          </w:p>
        </w:tc>
      </w:tr>
      <w:tr w14:paraId="2056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5481CC6F">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248184E2">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8.2</w:t>
            </w:r>
          </w:p>
        </w:tc>
        <w:tc>
          <w:tcPr>
            <w:tcW w:w="1961" w:type="dxa"/>
            <w:vAlign w:val="center"/>
          </w:tcPr>
          <w:p w14:paraId="75F2BA89">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中标结果公告</w:t>
            </w:r>
          </w:p>
        </w:tc>
        <w:tc>
          <w:tcPr>
            <w:tcW w:w="6590" w:type="dxa"/>
            <w:vAlign w:val="center"/>
          </w:tcPr>
          <w:p w14:paraId="58C6B6D6">
            <w:pPr>
              <w:adjustRightInd w:val="0"/>
              <w:snapToGrid w:val="0"/>
              <w:spacing w:before="156" w:beforeLines="50" w:line="240" w:lineRule="auto"/>
              <w:rPr>
                <w:rFonts w:ascii="宋体" w:hAnsi="宋体"/>
                <w:color w:val="auto"/>
                <w:sz w:val="24"/>
                <w:highlight w:val="none"/>
              </w:rPr>
            </w:pPr>
            <w:r>
              <w:rPr>
                <w:rFonts w:hint="eastAsia" w:ascii="宋体" w:hAnsi="宋体"/>
                <w:color w:val="auto"/>
                <w:sz w:val="24"/>
                <w:highlight w:val="none"/>
              </w:rPr>
              <w:t>本次公开招标的中标结果将在中标人确定当天在招标公告所述媒介公告</w:t>
            </w:r>
            <w:r>
              <w:rPr>
                <w:rFonts w:ascii="宋体" w:hAnsi="宋体"/>
                <w:color w:val="auto"/>
                <w:sz w:val="24"/>
                <w:highlight w:val="none"/>
              </w:rPr>
              <w:t>1</w:t>
            </w:r>
            <w:r>
              <w:rPr>
                <w:rFonts w:hint="eastAsia" w:ascii="宋体" w:hAnsi="宋体"/>
                <w:color w:val="auto"/>
                <w:sz w:val="24"/>
                <w:highlight w:val="none"/>
              </w:rPr>
              <w:t>个工作日。</w:t>
            </w:r>
          </w:p>
        </w:tc>
      </w:tr>
      <w:tr w14:paraId="28C6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3ADE5201">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6EC97347">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8.3</w:t>
            </w:r>
          </w:p>
        </w:tc>
        <w:tc>
          <w:tcPr>
            <w:tcW w:w="1961" w:type="dxa"/>
            <w:vAlign w:val="center"/>
          </w:tcPr>
          <w:p w14:paraId="459B3060">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质疑、投诉</w:t>
            </w:r>
          </w:p>
        </w:tc>
        <w:tc>
          <w:tcPr>
            <w:tcW w:w="6590" w:type="dxa"/>
            <w:vAlign w:val="center"/>
          </w:tcPr>
          <w:p w14:paraId="0942BD69">
            <w:pPr>
              <w:rPr>
                <w:rFonts w:ascii="宋体" w:hAnsi="宋体"/>
                <w:color w:val="auto"/>
                <w:sz w:val="24"/>
                <w:highlight w:val="none"/>
              </w:rPr>
            </w:pPr>
            <w:r>
              <w:rPr>
                <w:rFonts w:hint="eastAsia" w:ascii="宋体" w:hAnsi="宋体"/>
                <w:color w:val="auto"/>
                <w:sz w:val="24"/>
                <w:highlight w:val="none"/>
              </w:rPr>
              <w:t>参与本次采购活动的供应商如有异议，可在各环节法定质疑期内向采购代理机构一次性提出针对该采购程序环节的书面质疑函，书面原件送达至招标文件列示的采购代理机构及采购单位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w:t>
            </w:r>
            <w:r>
              <w:rPr>
                <w:rFonts w:hint="eastAsia" w:ascii="宋体" w:hAnsi="宋体"/>
                <w:bCs/>
                <w:color w:val="auto"/>
                <w:sz w:val="24"/>
                <w:szCs w:val="24"/>
                <w:highlight w:val="none"/>
              </w:rPr>
              <w:t>疑的日期。供应商为自然人的，应当由本人签字；供应商为法人或者其他组织的，应当由法定代表人、主要负责人，或者其授权代表签字或者盖章，并加盖公章。</w:t>
            </w:r>
            <w:r>
              <w:rPr>
                <w:rFonts w:hint="eastAsia" w:ascii="宋体" w:hAnsi="宋体"/>
                <w:color w:val="auto"/>
                <w:sz w:val="24"/>
                <w:highlight w:val="none"/>
              </w:rPr>
              <w:t>如对采购代理机构的答复仍有异议的，可向同级财政局政府采购监督管理办公室提出书面投诉。（具体程序按照《政府采购质疑和投诉办法》执行）。</w:t>
            </w:r>
          </w:p>
        </w:tc>
      </w:tr>
      <w:tr w14:paraId="3530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18AF82BD">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7B92DDD4">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8.4</w:t>
            </w:r>
          </w:p>
        </w:tc>
        <w:tc>
          <w:tcPr>
            <w:tcW w:w="1961" w:type="dxa"/>
            <w:vAlign w:val="center"/>
          </w:tcPr>
          <w:p w14:paraId="372255CB">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中标通知书</w:t>
            </w:r>
          </w:p>
        </w:tc>
        <w:tc>
          <w:tcPr>
            <w:tcW w:w="6590" w:type="dxa"/>
            <w:vAlign w:val="center"/>
          </w:tcPr>
          <w:p w14:paraId="59719F37">
            <w:pPr>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采购代理机构在中标人确定当天向中标人发出中标通知书。</w:t>
            </w:r>
          </w:p>
        </w:tc>
      </w:tr>
      <w:tr w14:paraId="3DE0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restart"/>
          </w:tcPr>
          <w:p w14:paraId="4E98EB81">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第三章</w:t>
            </w:r>
          </w:p>
        </w:tc>
        <w:tc>
          <w:tcPr>
            <w:tcW w:w="699" w:type="dxa"/>
            <w:vAlign w:val="center"/>
          </w:tcPr>
          <w:p w14:paraId="07E5B14E">
            <w:pPr>
              <w:autoSpaceDE w:val="0"/>
              <w:autoSpaceDN w:val="0"/>
              <w:adjustRightInd w:val="0"/>
              <w:snapToGrid w:val="0"/>
              <w:spacing w:line="240" w:lineRule="auto"/>
              <w:jc w:val="center"/>
              <w:rPr>
                <w:rFonts w:ascii="宋体" w:cs="楷体_GB2312"/>
                <w:b/>
                <w:bCs/>
                <w:color w:val="auto"/>
                <w:sz w:val="24"/>
                <w:highlight w:val="none"/>
                <w:lang w:val="zh-CN"/>
              </w:rPr>
            </w:pPr>
            <w:r>
              <w:rPr>
                <w:rFonts w:ascii="宋体" w:hAnsi="宋体" w:cs="楷体_GB2312"/>
                <w:b/>
                <w:bCs/>
                <w:color w:val="auto"/>
                <w:sz w:val="24"/>
                <w:highlight w:val="none"/>
                <w:lang w:val="zh-CN"/>
              </w:rPr>
              <w:t>8.5</w:t>
            </w:r>
          </w:p>
        </w:tc>
        <w:tc>
          <w:tcPr>
            <w:tcW w:w="1961" w:type="dxa"/>
            <w:vAlign w:val="center"/>
          </w:tcPr>
          <w:p w14:paraId="13846A28">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履约保证金</w:t>
            </w:r>
          </w:p>
        </w:tc>
        <w:tc>
          <w:tcPr>
            <w:tcW w:w="6590" w:type="dxa"/>
            <w:vAlign w:val="center"/>
          </w:tcPr>
          <w:p w14:paraId="13A5599C">
            <w:pPr>
              <w:widowControl w:val="0"/>
              <w:snapToGrid w:val="0"/>
              <w:spacing w:before="156" w:beforeLines="50" w:line="240" w:lineRule="auto"/>
              <w:rPr>
                <w:color w:val="auto"/>
                <w:sz w:val="24"/>
                <w:szCs w:val="24"/>
                <w:highlight w:val="none"/>
              </w:rPr>
            </w:pPr>
            <w:r>
              <w:rPr>
                <w:rFonts w:hint="eastAsia"/>
                <w:color w:val="auto"/>
                <w:sz w:val="24"/>
                <w:szCs w:val="24"/>
                <w:highlight w:val="none"/>
              </w:rPr>
              <w:t>不需缴纳</w:t>
            </w:r>
          </w:p>
        </w:tc>
      </w:tr>
      <w:tr w14:paraId="0864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0CD29730">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336A2343">
            <w:pPr>
              <w:autoSpaceDE w:val="0"/>
              <w:autoSpaceDN w:val="0"/>
              <w:adjustRightInd w:val="0"/>
              <w:snapToGrid w:val="0"/>
              <w:spacing w:line="240" w:lineRule="auto"/>
              <w:jc w:val="center"/>
              <w:rPr>
                <w:rFonts w:ascii="宋体" w:cs="楷体_GB2312"/>
                <w:b/>
                <w:bCs/>
                <w:color w:val="auto"/>
                <w:sz w:val="24"/>
                <w:highlight w:val="none"/>
                <w:lang w:val="zh-CN"/>
              </w:rPr>
            </w:pPr>
            <w:r>
              <w:rPr>
                <w:rFonts w:ascii="宋体" w:hAnsi="宋体" w:cs="楷体_GB2312"/>
                <w:b/>
                <w:bCs/>
                <w:color w:val="auto"/>
                <w:sz w:val="24"/>
                <w:highlight w:val="none"/>
                <w:lang w:val="zh-CN"/>
              </w:rPr>
              <w:t>9</w:t>
            </w:r>
          </w:p>
        </w:tc>
        <w:tc>
          <w:tcPr>
            <w:tcW w:w="1961" w:type="dxa"/>
            <w:vAlign w:val="center"/>
          </w:tcPr>
          <w:p w14:paraId="2AE17EE5">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验收</w:t>
            </w:r>
          </w:p>
        </w:tc>
        <w:tc>
          <w:tcPr>
            <w:tcW w:w="6590" w:type="dxa"/>
            <w:vAlign w:val="center"/>
          </w:tcPr>
          <w:p w14:paraId="4F244FE3">
            <w:pPr>
              <w:widowControl w:val="0"/>
              <w:snapToGrid w:val="0"/>
              <w:spacing w:before="156" w:beforeLines="50" w:line="240" w:lineRule="auto"/>
              <w:rPr>
                <w:color w:val="auto"/>
                <w:sz w:val="24"/>
                <w:szCs w:val="24"/>
                <w:highlight w:val="none"/>
              </w:rPr>
            </w:pPr>
            <w:r>
              <w:rPr>
                <w:rFonts w:hint="eastAsia"/>
                <w:color w:val="auto"/>
                <w:sz w:val="24"/>
                <w:szCs w:val="24"/>
                <w:highlight w:val="none"/>
              </w:rPr>
              <w:t>见“第三章投标人须知”相应条款</w:t>
            </w:r>
          </w:p>
        </w:tc>
      </w:tr>
      <w:tr w14:paraId="1E13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0FC1CB04">
            <w:pPr>
              <w:autoSpaceDE w:val="0"/>
              <w:autoSpaceDN w:val="0"/>
              <w:adjustRightInd w:val="0"/>
              <w:spacing w:line="360" w:lineRule="auto"/>
              <w:rPr>
                <w:rFonts w:ascii="宋体" w:cs="楷体_GB2312"/>
                <w:b/>
                <w:bCs/>
                <w:color w:val="auto"/>
                <w:sz w:val="24"/>
                <w:highlight w:val="none"/>
              </w:rPr>
            </w:pPr>
          </w:p>
        </w:tc>
        <w:tc>
          <w:tcPr>
            <w:tcW w:w="699" w:type="dxa"/>
            <w:vAlign w:val="center"/>
          </w:tcPr>
          <w:p w14:paraId="67F08734">
            <w:pPr>
              <w:autoSpaceDE w:val="0"/>
              <w:autoSpaceDN w:val="0"/>
              <w:adjustRightInd w:val="0"/>
              <w:spacing w:line="360" w:lineRule="auto"/>
              <w:jc w:val="center"/>
              <w:rPr>
                <w:rFonts w:ascii="宋体" w:cs="楷体_GB2312"/>
                <w:b/>
                <w:bCs/>
                <w:color w:val="auto"/>
                <w:sz w:val="24"/>
                <w:highlight w:val="none"/>
              </w:rPr>
            </w:pPr>
            <w:r>
              <w:rPr>
                <w:rFonts w:ascii="宋体" w:hAnsi="宋体" w:cs="楷体_GB2312"/>
                <w:b/>
                <w:bCs/>
                <w:color w:val="auto"/>
                <w:sz w:val="24"/>
                <w:highlight w:val="none"/>
              </w:rPr>
              <w:t>10</w:t>
            </w:r>
          </w:p>
        </w:tc>
        <w:tc>
          <w:tcPr>
            <w:tcW w:w="1961" w:type="dxa"/>
            <w:vAlign w:val="center"/>
          </w:tcPr>
          <w:p w14:paraId="47BCAB2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付款</w:t>
            </w:r>
          </w:p>
        </w:tc>
        <w:tc>
          <w:tcPr>
            <w:tcW w:w="6590" w:type="dxa"/>
            <w:vAlign w:val="center"/>
          </w:tcPr>
          <w:p w14:paraId="5F45A9E3">
            <w:pPr>
              <w:snapToGrid w:val="0"/>
              <w:spacing w:before="156" w:beforeLines="50" w:line="240" w:lineRule="auto"/>
              <w:ind w:firstLine="480" w:firstLineChars="200"/>
              <w:rPr>
                <w:color w:val="auto"/>
                <w:sz w:val="24"/>
                <w:szCs w:val="24"/>
                <w:highlight w:val="none"/>
              </w:rPr>
            </w:pPr>
            <w:bookmarkStart w:id="23" w:name="OLE_LINK11"/>
            <w:r>
              <w:rPr>
                <w:rFonts w:hint="eastAsia"/>
                <w:color w:val="auto"/>
                <w:sz w:val="24"/>
                <w:szCs w:val="24"/>
                <w:highlight w:val="none"/>
              </w:rPr>
              <w:t>为优化政府采购营商环境，根据安财购﹝2019﹞8号文件落实政府采购预付款的规定，采购人可在政府采购合同履约前向中标人预付</w:t>
            </w:r>
            <w:r>
              <w:rPr>
                <w:color w:val="auto"/>
                <w:sz w:val="24"/>
                <w:szCs w:val="24"/>
                <w:highlight w:val="none"/>
                <w:u w:val="single"/>
              </w:rPr>
              <w:t>30%</w:t>
            </w:r>
            <w:r>
              <w:rPr>
                <w:rFonts w:hint="eastAsia"/>
                <w:color w:val="auto"/>
                <w:sz w:val="24"/>
                <w:szCs w:val="24"/>
                <w:highlight w:val="none"/>
              </w:rPr>
              <w:t>的合同资金，中标人应向采购人提交预付款保函，未提供保函的，视同其放弃项目预付款的支付。</w:t>
            </w:r>
          </w:p>
          <w:p w14:paraId="1F363394">
            <w:pPr>
              <w:snapToGrid w:val="0"/>
              <w:spacing w:before="156" w:beforeLines="50" w:line="240" w:lineRule="auto"/>
              <w:ind w:firstLine="480" w:firstLineChars="200"/>
              <w:rPr>
                <w:color w:val="auto"/>
                <w:sz w:val="24"/>
                <w:szCs w:val="24"/>
                <w:highlight w:val="none"/>
              </w:rPr>
            </w:pPr>
            <w:r>
              <w:rPr>
                <w:rFonts w:hint="eastAsia"/>
                <w:color w:val="auto"/>
                <w:sz w:val="24"/>
                <w:szCs w:val="24"/>
                <w:highlight w:val="none"/>
              </w:rPr>
              <w:t>为进一步优化营商环境，根据安财购﹝</w:t>
            </w:r>
            <w:r>
              <w:rPr>
                <w:color w:val="auto"/>
                <w:sz w:val="24"/>
                <w:szCs w:val="24"/>
                <w:highlight w:val="none"/>
              </w:rPr>
              <w:t>2022</w:t>
            </w:r>
            <w:r>
              <w:rPr>
                <w:rFonts w:hint="eastAsia"/>
                <w:color w:val="auto"/>
                <w:sz w:val="24"/>
                <w:szCs w:val="24"/>
                <w:highlight w:val="none"/>
              </w:rPr>
              <w:t>﹞</w:t>
            </w:r>
            <w:r>
              <w:rPr>
                <w:color w:val="auto"/>
                <w:sz w:val="24"/>
                <w:szCs w:val="24"/>
                <w:highlight w:val="none"/>
              </w:rPr>
              <w:t>8</w:t>
            </w:r>
            <w:r>
              <w:rPr>
                <w:rFonts w:hint="eastAsia"/>
                <w:color w:val="auto"/>
                <w:sz w:val="24"/>
                <w:szCs w:val="24"/>
                <w:highlight w:val="none"/>
              </w:rPr>
              <w:t>号文件落实政府采购中小企业预付款的规定，采购人可在政府采购合同签订后，向中标人原则上预付不低于合同金额</w:t>
            </w:r>
            <w:r>
              <w:rPr>
                <w:color w:val="auto"/>
                <w:sz w:val="24"/>
                <w:szCs w:val="24"/>
                <w:highlight w:val="none"/>
              </w:rPr>
              <w:t>50%</w:t>
            </w:r>
            <w:r>
              <w:rPr>
                <w:rFonts w:hint="eastAsia"/>
                <w:color w:val="auto"/>
                <w:sz w:val="24"/>
                <w:szCs w:val="24"/>
                <w:highlight w:val="none"/>
              </w:rPr>
              <w:t>的预付款，中标人应向采购人提交预付款保函，未提供保函的，视同其放弃项目预付款的支付。</w:t>
            </w:r>
          </w:p>
          <w:p w14:paraId="5A4FAEE1">
            <w:pPr>
              <w:snapToGrid w:val="0"/>
              <w:spacing w:before="156" w:beforeLines="50" w:line="240" w:lineRule="auto"/>
              <w:ind w:firstLine="480" w:firstLineChars="200"/>
              <w:rPr>
                <w:rFonts w:hint="eastAsia"/>
                <w:color w:val="auto"/>
                <w:sz w:val="24"/>
                <w:szCs w:val="24"/>
                <w:highlight w:val="none"/>
                <w:lang w:eastAsia="zh-CN"/>
              </w:rPr>
            </w:pPr>
            <w:r>
              <w:rPr>
                <w:rFonts w:hint="eastAsia"/>
                <w:color w:val="auto"/>
                <w:sz w:val="24"/>
                <w:szCs w:val="24"/>
                <w:highlight w:val="none"/>
              </w:rPr>
              <w:t>采购人需持从“安阳市政府采购网”登录系统下载本项目带水印的《安阳市市直政府采购资金申请表》和《安阳市市直政府采购申报表》，以及《政府采购验收报告》和发票等，作为付款依据，报安阳市财政国库支付中心审核确认后</w:t>
            </w:r>
            <w:r>
              <w:rPr>
                <w:rFonts w:hint="eastAsia"/>
                <w:color w:val="auto"/>
                <w:sz w:val="24"/>
                <w:szCs w:val="24"/>
                <w:highlight w:val="none"/>
                <w:lang w:eastAsia="zh-CN"/>
              </w:rPr>
              <w:t>支付</w:t>
            </w:r>
            <w:r>
              <w:rPr>
                <w:rFonts w:hint="eastAsia"/>
                <w:color w:val="auto"/>
                <w:sz w:val="24"/>
                <w:szCs w:val="24"/>
                <w:highlight w:val="none"/>
              </w:rPr>
              <w:t>项目款。</w:t>
            </w:r>
            <w:bookmarkEnd w:id="23"/>
            <w:r>
              <w:rPr>
                <w:rFonts w:hint="eastAsia"/>
                <w:color w:val="auto"/>
                <w:sz w:val="24"/>
                <w:szCs w:val="24"/>
                <w:highlight w:val="none"/>
                <w:lang w:eastAsia="zh-CN"/>
              </w:rPr>
              <w:t>具体付款阶段如下：</w:t>
            </w:r>
          </w:p>
          <w:p w14:paraId="6EFEF7A9">
            <w:pPr>
              <w:snapToGrid w:val="0"/>
              <w:spacing w:before="156" w:beforeLines="50" w:line="240" w:lineRule="auto"/>
              <w:ind w:firstLine="480" w:firstLineChars="200"/>
              <w:rPr>
                <w:rFonts w:hint="eastAsia"/>
                <w:color w:val="auto"/>
                <w:sz w:val="24"/>
                <w:szCs w:val="24"/>
                <w:highlight w:val="none"/>
              </w:rPr>
            </w:pPr>
            <w:r>
              <w:rPr>
                <w:rFonts w:hint="eastAsia"/>
                <w:color w:val="auto"/>
                <w:sz w:val="24"/>
                <w:szCs w:val="24"/>
                <w:highlight w:val="none"/>
              </w:rPr>
              <w:t>项目完成</w:t>
            </w:r>
            <w:r>
              <w:rPr>
                <w:rFonts w:hint="eastAsia"/>
                <w:color w:val="auto"/>
                <w:sz w:val="24"/>
                <w:szCs w:val="24"/>
                <w:highlight w:val="none"/>
                <w:lang w:eastAsia="zh-CN"/>
              </w:rPr>
              <w:t>（经政府审批通过）</w:t>
            </w:r>
            <w:r>
              <w:rPr>
                <w:rFonts w:hint="eastAsia"/>
                <w:color w:val="auto"/>
                <w:sz w:val="24"/>
                <w:szCs w:val="24"/>
                <w:highlight w:val="none"/>
              </w:rPr>
              <w:t>后</w:t>
            </w:r>
            <w:r>
              <w:rPr>
                <w:rFonts w:hint="eastAsia"/>
                <w:color w:val="auto"/>
                <w:sz w:val="24"/>
                <w:szCs w:val="24"/>
                <w:highlight w:val="none"/>
                <w:lang w:eastAsia="zh-CN"/>
              </w:rPr>
              <w:t>，根据财政资金到位情况</w:t>
            </w:r>
            <w:r>
              <w:rPr>
                <w:rFonts w:hint="eastAsia"/>
                <w:color w:val="auto"/>
                <w:sz w:val="24"/>
                <w:szCs w:val="24"/>
                <w:highlight w:val="none"/>
                <w:lang w:val="en-US" w:eastAsia="zh-CN"/>
              </w:rPr>
              <w:t>2025年12月31日前支付50%项目款；2026年12月31日前支付35%项目款；剩余部分三年维保期结束后一次付清。</w:t>
            </w:r>
          </w:p>
        </w:tc>
      </w:tr>
      <w:tr w14:paraId="2115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tcPr>
          <w:p w14:paraId="20D02249">
            <w:pPr>
              <w:autoSpaceDE w:val="0"/>
              <w:autoSpaceDN w:val="0"/>
              <w:adjustRightInd w:val="0"/>
              <w:spacing w:line="360" w:lineRule="auto"/>
              <w:rPr>
                <w:rFonts w:ascii="宋体" w:cs="楷体_GB2312"/>
                <w:b/>
                <w:bCs/>
                <w:color w:val="auto"/>
                <w:sz w:val="24"/>
                <w:highlight w:val="none"/>
              </w:rPr>
            </w:pPr>
          </w:p>
        </w:tc>
        <w:tc>
          <w:tcPr>
            <w:tcW w:w="699" w:type="dxa"/>
            <w:vAlign w:val="center"/>
          </w:tcPr>
          <w:p w14:paraId="47F06C62">
            <w:pPr>
              <w:autoSpaceDE w:val="0"/>
              <w:autoSpaceDN w:val="0"/>
              <w:adjustRightInd w:val="0"/>
              <w:spacing w:line="360" w:lineRule="auto"/>
              <w:jc w:val="center"/>
              <w:rPr>
                <w:rFonts w:ascii="宋体" w:hAnsi="宋体" w:cs="楷体_GB2312"/>
                <w:b/>
                <w:bCs/>
                <w:color w:val="auto"/>
                <w:sz w:val="24"/>
                <w:highlight w:val="none"/>
              </w:rPr>
            </w:pPr>
            <w:r>
              <w:rPr>
                <w:rFonts w:ascii="宋体" w:hAnsi="宋体" w:cs="楷体_GB2312"/>
                <w:b/>
                <w:bCs/>
                <w:color w:val="auto"/>
                <w:sz w:val="24"/>
                <w:highlight w:val="none"/>
              </w:rPr>
              <w:t>11</w:t>
            </w:r>
          </w:p>
        </w:tc>
        <w:tc>
          <w:tcPr>
            <w:tcW w:w="1961" w:type="dxa"/>
            <w:vAlign w:val="center"/>
          </w:tcPr>
          <w:p w14:paraId="297C2521">
            <w:pPr>
              <w:autoSpaceDE w:val="0"/>
              <w:autoSpaceDN w:val="0"/>
              <w:adjustRightInd w:val="0"/>
              <w:snapToGrid w:val="0"/>
              <w:spacing w:line="240" w:lineRule="auto"/>
              <w:jc w:val="center"/>
              <w:rPr>
                <w:rFonts w:ascii="宋体" w:hAnsi="宋体"/>
                <w:b/>
                <w:color w:val="auto"/>
                <w:sz w:val="24"/>
                <w:highlight w:val="none"/>
              </w:rPr>
            </w:pPr>
            <w:r>
              <w:rPr>
                <w:rFonts w:hint="eastAsia" w:ascii="宋体" w:hAnsi="宋体"/>
                <w:b/>
                <w:color w:val="auto"/>
                <w:sz w:val="24"/>
                <w:highlight w:val="none"/>
              </w:rPr>
              <w:t>代理服务费</w:t>
            </w:r>
          </w:p>
        </w:tc>
        <w:tc>
          <w:tcPr>
            <w:tcW w:w="6590" w:type="dxa"/>
            <w:vAlign w:val="center"/>
          </w:tcPr>
          <w:p w14:paraId="57B4BBCB">
            <w:pPr>
              <w:adjustRightInd w:val="0"/>
              <w:snapToGrid w:val="0"/>
              <w:spacing w:before="156" w:beforeLines="50" w:line="240" w:lineRule="auto"/>
              <w:rPr>
                <w:rFonts w:ascii="宋体"/>
                <w:b/>
                <w:color w:val="auto"/>
                <w:sz w:val="24"/>
                <w:highlight w:val="none"/>
              </w:rPr>
            </w:pPr>
            <w:r>
              <w:rPr>
                <w:rFonts w:hint="eastAsia" w:ascii="宋体" w:hAnsi="宋体"/>
                <w:color w:val="auto"/>
                <w:sz w:val="24"/>
                <w:highlight w:val="none"/>
              </w:rPr>
              <w:t>参照国家计委《招标代理服务收费管理暂行办法》（计价格【</w:t>
            </w:r>
            <w:r>
              <w:rPr>
                <w:rFonts w:ascii="宋体" w:hAnsi="宋体"/>
                <w:color w:val="auto"/>
                <w:sz w:val="24"/>
                <w:highlight w:val="none"/>
              </w:rPr>
              <w:t>2002</w:t>
            </w:r>
            <w:r>
              <w:rPr>
                <w:rFonts w:hint="eastAsia" w:ascii="宋体" w:hAnsi="宋体"/>
                <w:color w:val="auto"/>
                <w:sz w:val="24"/>
                <w:highlight w:val="none"/>
              </w:rPr>
              <w:t>】</w:t>
            </w:r>
            <w:r>
              <w:rPr>
                <w:rFonts w:ascii="宋体" w:hAnsi="宋体"/>
                <w:color w:val="auto"/>
                <w:sz w:val="24"/>
                <w:highlight w:val="none"/>
              </w:rPr>
              <w:t>1980</w:t>
            </w:r>
            <w:r>
              <w:rPr>
                <w:rFonts w:hint="eastAsia" w:ascii="宋体" w:hAnsi="宋体"/>
                <w:color w:val="auto"/>
                <w:sz w:val="24"/>
                <w:highlight w:val="none"/>
              </w:rPr>
              <w:t>号）、《国家发展和改革委员会办公厅关于招标代理服务费有关问题的通知》（发改办价格【</w:t>
            </w:r>
            <w:r>
              <w:rPr>
                <w:rFonts w:ascii="宋体" w:hAnsi="宋体"/>
                <w:color w:val="auto"/>
                <w:sz w:val="24"/>
                <w:highlight w:val="none"/>
              </w:rPr>
              <w:t>2003</w:t>
            </w:r>
            <w:r>
              <w:rPr>
                <w:rFonts w:hint="eastAsia" w:ascii="宋体" w:hAnsi="宋体"/>
                <w:color w:val="auto"/>
                <w:sz w:val="24"/>
                <w:highlight w:val="none"/>
              </w:rPr>
              <w:t>】</w:t>
            </w:r>
            <w:r>
              <w:rPr>
                <w:rFonts w:ascii="宋体" w:hAnsi="宋体"/>
                <w:color w:val="auto"/>
                <w:sz w:val="24"/>
                <w:highlight w:val="none"/>
              </w:rPr>
              <w:t>857</w:t>
            </w:r>
            <w:r>
              <w:rPr>
                <w:rFonts w:hint="eastAsia" w:ascii="宋体" w:hAnsi="宋体"/>
                <w:color w:val="auto"/>
                <w:sz w:val="24"/>
                <w:highlight w:val="none"/>
              </w:rPr>
              <w:t>号）及发改价格【</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534</w:t>
            </w:r>
            <w:r>
              <w:rPr>
                <w:rFonts w:hint="eastAsia" w:ascii="宋体" w:hAnsi="宋体"/>
                <w:color w:val="auto"/>
                <w:sz w:val="24"/>
                <w:highlight w:val="none"/>
              </w:rPr>
              <w:t>号文件的规定，招标代理服务费由中标供应商支付。</w:t>
            </w:r>
          </w:p>
        </w:tc>
      </w:tr>
    </w:tbl>
    <w:p w14:paraId="6FCAF174">
      <w:pPr>
        <w:autoSpaceDE w:val="0"/>
        <w:autoSpaceDN w:val="0"/>
        <w:adjustRightInd w:val="0"/>
        <w:spacing w:line="360" w:lineRule="auto"/>
        <w:ind w:firstLine="539"/>
        <w:rPr>
          <w:color w:val="auto"/>
          <w:highlight w:val="none"/>
        </w:rPr>
      </w:pPr>
      <w:r>
        <w:rPr>
          <w:color w:val="auto"/>
          <w:highlight w:val="none"/>
        </w:rPr>
        <w:br w:type="page"/>
      </w:r>
    </w:p>
    <w:p w14:paraId="0A9D4410">
      <w:pPr>
        <w:autoSpaceDE w:val="0"/>
        <w:autoSpaceDN w:val="0"/>
        <w:adjustRightInd w:val="0"/>
        <w:snapToGrid w:val="0"/>
        <w:spacing w:before="156" w:beforeLines="50" w:line="300" w:lineRule="auto"/>
        <w:ind w:firstLine="539"/>
        <w:outlineLvl w:val="1"/>
        <w:rPr>
          <w:rFonts w:ascii="黑体" w:hAnsi="黑体" w:eastAsia="黑体"/>
          <w:color w:val="auto"/>
          <w:sz w:val="28"/>
          <w:szCs w:val="28"/>
          <w:highlight w:val="none"/>
          <w:lang w:val="zh-CN"/>
        </w:rPr>
      </w:pPr>
      <w:bookmarkStart w:id="24" w:name="_Toc169770935"/>
      <w:r>
        <w:rPr>
          <w:rFonts w:ascii="黑体" w:hAnsi="黑体" w:eastAsia="黑体" w:cs="楷体_GB2312"/>
          <w:b/>
          <w:bCs/>
          <w:color w:val="auto"/>
          <w:sz w:val="28"/>
          <w:szCs w:val="28"/>
          <w:highlight w:val="none"/>
          <w:lang w:val="zh-CN"/>
        </w:rPr>
        <w:t xml:space="preserve">1 </w:t>
      </w:r>
      <w:r>
        <w:rPr>
          <w:rFonts w:hint="eastAsia" w:ascii="黑体" w:hAnsi="黑体" w:eastAsia="黑体" w:cs="楷体_GB2312"/>
          <w:b/>
          <w:bCs/>
          <w:color w:val="auto"/>
          <w:sz w:val="28"/>
          <w:szCs w:val="28"/>
          <w:highlight w:val="none"/>
          <w:lang w:val="zh-CN"/>
        </w:rPr>
        <w:t>总则</w:t>
      </w:r>
      <w:bookmarkEnd w:id="24"/>
    </w:p>
    <w:p w14:paraId="68A7579E">
      <w:pPr>
        <w:autoSpaceDE w:val="0"/>
        <w:autoSpaceDN w:val="0"/>
        <w:adjustRightInd w:val="0"/>
        <w:snapToGrid w:val="0"/>
        <w:spacing w:before="156" w:beforeLines="50" w:line="300" w:lineRule="auto"/>
        <w:ind w:firstLine="539"/>
        <w:rPr>
          <w:rFonts w:ascii="宋体"/>
          <w:color w:val="auto"/>
          <w:sz w:val="24"/>
          <w:szCs w:val="24"/>
          <w:highlight w:val="none"/>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 xml:space="preserve"> </w:t>
      </w:r>
      <w:r>
        <w:rPr>
          <w:rFonts w:hint="eastAsia" w:ascii="宋体" w:hAnsi="宋体"/>
          <w:color w:val="auto"/>
          <w:sz w:val="24"/>
          <w:szCs w:val="24"/>
          <w:highlight w:val="none"/>
        </w:rPr>
        <w:t>根据《中华人民共和国政府采购法》、《中华人民共和国政府采购法实施条例》、《政府采购货物和服务招标投标管理办法》及相关政府采购法律法规等制定本文件。</w:t>
      </w:r>
    </w:p>
    <w:p w14:paraId="14B374E6">
      <w:pPr>
        <w:adjustRightInd w:val="0"/>
        <w:snapToGrid w:val="0"/>
        <w:spacing w:before="156" w:beforeLines="50" w:line="300" w:lineRule="auto"/>
        <w:ind w:right="240" w:firstLine="482" w:firstLineChars="200"/>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1.2</w:t>
      </w:r>
      <w:r>
        <w:rPr>
          <w:rFonts w:hint="eastAsia" w:ascii="黑体" w:hAnsi="黑体" w:eastAsia="黑体" w:cs="楷体_GB2312"/>
          <w:b/>
          <w:color w:val="auto"/>
          <w:sz w:val="24"/>
          <w:highlight w:val="none"/>
          <w:lang w:val="zh-CN"/>
        </w:rPr>
        <w:t>招标文件的法律适用及法律效力</w:t>
      </w:r>
    </w:p>
    <w:p w14:paraId="1490B768">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所述内容，仅适用于本次项目采购。</w:t>
      </w:r>
    </w:p>
    <w:p w14:paraId="2066B98B">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 xml:space="preserve">1.2.2 </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的修改性文件、补充文件、澄清文件或说明具有同等法律效力。</w:t>
      </w:r>
    </w:p>
    <w:p w14:paraId="56228DD8">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 xml:space="preserve">1.2.3 </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适用于并执行《政府采购法》和其它相关的法律、法规。</w:t>
      </w:r>
    </w:p>
    <w:p w14:paraId="567C5E8E">
      <w:pPr>
        <w:adjustRightInd w:val="0"/>
        <w:snapToGrid w:val="0"/>
        <w:spacing w:before="156" w:beforeLines="50" w:line="300" w:lineRule="auto"/>
        <w:ind w:right="240" w:firstLine="600" w:firstLineChars="250"/>
        <w:rPr>
          <w:rFonts w:ascii="宋体"/>
          <w:color w:val="auto"/>
          <w:sz w:val="24"/>
          <w:szCs w:val="24"/>
          <w:highlight w:val="none"/>
        </w:rPr>
      </w:pPr>
      <w:r>
        <w:rPr>
          <w:rFonts w:ascii="宋体" w:hAnsi="宋体"/>
          <w:color w:val="auto"/>
          <w:sz w:val="24"/>
          <w:szCs w:val="24"/>
          <w:highlight w:val="none"/>
        </w:rPr>
        <w:t xml:space="preserve">1.2.4 </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的解释权属采购人及代理机构。</w:t>
      </w:r>
    </w:p>
    <w:p w14:paraId="728314B0">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1.3</w:t>
      </w:r>
      <w:r>
        <w:rPr>
          <w:rFonts w:hint="eastAsia" w:ascii="黑体" w:hAnsi="黑体" w:eastAsia="黑体" w:cs="楷体_GB2312"/>
          <w:b/>
          <w:color w:val="auto"/>
          <w:sz w:val="24"/>
          <w:highlight w:val="none"/>
          <w:lang w:val="zh-CN"/>
        </w:rPr>
        <w:t xml:space="preserve"> 合格的投标人</w:t>
      </w:r>
    </w:p>
    <w:p w14:paraId="78D07B5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1.3.1 </w:t>
      </w:r>
      <w:r>
        <w:rPr>
          <w:rFonts w:hint="eastAsia" w:ascii="宋体" w:hAnsi="宋体" w:cs="楷体_GB2312"/>
          <w:color w:val="auto"/>
          <w:sz w:val="24"/>
          <w:highlight w:val="none"/>
          <w:lang w:val="zh-CN"/>
        </w:rPr>
        <w:t>凡符合招标文件规定，承认本招标文件所有内容的投标人为合格的投标人。</w:t>
      </w:r>
    </w:p>
    <w:p w14:paraId="52EB9A6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1.3.2 </w:t>
      </w:r>
      <w:r>
        <w:rPr>
          <w:rFonts w:hint="eastAsia" w:ascii="宋体" w:hAnsi="宋体" w:cs="楷体_GB2312"/>
          <w:color w:val="auto"/>
          <w:sz w:val="24"/>
          <w:highlight w:val="none"/>
          <w:lang w:val="zh-CN"/>
        </w:rPr>
        <w:t>单位负责人为同一人或者存在直接控股、管理关系的不同供应商，不得参加同一合同项下的政府采购活动。</w:t>
      </w:r>
    </w:p>
    <w:p w14:paraId="4CF4D9C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1.3.3 </w:t>
      </w:r>
      <w:r>
        <w:rPr>
          <w:rFonts w:hint="eastAsia" w:ascii="宋体" w:hAnsi="宋体" w:cs="楷体_GB2312"/>
          <w:color w:val="auto"/>
          <w:sz w:val="24"/>
          <w:highlight w:val="none"/>
          <w:lang w:val="zh-CN"/>
        </w:rPr>
        <w:t>为招标项目提供整体设计、规范编制或者项目管理、监理、检测等服务的供应商，不得再参加该招标项目的其他采购活动。</w:t>
      </w:r>
    </w:p>
    <w:p w14:paraId="542D272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1.3.4 </w:t>
      </w:r>
      <w:r>
        <w:rPr>
          <w:rFonts w:hint="eastAsia" w:ascii="宋体" w:hAnsi="宋体" w:cs="楷体_GB2312"/>
          <w:color w:val="auto"/>
          <w:sz w:val="24"/>
          <w:highlight w:val="none"/>
          <w:lang w:val="zh-CN"/>
        </w:rPr>
        <w:t>投标人应遵守国家法律、法规和招标文件的规定。不得违背国家利益、社会公众利益。</w:t>
      </w:r>
    </w:p>
    <w:p w14:paraId="4E5E315C">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1.4</w:t>
      </w:r>
      <w:r>
        <w:rPr>
          <w:rFonts w:hint="eastAsia" w:ascii="黑体" w:hAnsi="黑体" w:eastAsia="黑体" w:cs="楷体_GB2312"/>
          <w:b/>
          <w:color w:val="auto"/>
          <w:sz w:val="24"/>
          <w:highlight w:val="none"/>
          <w:lang w:val="zh-CN"/>
        </w:rPr>
        <w:t>　联合体</w:t>
      </w:r>
    </w:p>
    <w:p w14:paraId="750D119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投标人须知前附表规定接受联合体投标的，应遵守以下规定：</w:t>
      </w:r>
    </w:p>
    <w:p w14:paraId="3B21F26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）两个以上供应商可以组成一个投标联合体，以一个投标人的身份投标，但必须确定其中一个单位为投标的全权代表参加投标活动，并承担投标及履约中应承担的全部责任和义务。</w:t>
      </w:r>
    </w:p>
    <w:p w14:paraId="071ED39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2</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以联合体形式参加投标的</w:t>
      </w:r>
      <w:r>
        <w:rPr>
          <w:rFonts w:hint="eastAsia" w:ascii="宋体" w:cs="楷体_GB2312"/>
          <w:color w:val="auto"/>
          <w:sz w:val="24"/>
          <w:highlight w:val="none"/>
          <w:lang w:val="zh-CN"/>
        </w:rPr>
        <w:t>，将对所有的联合体成员进行信用记录查询，联合体成员存在不良信用记录的，视同联合体存在不良信用记录，为无效投标。</w:t>
      </w:r>
    </w:p>
    <w:p w14:paraId="3698772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以联合体形式参加投标的，应符投标人须知前附表的要求，联合体各方均应当符合政府采购法第二十二条第一款规定的条件，联合体各方均应当具备承担招标项目（标段&lt;包&gt;）的相应能力、具备规定的相应资格条件。</w:t>
      </w:r>
    </w:p>
    <w:p w14:paraId="37F703E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）联合体中有同类资质的供应商按照联合体分工承担相同工作的，应当按照资质等级较低的供应商确定资质等级。</w:t>
      </w:r>
    </w:p>
    <w:p w14:paraId="4984645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）联合体各方之间应当签订联合投标协议，明确约定联合体各方承担的工作和相应的责任，并将联合投标协议连同投标文件一并提交采购代理机构。</w:t>
      </w:r>
    </w:p>
    <w:p w14:paraId="398F72F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）联合体各方签订联合投标协议后，不得再以自己名义单独在同一项目中投标，也不得组成新的联合体参加同一项目投标。</w:t>
      </w:r>
    </w:p>
    <w:p w14:paraId="01CFA22C">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）联合体中标的，联合体各方应当共同与采购人签订合同，就中标项目（标段&lt;包&gt;）向采购人承担连带责任。</w:t>
      </w:r>
    </w:p>
    <w:p w14:paraId="14C9194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（8）预留中小企业份额项目中，</w:t>
      </w:r>
      <w:r>
        <w:rPr>
          <w:rFonts w:hint="eastAsia" w:ascii="宋体" w:hAnsi="宋体"/>
          <w:color w:val="auto"/>
          <w:sz w:val="24"/>
          <w:szCs w:val="24"/>
          <w:highlight w:val="none"/>
        </w:rPr>
        <w:t>组成联合体的中小企业与联合体内其他企业不得存在直接控股、管理关系。</w:t>
      </w:r>
    </w:p>
    <w:p w14:paraId="2A03EA6C">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1.5  知识产权</w:t>
      </w:r>
    </w:p>
    <w:p w14:paraId="6B37C156">
      <w:pPr>
        <w:ind w:firstLine="480" w:firstLineChars="200"/>
        <w:rPr>
          <w:rFonts w:ascii="宋体" w:hAnsi="宋体"/>
          <w:color w:val="auto"/>
          <w:sz w:val="24"/>
          <w:highlight w:val="none"/>
        </w:rPr>
      </w:pPr>
      <w:r>
        <w:rPr>
          <w:rFonts w:hint="eastAsia" w:ascii="宋体" w:hAnsi="宋体" w:cs="楷体_GB2312"/>
          <w:color w:val="auto"/>
          <w:sz w:val="24"/>
          <w:highlight w:val="none"/>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highlight w:val="none"/>
        </w:rPr>
        <w:t>如因专利权、商标权或其它知识产权而引起法律和经济纠纷，由供应商承担所有相关责任。</w:t>
      </w:r>
    </w:p>
    <w:p w14:paraId="686DF326">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如供应商不拥有相应的知识产权，则在投标报价中必须包括合法获取该知识产权的一切相关费用。如因此导致采购人损失的，供应商须承担全部赔偿责任。</w:t>
      </w:r>
    </w:p>
    <w:p w14:paraId="193715F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14:paraId="2839057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除非招标文件特别规定，采购人享有本项目实施过程中产生的知识成果及知识产权。</w:t>
      </w:r>
    </w:p>
    <w:p w14:paraId="2514CFF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6</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投标费用</w:t>
      </w:r>
    </w:p>
    <w:p w14:paraId="60256DC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无论投标过程中的做法和结果如何，无论何种原因的招标失败废标，投标人应自行承担所有与准备和参加投标有关的全部费用（类比商业采购中的客户洽谈费用），采购代理机构在任何情况下均无义务和责任承担投标人的任何费用。</w:t>
      </w:r>
    </w:p>
    <w:p w14:paraId="4378A356">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 xml:space="preserve">7 </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保密</w:t>
      </w:r>
    </w:p>
    <w:p w14:paraId="14173D7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参与公开招标活动的各方应对招标文件和投标文件中的商业和技术等秘密保密，投标人应在投标文件中对需保密事项予以书面声明，否则视为非保密事项。</w:t>
      </w:r>
    </w:p>
    <w:p w14:paraId="40497EA9">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依据政府采购中标结果及合同公告规定，中标（合同）标的名称、规格型号、单价及中标（合同）金额等内容不得作为商业秘密。</w:t>
      </w:r>
    </w:p>
    <w:p w14:paraId="4A378764">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 xml:space="preserve">8 </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语言文字</w:t>
      </w:r>
    </w:p>
    <w:p w14:paraId="7E9B6DC7">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专用术语外，与公开招标有关的语言均使用中文。必要时专用术语应附有中文注释。如果投标文件或与投标有关的其它文件、信件及来往函电以其它语言书写，投标人应将其译成中文，并对中文译稿的真实、准确、完整承担责任。</w:t>
      </w:r>
    </w:p>
    <w:p w14:paraId="72F9725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9</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计量单位</w:t>
      </w:r>
    </w:p>
    <w:p w14:paraId="40C9187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所有计量均采用中华人民共和国法定计量单位。</w:t>
      </w:r>
    </w:p>
    <w:p w14:paraId="6229AA9F">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10</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踏勘现场</w:t>
      </w:r>
    </w:p>
    <w:p w14:paraId="30EA19A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投标人踏勘现场发生的费用自理，投标人自行负责在踏勘现场中所发生的人员伤亡和财产损失。</w:t>
      </w:r>
    </w:p>
    <w:p w14:paraId="25E7014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须知前附表规定组织踏勘现场的，采购人及代理机构按投标人须知前附表规定的时间、地点组织投标人踏勘项目现场。或者在招标文件提供期限截止后以书面形式通知所有获取招标文件的潜在投标人。采购人及代理机构在踏勘现场中介绍的交验安装条件和相关的周边环境情况，供投标人在编制投标文件时参考，采购人及代理机构不对投标人据此作出的判断和决策负责。</w:t>
      </w:r>
    </w:p>
    <w:p w14:paraId="52C4E45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不组织踏勘现场的，招标文件不单独提供交付（实施）地自然环境、气候条件、交验安装条件等情况说明，投标人被视为熟悉前述与履行合同有关的一切情况，投标人可自行踏勘现场并自行了解相关情况。</w:t>
      </w:r>
    </w:p>
    <w:p w14:paraId="633D3512">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1</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开标前答疑会</w:t>
      </w:r>
    </w:p>
    <w:p w14:paraId="6664BEB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采购人或者采购代理机构可以在招标文件提供期限截止后，组织已获取招标文件的潜在投标人召开开标前答疑会。</w:t>
      </w:r>
    </w:p>
    <w:p w14:paraId="2AB177E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召开答疑会的，将在招标文件中载明，或者在招标文件提供期限截止后以书面形式通知所有获取招标文件的潜在投标人。</w:t>
      </w:r>
    </w:p>
    <w:p w14:paraId="404ABC5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应在投标人须知前附表或书面通知规定的时间前，以书面形式将提出的问题送达采购人及代理机构，以便采购人及代理机构在会议期间答疑说明。投标人需要采购人或者采购代理机构书面澄清的问题，应当书面明确标注。</w:t>
      </w:r>
    </w:p>
    <w:p w14:paraId="086D106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答疑会后，采购人及代理机构在投标人须知前附表规定的时间内，将对投标人依法提出的重要问题的澄清，以本章</w:t>
      </w:r>
      <w:r>
        <w:rPr>
          <w:rFonts w:ascii="宋体" w:hAnsi="宋体" w:cs="楷体_GB2312"/>
          <w:color w:val="auto"/>
          <w:sz w:val="24"/>
          <w:highlight w:val="none"/>
          <w:lang w:val="zh-CN"/>
        </w:rPr>
        <w:t>2.3.2</w:t>
      </w:r>
      <w:r>
        <w:rPr>
          <w:rFonts w:hint="eastAsia" w:ascii="宋体" w:hAnsi="宋体" w:cs="楷体_GB2312"/>
          <w:color w:val="auto"/>
          <w:sz w:val="24"/>
          <w:highlight w:val="none"/>
          <w:lang w:val="zh-CN"/>
        </w:rPr>
        <w:t>项方式通告潜在投标人。该澄清内容为招标文件的组成部分。</w:t>
      </w:r>
    </w:p>
    <w:p w14:paraId="3B29378D">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2</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分包</w:t>
      </w:r>
    </w:p>
    <w:p w14:paraId="7E1E993F">
      <w:pPr>
        <w:autoSpaceDE w:val="0"/>
        <w:autoSpaceDN w:val="0"/>
        <w:adjustRightInd w:val="0"/>
        <w:snapToGrid w:val="0"/>
        <w:spacing w:before="156" w:beforeLines="50" w:line="300" w:lineRule="auto"/>
        <w:ind w:firstLine="539"/>
        <w:rPr>
          <w:rFonts w:ascii="宋体" w:hAnsi="宋体" w:cs="宋体"/>
          <w:color w:val="auto"/>
          <w:sz w:val="24"/>
          <w:highlight w:val="none"/>
        </w:rPr>
      </w:pPr>
      <w:r>
        <w:rPr>
          <w:rFonts w:hint="eastAsia" w:ascii="宋体" w:hAnsi="宋体" w:cs="楷体_GB2312"/>
          <w:color w:val="auto"/>
          <w:sz w:val="24"/>
          <w:highlight w:val="none"/>
          <w:lang w:val="zh-CN"/>
        </w:rPr>
        <w:t>投标人拟中标后将中标项目（标段&lt;包&gt;）的部分非主体、非关键性工作进行分包的，应符合投标人须知前附表规定的分包内容、分包金额和接受分包的第三人资质要求等限制性条件。投标人</w:t>
      </w:r>
      <w:r>
        <w:rPr>
          <w:rFonts w:hint="eastAsia" w:ascii="宋体" w:hAnsi="宋体" w:cs="宋体"/>
          <w:color w:val="auto"/>
          <w:sz w:val="24"/>
          <w:highlight w:val="none"/>
        </w:rPr>
        <w:t>应当在投标文件中载明分包承担主体，分包承担主体应当具备相应资质条件且不得再次分包。</w:t>
      </w:r>
    </w:p>
    <w:p w14:paraId="35BF4F21">
      <w:pPr>
        <w:autoSpaceDE w:val="0"/>
        <w:autoSpaceDN w:val="0"/>
        <w:adjustRightInd w:val="0"/>
        <w:snapToGrid w:val="0"/>
        <w:spacing w:before="156" w:beforeLines="50" w:line="300" w:lineRule="auto"/>
        <w:ind w:firstLine="539"/>
        <w:rPr>
          <w:rFonts w:ascii="宋体" w:hAnsi="宋体"/>
          <w:color w:val="auto"/>
          <w:sz w:val="24"/>
          <w:szCs w:val="24"/>
          <w:highlight w:val="none"/>
        </w:rPr>
      </w:pPr>
      <w:r>
        <w:rPr>
          <w:rFonts w:hint="eastAsia" w:ascii="宋体" w:hAnsi="宋体" w:cs="楷体_GB2312"/>
          <w:color w:val="auto"/>
          <w:sz w:val="24"/>
          <w:highlight w:val="none"/>
          <w:lang w:val="zh-CN"/>
        </w:rPr>
        <w:t>预留中小企业份额项目中，</w:t>
      </w:r>
      <w:r>
        <w:rPr>
          <w:rFonts w:hint="eastAsia" w:ascii="宋体" w:hAnsi="宋体"/>
          <w:color w:val="auto"/>
          <w:sz w:val="24"/>
          <w:szCs w:val="24"/>
          <w:highlight w:val="none"/>
        </w:rPr>
        <w:t>接受分包合同的中小企业与分包企业之间不得存在直接控股、管理关系</w:t>
      </w:r>
    </w:p>
    <w:p w14:paraId="4FE0F16E">
      <w:pPr>
        <w:autoSpaceDE w:val="0"/>
        <w:autoSpaceDN w:val="0"/>
        <w:adjustRightInd w:val="0"/>
        <w:snapToGrid w:val="0"/>
        <w:spacing w:before="156" w:beforeLines="50" w:line="300" w:lineRule="auto"/>
        <w:ind w:firstLine="539"/>
        <w:rPr>
          <w:rFonts w:ascii="宋体" w:cs="楷体_GB2312"/>
          <w:color w:val="auto"/>
          <w:sz w:val="24"/>
          <w:highlight w:val="none"/>
        </w:rPr>
      </w:pPr>
      <w:r>
        <w:rPr>
          <w:rFonts w:hint="eastAsia" w:ascii="宋体" w:cs="楷体_GB2312"/>
          <w:color w:val="auto"/>
          <w:sz w:val="24"/>
          <w:highlight w:val="none"/>
        </w:rPr>
        <w:t>依法享受扶持政策获得政府采购合同的，小微企业不得将合同分包给大中型企业，中型企业不得将合同分包给大型企业。</w:t>
      </w:r>
    </w:p>
    <w:p w14:paraId="50AC3D09">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3 偏离</w:t>
      </w:r>
    </w:p>
    <w:p w14:paraId="4BBACB48">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招标文件允许投标文件偏离招标文件某些要求的，偏离应当符合招标文件规定的偏离范围和幅度。</w:t>
      </w:r>
    </w:p>
    <w:p w14:paraId="0BA6FF91">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highlight w:val="none"/>
          <w:lang w:val="zh-CN"/>
        </w:rPr>
      </w:pPr>
    </w:p>
    <w:p w14:paraId="12C77885">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25" w:name="_Toc169770936"/>
      <w:r>
        <w:rPr>
          <w:rFonts w:ascii="黑体" w:hAnsi="黑体" w:eastAsia="黑体" w:cs="楷体_GB2312"/>
          <w:b/>
          <w:bCs/>
          <w:color w:val="auto"/>
          <w:sz w:val="28"/>
          <w:szCs w:val="28"/>
          <w:highlight w:val="none"/>
          <w:lang w:val="zh-CN"/>
        </w:rPr>
        <w:t xml:space="preserve">2 </w:t>
      </w:r>
      <w:r>
        <w:rPr>
          <w:rFonts w:hint="eastAsia" w:ascii="黑体" w:hAnsi="黑体" w:eastAsia="黑体" w:cs="楷体_GB2312"/>
          <w:b/>
          <w:bCs/>
          <w:color w:val="auto"/>
          <w:sz w:val="28"/>
          <w:szCs w:val="28"/>
          <w:highlight w:val="none"/>
          <w:lang w:val="zh-CN"/>
        </w:rPr>
        <w:t>招标文件</w:t>
      </w:r>
      <w:bookmarkEnd w:id="25"/>
    </w:p>
    <w:p w14:paraId="5029461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2.1 </w:t>
      </w:r>
      <w:r>
        <w:rPr>
          <w:rFonts w:hint="eastAsia" w:ascii="黑体" w:hAnsi="黑体" w:eastAsia="黑体" w:cs="楷体_GB2312"/>
          <w:b/>
          <w:color w:val="auto"/>
          <w:sz w:val="24"/>
          <w:highlight w:val="none"/>
          <w:lang w:val="zh-CN"/>
        </w:rPr>
        <w:t>招标文件的组成</w:t>
      </w:r>
      <w:r>
        <w:rPr>
          <w:rFonts w:hint="eastAsia" w:ascii="宋体" w:hAnsi="宋体" w:cs="楷体_GB2312"/>
          <w:color w:val="auto"/>
          <w:sz w:val="24"/>
          <w:highlight w:val="none"/>
          <w:lang w:val="zh-CN"/>
        </w:rPr>
        <w:t>：</w:t>
      </w:r>
    </w:p>
    <w:p w14:paraId="5C89DFF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2.1.1 </w:t>
      </w:r>
      <w:r>
        <w:rPr>
          <w:rFonts w:hint="eastAsia" w:ascii="宋体" w:hAnsi="宋体" w:cs="楷体_GB2312"/>
          <w:color w:val="auto"/>
          <w:sz w:val="24"/>
          <w:highlight w:val="none"/>
          <w:lang w:val="zh-CN"/>
        </w:rPr>
        <w:t>招标文件用以阐明招标项目的内容、程序和合同主要条款。招标文件由下述部分组成：</w:t>
      </w:r>
    </w:p>
    <w:p w14:paraId="1532B7D0">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）招标公告</w:t>
      </w:r>
    </w:p>
    <w:p w14:paraId="48655D69">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）招标项目要求及采购需求</w:t>
      </w:r>
    </w:p>
    <w:p w14:paraId="63F82549">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）投标人须知</w:t>
      </w:r>
    </w:p>
    <w:p w14:paraId="0EDDFB84">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）评标办法</w:t>
      </w:r>
    </w:p>
    <w:p w14:paraId="107E3A1A">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）合同主要条款</w:t>
      </w:r>
    </w:p>
    <w:p w14:paraId="54BB8DB7">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）投标文件格式</w:t>
      </w:r>
    </w:p>
    <w:p w14:paraId="7997480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2.1.2 </w:t>
      </w:r>
      <w:r>
        <w:rPr>
          <w:rFonts w:hint="eastAsia" w:ascii="宋体" w:hAnsi="宋体" w:cs="楷体_GB2312"/>
          <w:color w:val="auto"/>
          <w:sz w:val="24"/>
          <w:highlight w:val="none"/>
          <w:lang w:val="zh-CN"/>
        </w:rPr>
        <w:t>根据本章第</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1款、第</w:t>
      </w:r>
      <w:r>
        <w:rPr>
          <w:rFonts w:ascii="宋体" w:hAnsi="宋体" w:cs="楷体_GB2312"/>
          <w:color w:val="auto"/>
          <w:sz w:val="24"/>
          <w:highlight w:val="none"/>
          <w:lang w:val="zh-CN"/>
        </w:rPr>
        <w:t>2.2</w:t>
      </w:r>
      <w:r>
        <w:rPr>
          <w:rFonts w:hint="eastAsia" w:ascii="宋体" w:hAnsi="宋体" w:cs="楷体_GB2312"/>
          <w:color w:val="auto"/>
          <w:sz w:val="24"/>
          <w:highlight w:val="none"/>
          <w:lang w:val="zh-CN"/>
        </w:rPr>
        <w:t>款和第</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款、对招标文件的澄清、修改、补充书构成招标文件的组成部分，并取代招标文件中被澄清、修改处，对所有投标人均有约束力。</w:t>
      </w:r>
    </w:p>
    <w:p w14:paraId="42856E3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2.1.3 </w:t>
      </w:r>
      <w:r>
        <w:rPr>
          <w:rFonts w:hint="eastAsia" w:ascii="宋体" w:hAnsi="宋体" w:cs="楷体_GB2312"/>
          <w:color w:val="auto"/>
          <w:sz w:val="24"/>
          <w:highlight w:val="none"/>
          <w:lang w:val="zh-CN"/>
        </w:rPr>
        <w:t>当招标文件、招标文件的澄清、修改、补充等在同一内容的表述上不一致时，以最后发出（发布）的文件为准。</w:t>
      </w:r>
    </w:p>
    <w:p w14:paraId="082B6D5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2.1.4 </w:t>
      </w:r>
      <w:r>
        <w:rPr>
          <w:rFonts w:hint="eastAsia" w:ascii="宋体" w:hAnsi="宋体" w:cs="楷体_GB2312"/>
          <w:color w:val="auto"/>
          <w:sz w:val="24"/>
          <w:highlight w:val="none"/>
          <w:lang w:val="zh-CN"/>
        </w:rPr>
        <w:t>投标人与任何人的口头协议不影响《招标文件》的任何条款和内容。</w:t>
      </w:r>
    </w:p>
    <w:p w14:paraId="21E48235">
      <w:pPr>
        <w:autoSpaceDE w:val="0"/>
        <w:autoSpaceDN w:val="0"/>
        <w:adjustRightInd w:val="0"/>
        <w:snapToGrid w:val="0"/>
        <w:spacing w:before="156" w:beforeLines="50" w:line="300" w:lineRule="auto"/>
        <w:ind w:firstLine="539"/>
        <w:rPr>
          <w:rFonts w:ascii="宋体" w:cs="楷体_GB2312"/>
          <w:color w:val="auto"/>
          <w:sz w:val="24"/>
          <w:highlight w:val="none"/>
        </w:rPr>
      </w:pPr>
      <w:r>
        <w:rPr>
          <w:rFonts w:ascii="宋体" w:hAnsi="宋体" w:cs="楷体_GB2312"/>
          <w:color w:val="auto"/>
          <w:sz w:val="24"/>
          <w:highlight w:val="none"/>
        </w:rPr>
        <w:t>2.1.5</w:t>
      </w:r>
      <w:r>
        <w:rPr>
          <w:rFonts w:hint="eastAsia" w:ascii="宋体" w:hAnsi="宋体" w:cs="楷体_GB2312"/>
          <w:color w:val="auto"/>
          <w:sz w:val="24"/>
          <w:highlight w:val="none"/>
        </w:rPr>
        <w:t>投标人应仔细阅读和检查招标文件的全部内容是否齐全，如发现缺页或附件不全等遗漏，应及时向采购代理机构提出并索取补齐，否则责任及风险自负。</w:t>
      </w:r>
    </w:p>
    <w:p w14:paraId="335651EB">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2.2 </w:t>
      </w:r>
      <w:r>
        <w:rPr>
          <w:rFonts w:hint="eastAsia" w:ascii="黑体" w:hAnsi="黑体" w:eastAsia="黑体" w:cs="楷体_GB2312"/>
          <w:b/>
          <w:color w:val="auto"/>
          <w:sz w:val="24"/>
          <w:highlight w:val="none"/>
          <w:lang w:val="zh-CN"/>
        </w:rPr>
        <w:t>招标文件的澄清</w:t>
      </w:r>
    </w:p>
    <w:p w14:paraId="5C12A37D">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2.2.1 </w:t>
      </w:r>
      <w:r>
        <w:rPr>
          <w:rFonts w:hint="eastAsia" w:ascii="宋体" w:hAnsi="宋体" w:cs="楷体_GB2312"/>
          <w:color w:val="auto"/>
          <w:sz w:val="24"/>
          <w:highlight w:val="none"/>
          <w:lang w:val="zh-CN"/>
        </w:rPr>
        <w:t>合规获取招标文件的所有潜在投标人对招标文件如有需澄清的疑问，应在投标人须知前附表规定的时间内，按投标人须知前附表规定通知到采购代理机构。在规定的时间内未提出疑问的，将视为对招标文件的完全认可。</w:t>
      </w:r>
    </w:p>
    <w:p w14:paraId="3C6513E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2.2.2 </w:t>
      </w:r>
      <w:r>
        <w:rPr>
          <w:rFonts w:hint="eastAsia" w:ascii="宋体" w:hAnsi="宋体" w:cs="楷体_GB2312"/>
          <w:color w:val="auto"/>
          <w:sz w:val="24"/>
          <w:highlight w:val="none"/>
          <w:lang w:val="zh-CN"/>
        </w:rPr>
        <w:t>采购代理机构对潜在投标人在规定的时间内提出的疑问，将按投标人须知前附表规定予以答复。</w:t>
      </w:r>
    </w:p>
    <w:p w14:paraId="72EBFD8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2.2.3 </w:t>
      </w:r>
      <w:r>
        <w:rPr>
          <w:rFonts w:hint="eastAsia" w:ascii="宋体" w:hAnsi="宋体" w:cs="楷体_GB2312"/>
          <w:color w:val="auto"/>
          <w:sz w:val="24"/>
          <w:highlight w:val="none"/>
          <w:lang w:val="zh-CN"/>
        </w:rPr>
        <w:t>招标文件中如有不符合国家有关强制性规定、不符合国家标准及行业标准的，投标人应在投标阶段或中标实施阶段予以纠正或尽提醒义务。如作为有经验的投标人（中标人）应当知道而未尽提醒义务的，执行指令而造成的损失及风险由投标人（中标人）承担。</w:t>
      </w:r>
    </w:p>
    <w:p w14:paraId="2DF0A76F">
      <w:pPr>
        <w:adjustRightInd w:val="0"/>
        <w:snapToGrid w:val="0"/>
        <w:spacing w:before="156" w:beforeLines="50" w:line="300" w:lineRule="auto"/>
        <w:ind w:firstLine="480" w:firstLineChars="200"/>
        <w:jc w:val="left"/>
        <w:rPr>
          <w:rFonts w:ascii="宋体" w:cs="楷体_GB2312"/>
          <w:color w:val="auto"/>
          <w:sz w:val="24"/>
          <w:highlight w:val="none"/>
          <w:lang w:val="zh-CN"/>
        </w:rPr>
      </w:pPr>
      <w:r>
        <w:rPr>
          <w:rFonts w:ascii="宋体" w:hAnsi="宋体" w:cs="楷体_GB2312"/>
          <w:color w:val="auto"/>
          <w:sz w:val="24"/>
          <w:highlight w:val="none"/>
          <w:lang w:val="zh-CN"/>
        </w:rPr>
        <w:t>2.2.4</w:t>
      </w:r>
      <w:r>
        <w:rPr>
          <w:rFonts w:hint="eastAsia" w:ascii="宋体" w:hAnsi="宋体" w:cs="楷体_GB2312"/>
          <w:color w:val="auto"/>
          <w:sz w:val="24"/>
          <w:highlight w:val="none"/>
          <w:lang w:val="zh-CN"/>
        </w:rPr>
        <w:t>采购代理机构可视情况在投标截止前答疑。</w:t>
      </w:r>
    </w:p>
    <w:p w14:paraId="2983F249">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2.3 </w:t>
      </w:r>
      <w:r>
        <w:rPr>
          <w:rFonts w:hint="eastAsia" w:ascii="黑体" w:hAnsi="黑体" w:eastAsia="黑体" w:cs="楷体_GB2312"/>
          <w:b/>
          <w:color w:val="auto"/>
          <w:sz w:val="24"/>
          <w:highlight w:val="none"/>
          <w:lang w:val="zh-CN"/>
        </w:rPr>
        <w:t>招标文件的澄清、修改、补充</w:t>
      </w:r>
    </w:p>
    <w:p w14:paraId="208A6B1B">
      <w:pPr>
        <w:autoSpaceDE w:val="0"/>
        <w:autoSpaceDN w:val="0"/>
        <w:adjustRightInd w:val="0"/>
        <w:snapToGrid w:val="0"/>
        <w:spacing w:before="156" w:beforeLines="50" w:line="300" w:lineRule="auto"/>
        <w:ind w:firstLine="537" w:firstLineChars="224"/>
        <w:rPr>
          <w:rFonts w:ascii="宋体" w:cs="楷体_GB2312"/>
          <w:color w:val="auto"/>
          <w:sz w:val="24"/>
          <w:highlight w:val="none"/>
          <w:lang w:val="zh-CN"/>
        </w:rPr>
      </w:pPr>
      <w:r>
        <w:rPr>
          <w:rFonts w:hint="eastAsia" w:ascii="宋体" w:hAnsi="宋体" w:cs="楷体_GB2312"/>
          <w:color w:val="auto"/>
          <w:sz w:val="24"/>
          <w:highlight w:val="none"/>
          <w:lang w:val="zh-CN"/>
        </w:rPr>
        <w:t>采购人、代理机构在投标截止时间前有权澄清修改、补充已发售的招标文件。</w:t>
      </w:r>
    </w:p>
    <w:p w14:paraId="4FE9431B">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2.4 </w:t>
      </w:r>
      <w:r>
        <w:rPr>
          <w:rFonts w:hint="eastAsia" w:ascii="黑体" w:hAnsi="黑体" w:eastAsia="黑体" w:cs="楷体_GB2312"/>
          <w:b/>
          <w:color w:val="auto"/>
          <w:sz w:val="24"/>
          <w:highlight w:val="none"/>
          <w:lang w:val="zh-CN"/>
        </w:rPr>
        <w:t>招标文件的澄清、修改、补充的</w:t>
      </w:r>
      <w:r>
        <w:rPr>
          <w:rFonts w:ascii="黑体" w:hAnsi="黑体" w:eastAsia="黑体" w:cs="楷体_GB2312"/>
          <w:b/>
          <w:color w:val="auto"/>
          <w:sz w:val="24"/>
          <w:highlight w:val="none"/>
          <w:lang w:val="zh-CN"/>
        </w:rPr>
        <w:t>通知</w:t>
      </w:r>
      <w:r>
        <w:rPr>
          <w:rFonts w:hint="eastAsia" w:ascii="黑体" w:hAnsi="黑体" w:eastAsia="黑体" w:cs="楷体_GB2312"/>
          <w:b/>
          <w:color w:val="auto"/>
          <w:sz w:val="24"/>
          <w:highlight w:val="none"/>
          <w:lang w:val="zh-CN"/>
        </w:rPr>
        <w:t>，及</w:t>
      </w:r>
      <w:r>
        <w:rPr>
          <w:rFonts w:ascii="黑体" w:hAnsi="黑体" w:eastAsia="黑体" w:cs="楷体_GB2312"/>
          <w:b/>
          <w:color w:val="auto"/>
          <w:sz w:val="24"/>
          <w:highlight w:val="none"/>
          <w:lang w:val="zh-CN"/>
        </w:rPr>
        <w:t>相应</w:t>
      </w:r>
      <w:r>
        <w:rPr>
          <w:rFonts w:hint="eastAsia" w:ascii="黑体" w:hAnsi="黑体" w:eastAsia="黑体" w:cs="楷体_GB2312"/>
          <w:b/>
          <w:color w:val="auto"/>
          <w:sz w:val="24"/>
          <w:highlight w:val="none"/>
          <w:lang w:val="zh-CN"/>
        </w:rPr>
        <w:t>时间变更</w:t>
      </w:r>
    </w:p>
    <w:p w14:paraId="1890C1E8">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color w:val="auto"/>
          <w:sz w:val="24"/>
          <w:highlight w:val="none"/>
          <w:lang w:val="zh-CN"/>
        </w:rPr>
        <w:t xml:space="preserve">2.4.1 </w:t>
      </w:r>
      <w:r>
        <w:rPr>
          <w:rFonts w:hint="eastAsia" w:ascii="宋体" w:hAnsi="宋体" w:cs="楷体_GB2312"/>
          <w:color w:val="auto"/>
          <w:sz w:val="24"/>
          <w:highlight w:val="none"/>
          <w:lang w:val="zh-CN"/>
        </w:rPr>
        <w:t>招标文件在投标截止时间前的所有澄清、修改（包括时间变更等）、补充事项，均在“招标公告”所述媒体予以公告。</w:t>
      </w:r>
      <w:r>
        <w:rPr>
          <w:rFonts w:hint="eastAsia" w:ascii="宋体" w:hAnsi="宋体" w:cs="楷体_GB2312"/>
          <w:b/>
          <w:color w:val="auto"/>
          <w:sz w:val="24"/>
          <w:highlight w:val="none"/>
          <w:lang w:val="zh-CN"/>
        </w:rPr>
        <w:t>澄清或修改公告一经在</w:t>
      </w:r>
      <w:r>
        <w:rPr>
          <w:rFonts w:ascii="宋体" w:hAnsi="宋体" w:cs="楷体_GB2312"/>
          <w:b/>
          <w:color w:val="auto"/>
          <w:sz w:val="24"/>
          <w:highlight w:val="none"/>
          <w:lang w:val="zh-CN"/>
        </w:rPr>
        <w:t>法定网</w:t>
      </w:r>
      <w:r>
        <w:rPr>
          <w:rFonts w:hint="eastAsia" w:ascii="宋体" w:hAnsi="宋体" w:cs="楷体_GB2312"/>
          <w:b/>
          <w:color w:val="auto"/>
          <w:sz w:val="24"/>
          <w:highlight w:val="none"/>
          <w:lang w:val="zh-CN"/>
        </w:rPr>
        <w:t>站以</w:t>
      </w:r>
      <w:r>
        <w:rPr>
          <w:rFonts w:ascii="宋体" w:hAnsi="宋体" w:cs="楷体_GB2312"/>
          <w:b/>
          <w:color w:val="auto"/>
          <w:sz w:val="24"/>
          <w:highlight w:val="none"/>
          <w:lang w:val="zh-CN"/>
        </w:rPr>
        <w:t>公</w:t>
      </w:r>
      <w:r>
        <w:rPr>
          <w:rFonts w:hint="eastAsia" w:ascii="宋体" w:hAnsi="宋体" w:cs="楷体_GB2312"/>
          <w:b/>
          <w:color w:val="auto"/>
          <w:sz w:val="24"/>
          <w:highlight w:val="none"/>
          <w:lang w:val="zh-CN"/>
        </w:rPr>
        <w:t>告</w:t>
      </w:r>
      <w:r>
        <w:rPr>
          <w:rFonts w:ascii="宋体" w:hAnsi="宋体" w:cs="楷体_GB2312"/>
          <w:b/>
          <w:color w:val="auto"/>
          <w:sz w:val="24"/>
          <w:highlight w:val="none"/>
          <w:lang w:val="zh-CN"/>
        </w:rPr>
        <w:t>形式</w:t>
      </w:r>
      <w:r>
        <w:rPr>
          <w:rFonts w:hint="eastAsia" w:ascii="宋体" w:hAnsi="宋体" w:cs="楷体_GB2312"/>
          <w:b/>
          <w:color w:val="auto"/>
          <w:sz w:val="24"/>
          <w:highlight w:val="none"/>
          <w:lang w:val="zh-CN"/>
        </w:rPr>
        <w:t>发布，依法视为书面通知，不再另行通知。</w:t>
      </w:r>
    </w:p>
    <w:p w14:paraId="1CDC85A4">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hint="eastAsia" w:ascii="宋体" w:hAnsi="宋体" w:cs="楷体_GB2312"/>
          <w:b/>
          <w:color w:val="auto"/>
          <w:sz w:val="24"/>
          <w:highlight w:val="none"/>
          <w:lang w:val="zh-CN"/>
        </w:rPr>
        <w:t>基于网</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电</w:t>
      </w:r>
      <w:r>
        <w:rPr>
          <w:rFonts w:ascii="宋体" w:hAnsi="宋体" w:cs="楷体_GB2312"/>
          <w:b/>
          <w:color w:val="auto"/>
          <w:sz w:val="24"/>
          <w:highlight w:val="none"/>
          <w:lang w:val="zh-CN"/>
        </w:rPr>
        <w:t>子</w:t>
      </w:r>
      <w:r>
        <w:rPr>
          <w:rFonts w:hint="eastAsia" w:ascii="宋体" w:hAnsi="宋体" w:cs="楷体_GB2312"/>
          <w:b/>
          <w:color w:val="auto"/>
          <w:sz w:val="24"/>
          <w:highlight w:val="none"/>
          <w:lang w:val="zh-CN"/>
        </w:rPr>
        <w:t>交易</w:t>
      </w:r>
      <w:r>
        <w:rPr>
          <w:rFonts w:ascii="宋体" w:hAnsi="宋体" w:cs="楷体_GB2312"/>
          <w:b/>
          <w:color w:val="auto"/>
          <w:sz w:val="24"/>
          <w:highlight w:val="none"/>
          <w:lang w:val="zh-CN"/>
        </w:rPr>
        <w:t>的特点—</w:t>
      </w:r>
      <w:r>
        <w:rPr>
          <w:rFonts w:ascii="宋体" w:cs="楷体_GB2312"/>
          <w:b/>
          <w:color w:val="auto"/>
          <w:sz w:val="24"/>
          <w:highlight w:val="none"/>
          <w:lang w:val="zh-CN"/>
        </w:rPr>
        <w:t>-</w:t>
      </w:r>
      <w:r>
        <w:rPr>
          <w:rFonts w:hint="eastAsia" w:ascii="宋体" w:hAnsi="宋体" w:cs="楷体_GB2312"/>
          <w:b/>
          <w:color w:val="auto"/>
          <w:sz w:val="24"/>
          <w:highlight w:val="none"/>
          <w:lang w:val="zh-CN"/>
        </w:rPr>
        <w:t>无权限获知或通知潜在投标人，潜在投标人应随时关注“招标公告”所</w:t>
      </w:r>
      <w:r>
        <w:rPr>
          <w:rFonts w:ascii="宋体" w:hAnsi="宋体" w:cs="楷体_GB2312"/>
          <w:b/>
          <w:color w:val="auto"/>
          <w:sz w:val="24"/>
          <w:highlight w:val="none"/>
          <w:lang w:val="zh-CN"/>
        </w:rPr>
        <w:t>述媒体</w:t>
      </w:r>
      <w:r>
        <w:rPr>
          <w:rFonts w:hint="eastAsia" w:ascii="宋体" w:hAnsi="宋体" w:cs="楷体_GB2312"/>
          <w:b/>
          <w:color w:val="auto"/>
          <w:sz w:val="24"/>
          <w:highlight w:val="none"/>
          <w:lang w:val="zh-CN"/>
        </w:rPr>
        <w:t>相关项目信息（为免各部门网站出现维护等情况，潜在投标人应对“招标公告”所述媒体逐一查阅），如有遗漏，后果自负。</w:t>
      </w:r>
    </w:p>
    <w:p w14:paraId="475E0016">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2.</w:t>
      </w:r>
      <w:r>
        <w:rPr>
          <w:rFonts w:ascii="宋体" w:cs="楷体_GB2312"/>
          <w:color w:val="auto"/>
          <w:sz w:val="24"/>
          <w:highlight w:val="none"/>
          <w:lang w:val="zh-CN"/>
        </w:rPr>
        <w:t>4</w:t>
      </w:r>
      <w:r>
        <w:rPr>
          <w:rFonts w:hint="eastAsia" w:ascii="宋体" w:cs="楷体_GB2312"/>
          <w:color w:val="auto"/>
          <w:sz w:val="24"/>
          <w:highlight w:val="none"/>
          <w:lang w:val="zh-CN"/>
        </w:rPr>
        <w:t>.2招标文件的澄清、修改、补充书构成招标文件的组成部分，并取代招标文件中被澄清、修改处，对所有投标人均有约束力。</w:t>
      </w:r>
    </w:p>
    <w:p w14:paraId="6C62F54B">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2.4.3 </w:t>
      </w:r>
      <w:r>
        <w:rPr>
          <w:rFonts w:hint="eastAsia" w:ascii="宋体" w:hAnsi="宋体" w:cs="楷体_GB2312"/>
          <w:color w:val="auto"/>
          <w:sz w:val="24"/>
          <w:highlight w:val="none"/>
          <w:lang w:val="zh-CN"/>
        </w:rPr>
        <w:t>如果投标截止时间前的澄清修改补充发出的时间不满足投标人须知前附表规定时间，并且澄清修改补充内容影响投标文件编制的，代理机构可视采购具体情况延长投标截止时间和开标时间，并将在“招标公告”所述媒体予以公告。</w:t>
      </w:r>
    </w:p>
    <w:p w14:paraId="22DA9F50">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rPr>
      </w:pPr>
    </w:p>
    <w:p w14:paraId="1E14BD4D">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26" w:name="_Toc169770937"/>
      <w:r>
        <w:rPr>
          <w:rFonts w:ascii="黑体" w:hAnsi="黑体" w:eastAsia="黑体" w:cs="楷体_GB2312"/>
          <w:b/>
          <w:bCs/>
          <w:color w:val="auto"/>
          <w:sz w:val="28"/>
          <w:szCs w:val="28"/>
          <w:highlight w:val="none"/>
          <w:lang w:val="zh-CN"/>
        </w:rPr>
        <w:t xml:space="preserve">3 </w:t>
      </w:r>
      <w:r>
        <w:rPr>
          <w:rFonts w:hint="eastAsia" w:ascii="黑体" w:hAnsi="黑体" w:eastAsia="黑体" w:cs="楷体_GB2312"/>
          <w:b/>
          <w:bCs/>
          <w:color w:val="auto"/>
          <w:sz w:val="28"/>
          <w:szCs w:val="28"/>
          <w:highlight w:val="none"/>
          <w:lang w:val="zh-CN"/>
        </w:rPr>
        <w:t>投标文件</w:t>
      </w:r>
      <w:bookmarkEnd w:id="26"/>
    </w:p>
    <w:p w14:paraId="15CC0B27">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r>
        <w:rPr>
          <w:rFonts w:ascii="黑体" w:hAnsi="黑体" w:eastAsia="黑体" w:cs="楷体_GB2312"/>
          <w:b/>
          <w:color w:val="auto"/>
          <w:sz w:val="24"/>
          <w:highlight w:val="none"/>
          <w:lang w:val="zh-CN"/>
        </w:rPr>
        <w:t>3.1</w:t>
      </w:r>
      <w:r>
        <w:rPr>
          <w:rFonts w:hint="eastAsia" w:ascii="宋体" w:hAnsi="宋体" w:cs="楷体_GB2312"/>
          <w:color w:val="auto"/>
          <w:sz w:val="24"/>
          <w:highlight w:val="none"/>
          <w:lang w:val="zh-CN"/>
        </w:rPr>
        <w:t>　投标人应仔细阅读招标文件的所有内容，按招标文件的要求提供投标文件，并保证所提供全部资料的真实性。投标文件应对招标文件实质性要求作出实质性响应。评标委员会对投标文件的有效性、完整性和响应程度进行审查，不满足实质性要求的为</w:t>
      </w:r>
      <w:r>
        <w:rPr>
          <w:rFonts w:hint="eastAsia" w:ascii="宋体" w:hAnsi="宋体" w:cs="楷体_GB2312"/>
          <w:b/>
          <w:color w:val="auto"/>
          <w:sz w:val="24"/>
          <w:highlight w:val="none"/>
          <w:lang w:val="zh-CN"/>
        </w:rPr>
        <w:t>无效投标。</w:t>
      </w:r>
    </w:p>
    <w:p w14:paraId="1341677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3.2 </w:t>
      </w:r>
      <w:r>
        <w:rPr>
          <w:rFonts w:hint="eastAsia" w:ascii="黑体" w:hAnsi="黑体" w:eastAsia="黑体" w:cs="楷体_GB2312"/>
          <w:b/>
          <w:color w:val="auto"/>
          <w:sz w:val="24"/>
          <w:highlight w:val="none"/>
          <w:lang w:val="zh-CN"/>
        </w:rPr>
        <w:t>投标文件的组成</w:t>
      </w:r>
    </w:p>
    <w:p w14:paraId="3DF9D105">
      <w:pPr>
        <w:adjustRightInd w:val="0"/>
        <w:snapToGrid w:val="0"/>
        <w:spacing w:before="156" w:beforeLines="50" w:line="300" w:lineRule="auto"/>
        <w:ind w:firstLine="539"/>
        <w:textAlignment w:val="top"/>
        <w:rPr>
          <w:rFonts w:ascii="宋体" w:cs="楷体_GB2312"/>
          <w:color w:val="auto"/>
          <w:sz w:val="24"/>
          <w:highlight w:val="none"/>
          <w:lang w:val="zh-CN"/>
        </w:rPr>
      </w:pPr>
      <w:r>
        <w:rPr>
          <w:rFonts w:ascii="宋体" w:hAnsi="宋体" w:cs="楷体_GB2312"/>
          <w:color w:val="auto"/>
          <w:sz w:val="24"/>
          <w:highlight w:val="none"/>
          <w:lang w:val="zh-CN"/>
        </w:rPr>
        <w:t xml:space="preserve">3.2.1 </w:t>
      </w:r>
      <w:r>
        <w:rPr>
          <w:rFonts w:hint="eastAsia" w:ascii="宋体" w:hAnsi="宋体" w:cs="楷体_GB2312"/>
          <w:color w:val="auto"/>
          <w:sz w:val="24"/>
          <w:highlight w:val="none"/>
          <w:lang w:val="zh-CN"/>
        </w:rPr>
        <w:t>投标文件组成如有缺项，评标委员会按照实质性判断原则（实质性要求和实质性响应两因素）、有权视情况将其作无效投标处理，投标人自负此项风险；投标文件组成内容未对招标文件实质性要求作出实质性响应，评标委员会按照实质性判断原则、视情况将其作无效投标处理，投标人自负此项风险</w:t>
      </w:r>
    </w:p>
    <w:p w14:paraId="266A8728">
      <w:pPr>
        <w:adjustRightInd w:val="0"/>
        <w:snapToGrid w:val="0"/>
        <w:spacing w:before="156" w:beforeLines="50" w:line="300" w:lineRule="auto"/>
        <w:ind w:firstLine="539"/>
        <w:textAlignment w:val="top"/>
        <w:rPr>
          <w:rFonts w:ascii="宋体" w:hAnsi="宋体" w:cs="楷体_GB2312"/>
          <w:color w:val="auto"/>
          <w:sz w:val="24"/>
          <w:highlight w:val="none"/>
          <w:lang w:val="zh-CN"/>
        </w:rPr>
      </w:pPr>
      <w:r>
        <w:rPr>
          <w:rFonts w:ascii="宋体" w:hAnsi="宋体" w:cs="楷体_GB2312"/>
          <w:color w:val="auto"/>
          <w:sz w:val="24"/>
          <w:highlight w:val="none"/>
          <w:lang w:val="zh-CN"/>
        </w:rPr>
        <w:t>3.2.2</w:t>
      </w:r>
      <w:r>
        <w:rPr>
          <w:rFonts w:hint="eastAsia" w:ascii="宋体" w:hAnsi="宋体" w:cs="楷体_GB2312"/>
          <w:color w:val="auto"/>
          <w:sz w:val="24"/>
          <w:highlight w:val="none"/>
          <w:lang w:val="zh-CN"/>
        </w:rPr>
        <w:t>投标文件应包括下列内容：</w:t>
      </w:r>
    </w:p>
    <w:p w14:paraId="23AAC253">
      <w:pPr>
        <w:adjustRightInd w:val="0"/>
        <w:snapToGrid w:val="0"/>
        <w:spacing w:before="156" w:beforeLines="50" w:line="300" w:lineRule="auto"/>
        <w:ind w:firstLine="539"/>
        <w:textAlignment w:val="top"/>
        <w:rPr>
          <w:rFonts w:ascii="黑体" w:hAnsi="黑体" w:eastAsia="黑体"/>
          <w:b/>
          <w:color w:val="auto"/>
          <w:highlight w:val="none"/>
        </w:rPr>
      </w:pPr>
      <w:r>
        <w:rPr>
          <w:rFonts w:hint="eastAsia" w:ascii="黑体" w:hAnsi="黑体" w:eastAsia="黑体" w:cs="楷体_GB2312"/>
          <w:b/>
          <w:color w:val="auto"/>
          <w:sz w:val="24"/>
          <w:highlight w:val="none"/>
          <w:lang w:val="zh-CN"/>
        </w:rPr>
        <w:t>符</w:t>
      </w:r>
      <w:r>
        <w:rPr>
          <w:rFonts w:ascii="黑体" w:hAnsi="黑体" w:eastAsia="黑体" w:cs="楷体_GB2312"/>
          <w:b/>
          <w:color w:val="auto"/>
          <w:sz w:val="24"/>
          <w:highlight w:val="none"/>
          <w:lang w:val="zh-CN"/>
        </w:rPr>
        <w:t>合性</w:t>
      </w:r>
      <w:r>
        <w:rPr>
          <w:rFonts w:hint="eastAsia" w:ascii="黑体" w:hAnsi="黑体" w:eastAsia="黑体" w:cs="楷体_GB2312"/>
          <w:b/>
          <w:color w:val="auto"/>
          <w:sz w:val="24"/>
          <w:highlight w:val="none"/>
          <w:lang w:val="zh-CN"/>
        </w:rPr>
        <w:t>响应</w:t>
      </w:r>
      <w:r>
        <w:rPr>
          <w:rFonts w:ascii="黑体" w:hAnsi="黑体" w:eastAsia="黑体" w:cs="楷体_GB2312"/>
          <w:b/>
          <w:color w:val="auto"/>
          <w:sz w:val="24"/>
          <w:highlight w:val="none"/>
          <w:lang w:val="zh-CN"/>
        </w:rPr>
        <w:t>文件</w:t>
      </w:r>
    </w:p>
    <w:p w14:paraId="695FC5A2">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）投标书。</w:t>
      </w:r>
    </w:p>
    <w:p w14:paraId="08EA375B">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w:t>
      </w:r>
      <w:r>
        <w:rPr>
          <w:rFonts w:hint="eastAsia" w:ascii="宋体" w:hAnsi="宋体"/>
          <w:color w:val="auto"/>
          <w:sz w:val="24"/>
          <w:szCs w:val="24"/>
          <w:highlight w:val="none"/>
        </w:rPr>
        <w:t>报价一览表（即开标一览表）</w:t>
      </w:r>
    </w:p>
    <w:p w14:paraId="7718EB0F">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w:t>
      </w:r>
      <w:r>
        <w:rPr>
          <w:rFonts w:hint="eastAsia"/>
          <w:color w:val="auto"/>
          <w:sz w:val="24"/>
          <w:highlight w:val="none"/>
        </w:rPr>
        <w:t>投标报价明细表</w:t>
      </w:r>
    </w:p>
    <w:p w14:paraId="3505C7CA">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）针对技术路线、规划理念、技术创新的服务方案及服务质量承诺</w:t>
      </w:r>
    </w:p>
    <w:p w14:paraId="4EB8830A">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）服务拟投入设备清单及其技术参数</w:t>
      </w:r>
    </w:p>
    <w:p w14:paraId="01CDE09A">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）服务拟投入的人员情况表</w:t>
      </w:r>
    </w:p>
    <w:p w14:paraId="583FAAF3">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）偏差表</w:t>
      </w:r>
    </w:p>
    <w:p w14:paraId="764D5838">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color w:val="auto"/>
          <w:sz w:val="24"/>
          <w:highlight w:val="none"/>
        </w:rPr>
        <w:t>反商业贿赂承诺书。</w:t>
      </w:r>
    </w:p>
    <w:p w14:paraId="78ADC66B">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9</w:t>
      </w:r>
      <w:r>
        <w:rPr>
          <w:rFonts w:hint="eastAsia" w:ascii="宋体" w:hAnsi="宋体" w:cs="楷体_GB2312"/>
          <w:color w:val="auto"/>
          <w:sz w:val="24"/>
          <w:highlight w:val="none"/>
          <w:lang w:val="zh-CN"/>
        </w:rPr>
        <w:t>）</w:t>
      </w:r>
      <w:r>
        <w:rPr>
          <w:rFonts w:hint="eastAsia"/>
          <w:color w:val="auto"/>
          <w:sz w:val="24"/>
          <w:highlight w:val="none"/>
        </w:rPr>
        <w:t>履约承诺书。</w:t>
      </w:r>
    </w:p>
    <w:p w14:paraId="2A4B0F15">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10</w:t>
      </w:r>
      <w:r>
        <w:rPr>
          <w:rFonts w:hint="eastAsia"/>
          <w:color w:val="auto"/>
          <w:sz w:val="24"/>
          <w:highlight w:val="none"/>
        </w:rPr>
        <w:t>）招标项目要求及采购需求所需的其他材料（按条款需要）</w:t>
      </w:r>
    </w:p>
    <w:p w14:paraId="2348D085">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）投标人须知所需的其他材料（按条款需要）</w:t>
      </w:r>
    </w:p>
    <w:p w14:paraId="3C7D56D5">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12</w:t>
      </w:r>
      <w:r>
        <w:rPr>
          <w:rFonts w:hint="eastAsia"/>
          <w:color w:val="auto"/>
          <w:sz w:val="24"/>
          <w:highlight w:val="none"/>
        </w:rPr>
        <w:t>）评标办法所需的其他材料（按条款需要）</w:t>
      </w:r>
    </w:p>
    <w:p w14:paraId="1F635073">
      <w:pPr>
        <w:autoSpaceDE w:val="0"/>
        <w:autoSpaceDN w:val="0"/>
        <w:adjustRightInd w:val="0"/>
        <w:snapToGrid w:val="0"/>
        <w:spacing w:line="300" w:lineRule="auto"/>
        <w:ind w:firstLine="520" w:firstLineChars="217"/>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w:t>
      </w:r>
      <w:r>
        <w:rPr>
          <w:rFonts w:hint="eastAsia" w:ascii="宋体" w:hAnsi="宋体"/>
          <w:color w:val="auto"/>
          <w:sz w:val="24"/>
          <w:highlight w:val="none"/>
        </w:rPr>
        <w:t>投标人认为有必要提交的其它材料</w:t>
      </w:r>
    </w:p>
    <w:p w14:paraId="613D462B">
      <w:pPr>
        <w:adjustRightInd w:val="0"/>
        <w:snapToGrid w:val="0"/>
        <w:spacing w:before="156" w:beforeLines="50" w:line="300" w:lineRule="auto"/>
        <w:ind w:firstLine="539"/>
        <w:textAlignment w:val="top"/>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资</w:t>
      </w:r>
      <w:r>
        <w:rPr>
          <w:rFonts w:ascii="黑体" w:hAnsi="黑体" w:eastAsia="黑体" w:cs="楷体_GB2312"/>
          <w:b/>
          <w:color w:val="auto"/>
          <w:sz w:val="24"/>
          <w:highlight w:val="none"/>
          <w:lang w:val="zh-CN"/>
        </w:rPr>
        <w:t>格性</w:t>
      </w:r>
      <w:r>
        <w:rPr>
          <w:rFonts w:hint="eastAsia" w:ascii="黑体" w:hAnsi="黑体" w:eastAsia="黑体" w:cs="楷体_GB2312"/>
          <w:b/>
          <w:color w:val="auto"/>
          <w:sz w:val="24"/>
          <w:highlight w:val="none"/>
          <w:lang w:val="zh-CN"/>
        </w:rPr>
        <w:t>证明文件</w:t>
      </w:r>
    </w:p>
    <w:p w14:paraId="744C502E">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14</w:t>
      </w:r>
      <w:r>
        <w:rPr>
          <w:rFonts w:hint="eastAsia" w:ascii="宋体" w:hAnsi="宋体" w:cs="楷体_GB2312"/>
          <w:color w:val="auto"/>
          <w:sz w:val="24"/>
          <w:highlight w:val="none"/>
          <w:lang w:val="zh-CN"/>
        </w:rPr>
        <w:t>）</w:t>
      </w:r>
      <w:r>
        <w:rPr>
          <w:rFonts w:hint="eastAsia"/>
          <w:color w:val="auto"/>
          <w:sz w:val="24"/>
          <w:highlight w:val="none"/>
        </w:rPr>
        <w:t>关于资格的声明函</w:t>
      </w:r>
    </w:p>
    <w:p w14:paraId="6D47836D">
      <w:pPr>
        <w:autoSpaceDE w:val="0"/>
        <w:autoSpaceDN w:val="0"/>
        <w:adjustRightInd w:val="0"/>
        <w:snapToGrid w:val="0"/>
        <w:spacing w:line="300" w:lineRule="auto"/>
        <w:ind w:firstLine="520" w:firstLineChars="217"/>
        <w:rPr>
          <w:rFonts w:ascii="宋体" w:cs="楷体_GB2312"/>
          <w:color w:val="auto"/>
          <w:sz w:val="24"/>
          <w:highlight w:val="none"/>
          <w:lang w:val="zh-CN"/>
        </w:rPr>
      </w:pPr>
      <w:r>
        <w:rPr>
          <w:rFonts w:hint="eastAsia"/>
          <w:color w:val="auto"/>
          <w:sz w:val="24"/>
          <w:highlight w:val="none"/>
        </w:rPr>
        <w:t>（</w:t>
      </w:r>
      <w:r>
        <w:rPr>
          <w:color w:val="auto"/>
          <w:sz w:val="24"/>
          <w:highlight w:val="none"/>
        </w:rPr>
        <w:t>15</w:t>
      </w:r>
      <w:r>
        <w:rPr>
          <w:rFonts w:hint="eastAsia"/>
          <w:color w:val="auto"/>
          <w:sz w:val="24"/>
          <w:highlight w:val="none"/>
        </w:rPr>
        <w:t>）资格要求相关证明材料（文件）</w:t>
      </w:r>
    </w:p>
    <w:p w14:paraId="1E295EFF">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3.2.3</w:t>
      </w:r>
      <w:r>
        <w:rPr>
          <w:rFonts w:hint="eastAsia" w:ascii="宋体" w:hAnsi="宋体" w:cs="楷体_GB2312"/>
          <w:color w:val="auto"/>
          <w:sz w:val="24"/>
          <w:highlight w:val="none"/>
          <w:lang w:val="zh-CN"/>
        </w:rPr>
        <w:t>按照本章第</w:t>
      </w:r>
      <w:r>
        <w:rPr>
          <w:rFonts w:ascii="宋体" w:hAnsi="宋体" w:cs="楷体_GB2312"/>
          <w:color w:val="auto"/>
          <w:sz w:val="24"/>
          <w:highlight w:val="none"/>
          <w:lang w:val="zh-CN"/>
        </w:rPr>
        <w:t>4.3</w:t>
      </w:r>
      <w:r>
        <w:rPr>
          <w:rFonts w:hint="eastAsia" w:ascii="宋体" w:hAnsi="宋体" w:cs="楷体_GB2312"/>
          <w:color w:val="auto"/>
          <w:sz w:val="24"/>
          <w:highlight w:val="none"/>
          <w:lang w:val="zh-CN"/>
        </w:rPr>
        <w:t>款、第四章第</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3款规定，对投标文件的补充、修改、澄清、说明或者更正构成投标文件的组成部分，并取代投标文件中被澄清、修改处。</w:t>
      </w:r>
    </w:p>
    <w:p w14:paraId="0BA51037">
      <w:pPr>
        <w:topLinePunct/>
        <w:adjustRightInd w:val="0"/>
        <w:snapToGrid w:val="0"/>
        <w:spacing w:before="156" w:beforeLines="50" w:line="300" w:lineRule="auto"/>
        <w:ind w:firstLine="566" w:firstLineChars="235"/>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3.3 </w:t>
      </w:r>
      <w:r>
        <w:rPr>
          <w:rFonts w:hint="eastAsia" w:ascii="黑体" w:hAnsi="黑体" w:eastAsia="黑体" w:cs="楷体_GB2312"/>
          <w:b/>
          <w:color w:val="auto"/>
          <w:sz w:val="24"/>
          <w:highlight w:val="none"/>
          <w:lang w:val="zh-CN"/>
        </w:rPr>
        <w:t>投标报价</w:t>
      </w:r>
      <w:r>
        <w:rPr>
          <w:rFonts w:hint="eastAsia" w:ascii="宋体" w:hAnsi="宋体" w:cs="楷体_GB2312"/>
          <w:color w:val="auto"/>
          <w:sz w:val="24"/>
          <w:highlight w:val="none"/>
          <w:lang w:val="zh-CN"/>
        </w:rPr>
        <w:t>（价格构成）：见第二章</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款。</w:t>
      </w:r>
    </w:p>
    <w:p w14:paraId="2A5C8A06">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3.4 </w:t>
      </w:r>
      <w:r>
        <w:rPr>
          <w:rFonts w:hint="eastAsia" w:ascii="黑体" w:hAnsi="黑体" w:eastAsia="黑体" w:cs="楷体_GB2312"/>
          <w:b/>
          <w:color w:val="auto"/>
          <w:sz w:val="24"/>
          <w:highlight w:val="none"/>
          <w:lang w:val="zh-CN"/>
        </w:rPr>
        <w:t>投标有效期</w:t>
      </w:r>
    </w:p>
    <w:p w14:paraId="6813D3C7">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3.4.1</w:t>
      </w:r>
      <w:r>
        <w:rPr>
          <w:rFonts w:hint="eastAsia" w:ascii="宋体" w:hAnsi="宋体" w:cs="楷体_GB2312"/>
          <w:color w:val="auto"/>
          <w:sz w:val="24"/>
          <w:highlight w:val="none"/>
          <w:lang w:val="zh-CN"/>
        </w:rPr>
        <w:t>投标有效期见投标人须知前附表。投标有效期从提交投标文件的截止之日起算。投标文件中承诺的投标有效期应当不少于招标文件中载明的投标有效期。投标文件在投标有效期内保持不变（包括价格等投标文件各项条款）。</w:t>
      </w:r>
    </w:p>
    <w:p w14:paraId="039A07C7">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3.4.2</w:t>
      </w:r>
      <w:r>
        <w:rPr>
          <w:rFonts w:hint="eastAsia" w:ascii="宋体" w:hAnsi="宋体" w:cs="楷体_GB2312"/>
          <w:color w:val="auto"/>
          <w:sz w:val="24"/>
          <w:highlight w:val="none"/>
          <w:lang w:val="zh-CN"/>
        </w:rPr>
        <w:t>在投标有效期内，投标人撤销或修改其投标文件的，依据招标文件“第三章3.5.5 违背承诺的责任追究措施”，投标人承担相应法律责任及违约责任。</w:t>
      </w:r>
    </w:p>
    <w:p w14:paraId="35239D72">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3.5 </w:t>
      </w:r>
      <w:r>
        <w:rPr>
          <w:rFonts w:hint="eastAsia" w:ascii="黑体" w:hAnsi="黑体" w:eastAsia="黑体" w:cs="楷体_GB2312"/>
          <w:b/>
          <w:color w:val="auto"/>
          <w:sz w:val="24"/>
          <w:highlight w:val="none"/>
        </w:rPr>
        <w:t>投标承诺函</w:t>
      </w:r>
      <w:r>
        <w:rPr>
          <w:rFonts w:hint="eastAsia" w:ascii="黑体" w:hAnsi="黑体" w:eastAsia="黑体" w:cs="楷体_GB2312"/>
          <w:b/>
          <w:color w:val="auto"/>
          <w:sz w:val="24"/>
          <w:highlight w:val="none"/>
          <w:lang w:val="zh-CN"/>
        </w:rPr>
        <w:t>（</w:t>
      </w:r>
      <w:r>
        <w:rPr>
          <w:rFonts w:hint="eastAsia" w:ascii="黑体" w:hAnsi="黑体" w:eastAsia="黑体" w:cs="楷体_GB2312"/>
          <w:b/>
          <w:color w:val="auto"/>
          <w:sz w:val="24"/>
          <w:highlight w:val="none"/>
        </w:rPr>
        <w:t>替代</w:t>
      </w:r>
      <w:r>
        <w:rPr>
          <w:rFonts w:hint="eastAsia" w:ascii="黑体" w:hAnsi="黑体" w:eastAsia="黑体" w:cs="楷体_GB2312"/>
          <w:b/>
          <w:color w:val="auto"/>
          <w:sz w:val="24"/>
          <w:highlight w:val="none"/>
          <w:lang w:val="zh-CN"/>
        </w:rPr>
        <w:t>投标保证金）：</w:t>
      </w:r>
    </w:p>
    <w:p w14:paraId="744AB474">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zh-CN"/>
        </w:rPr>
        <w:t xml:space="preserve">3.5.1 </w:t>
      </w:r>
      <w:r>
        <w:rPr>
          <w:rFonts w:hint="eastAsia" w:ascii="宋体" w:hAnsi="宋体"/>
          <w:color w:val="auto"/>
          <w:sz w:val="24"/>
          <w:szCs w:val="24"/>
          <w:highlight w:val="none"/>
        </w:rPr>
        <w:t>按照豫财购〔2019〕4号文件规定，本项目以投标承诺函的形式替代投标保证金，供应商应按附件格式进行投标承诺，违背承诺的将承担相应的法律责任及违约责任。</w:t>
      </w:r>
    </w:p>
    <w:p w14:paraId="33AC1029">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3.5.2 未提供投标承诺函的为</w:t>
      </w:r>
      <w:r>
        <w:rPr>
          <w:rFonts w:hint="eastAsia" w:ascii="宋体" w:hAnsi="宋体"/>
          <w:b/>
          <w:bCs/>
          <w:color w:val="auto"/>
          <w:sz w:val="24"/>
          <w:szCs w:val="24"/>
          <w:highlight w:val="none"/>
        </w:rPr>
        <w:t>无效投标</w:t>
      </w:r>
      <w:r>
        <w:rPr>
          <w:rFonts w:hint="eastAsia" w:ascii="宋体" w:hAnsi="宋体"/>
          <w:color w:val="auto"/>
          <w:sz w:val="24"/>
          <w:szCs w:val="24"/>
          <w:highlight w:val="none"/>
        </w:rPr>
        <w:t>。</w:t>
      </w:r>
    </w:p>
    <w:p w14:paraId="326E2382">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3.5.3 投标人的投标承诺函包含投标人承诺的事项及违背承诺的责任追究措施。</w:t>
      </w:r>
    </w:p>
    <w:p w14:paraId="4B7218EB">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 承诺事项：</w:t>
      </w:r>
    </w:p>
    <w:p w14:paraId="48BB625D">
      <w:pPr>
        <w:widowControl w:val="0"/>
        <w:tabs>
          <w:tab w:val="left" w:pos="65"/>
        </w:tabs>
        <w:spacing w:line="460" w:lineRule="atLeas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3.5.4.1、投标人应遵循公开、公平、公正和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的原则自愿参加项目的投标；</w:t>
      </w:r>
    </w:p>
    <w:p w14:paraId="5BA1ECDC">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3.5.4.2、投标人在政府采购活动中应提供真实、准确、有效、合法的材料，不</w:t>
      </w:r>
      <w:r>
        <w:rPr>
          <w:rFonts w:hint="eastAsia" w:ascii="宋体" w:hAnsi="宋体"/>
          <w:color w:val="auto"/>
          <w:sz w:val="24"/>
          <w:szCs w:val="24"/>
          <w:highlight w:val="none"/>
          <w:lang w:val="zh-CN"/>
        </w:rPr>
        <w:t>提供虚假材料；</w:t>
      </w:r>
    </w:p>
    <w:p w14:paraId="18AF56DD">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3.5.4.3、投标人</w:t>
      </w:r>
      <w:r>
        <w:rPr>
          <w:rFonts w:hint="eastAsia" w:ascii="宋体" w:hAnsi="宋体"/>
          <w:color w:val="auto"/>
          <w:sz w:val="24"/>
          <w:szCs w:val="24"/>
          <w:highlight w:val="none"/>
          <w:lang w:val="zh-CN"/>
        </w:rPr>
        <w:t>按照招标文件规定，在提交投标文件截止时间后，在招标文件规定的投标有效期限内不</w:t>
      </w:r>
      <w:r>
        <w:rPr>
          <w:rFonts w:hint="eastAsia" w:ascii="宋体" w:hAnsi="宋体"/>
          <w:color w:val="auto"/>
          <w:sz w:val="24"/>
          <w:szCs w:val="24"/>
          <w:highlight w:val="none"/>
        </w:rPr>
        <w:t>应</w:t>
      </w:r>
      <w:r>
        <w:rPr>
          <w:rFonts w:hint="eastAsia" w:ascii="宋体" w:hAnsi="宋体"/>
          <w:color w:val="auto"/>
          <w:sz w:val="24"/>
          <w:szCs w:val="24"/>
          <w:highlight w:val="none"/>
          <w:lang w:val="zh-CN"/>
        </w:rPr>
        <w:t>撤回投标文件；</w:t>
      </w:r>
    </w:p>
    <w:p w14:paraId="53CCB53A">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3.5.4.4、不应</w:t>
      </w:r>
      <w:r>
        <w:rPr>
          <w:rFonts w:hint="eastAsia" w:ascii="宋体" w:hAnsi="宋体"/>
          <w:color w:val="auto"/>
          <w:sz w:val="24"/>
          <w:szCs w:val="24"/>
          <w:highlight w:val="none"/>
          <w:lang w:val="zh-CN"/>
        </w:rPr>
        <w:t>与其他投标人、采购人或采购代理机构串通或恶意串通。</w:t>
      </w:r>
    </w:p>
    <w:p w14:paraId="68BD041D">
      <w:pPr>
        <w:widowControl w:val="0"/>
        <w:tabs>
          <w:tab w:val="left" w:pos="65"/>
        </w:tabs>
        <w:spacing w:line="460" w:lineRule="atLeast"/>
        <w:ind w:firstLine="480" w:firstLineChars="200"/>
        <w:textAlignment w:val="auto"/>
        <w:rPr>
          <w:rFonts w:hint="eastAsia" w:ascii="宋体" w:hAnsi="宋体" w:eastAsia="宋体"/>
          <w:color w:val="auto"/>
          <w:sz w:val="24"/>
          <w:szCs w:val="24"/>
          <w:highlight w:val="none"/>
          <w:lang w:val="zh-CN" w:eastAsia="zh-CN"/>
        </w:rPr>
      </w:pPr>
      <w:r>
        <w:rPr>
          <w:rFonts w:hint="eastAsia" w:ascii="宋体" w:hAnsi="宋体"/>
          <w:color w:val="auto"/>
          <w:sz w:val="24"/>
          <w:szCs w:val="24"/>
          <w:highlight w:val="none"/>
        </w:rPr>
        <w:t>3.5.4.5、中标后</w:t>
      </w:r>
      <w:r>
        <w:rPr>
          <w:rFonts w:hint="eastAsia" w:ascii="宋体" w:hAnsi="宋体"/>
          <w:color w:val="auto"/>
          <w:sz w:val="24"/>
          <w:szCs w:val="24"/>
          <w:highlight w:val="none"/>
          <w:lang w:val="zh-CN"/>
        </w:rPr>
        <w:t>除不可抗拒力或</w:t>
      </w:r>
      <w:r>
        <w:rPr>
          <w:rFonts w:hint="eastAsia" w:ascii="宋体" w:hAnsi="宋体"/>
          <w:color w:val="auto"/>
          <w:sz w:val="24"/>
          <w:szCs w:val="24"/>
          <w:highlight w:val="none"/>
        </w:rPr>
        <w:t>招标</w:t>
      </w:r>
      <w:r>
        <w:rPr>
          <w:rFonts w:hint="eastAsia" w:ascii="宋体" w:hAnsi="宋体"/>
          <w:color w:val="auto"/>
          <w:sz w:val="24"/>
          <w:szCs w:val="24"/>
          <w:highlight w:val="none"/>
          <w:lang w:val="zh-CN"/>
        </w:rPr>
        <w:t>文件认可的情形外</w:t>
      </w:r>
      <w:r>
        <w:rPr>
          <w:rFonts w:hint="eastAsia" w:ascii="宋体" w:hAnsi="宋体"/>
          <w:color w:val="auto"/>
          <w:sz w:val="24"/>
          <w:szCs w:val="24"/>
          <w:highlight w:val="none"/>
        </w:rPr>
        <w:t>，投标人应及时领取中标通知书，</w:t>
      </w:r>
      <w:r>
        <w:rPr>
          <w:rFonts w:hint="eastAsia" w:ascii="宋体" w:hAnsi="宋体"/>
          <w:color w:val="auto"/>
          <w:sz w:val="24"/>
          <w:szCs w:val="24"/>
          <w:highlight w:val="none"/>
          <w:lang w:val="zh-CN"/>
        </w:rPr>
        <w:t>在成交通知书规定时间、地点与采购人签订合同；</w:t>
      </w:r>
    </w:p>
    <w:p w14:paraId="0BA226D5">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3.5.4.6、投标人应</w:t>
      </w:r>
      <w:r>
        <w:rPr>
          <w:rFonts w:hint="eastAsia" w:ascii="宋体" w:hAnsi="宋体"/>
          <w:color w:val="auto"/>
          <w:sz w:val="24"/>
          <w:szCs w:val="24"/>
          <w:highlight w:val="none"/>
          <w:lang w:val="zh-CN"/>
        </w:rPr>
        <w:t>遵守法律法规及招标文件规定的其他情况；</w:t>
      </w:r>
    </w:p>
    <w:p w14:paraId="15B9D0E7">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3.5.4.7、投标人应按招标文件规定及时缴纳中标服务费。</w:t>
      </w:r>
    </w:p>
    <w:p w14:paraId="52CDFA78">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 违背承诺的责任追究措施</w:t>
      </w:r>
    </w:p>
    <w:p w14:paraId="73EEA456">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投标人如违背上述承诺事项，应无条件接受以下责任追究：</w:t>
      </w:r>
    </w:p>
    <w:p w14:paraId="07205BCD">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3.5.5.1</w:t>
      </w:r>
      <w:r>
        <w:rPr>
          <w:rFonts w:hint="eastAsia" w:ascii="宋体" w:hAnsi="宋体"/>
          <w:color w:val="auto"/>
          <w:sz w:val="24"/>
          <w:szCs w:val="24"/>
          <w:highlight w:val="none"/>
          <w:lang w:val="zh-CN"/>
        </w:rPr>
        <w:t>法定责任：</w:t>
      </w:r>
      <w:r>
        <w:rPr>
          <w:rFonts w:hint="eastAsia" w:ascii="宋体" w:hAnsi="宋体"/>
          <w:color w:val="auto"/>
          <w:sz w:val="24"/>
          <w:szCs w:val="24"/>
          <w:highlight w:val="none"/>
        </w:rPr>
        <w:t>按照政府采购相关法规，</w:t>
      </w:r>
      <w:r>
        <w:rPr>
          <w:rFonts w:hint="eastAsia" w:ascii="宋体" w:hAnsi="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72ABE9F5">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给采购人及他人造成损失的，应承担相应的赔偿责任。</w:t>
      </w:r>
    </w:p>
    <w:p w14:paraId="5A82BA45">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w:t>
      </w:r>
      <w:r>
        <w:rPr>
          <w:rFonts w:hint="eastAsia" w:ascii="宋体" w:hAnsi="宋体"/>
          <w:color w:val="auto"/>
          <w:sz w:val="24"/>
          <w:szCs w:val="24"/>
          <w:highlight w:val="none"/>
          <w:lang w:val="zh-CN"/>
        </w:rPr>
        <w:t>违约责任：</w:t>
      </w:r>
      <w:r>
        <w:rPr>
          <w:rFonts w:hint="eastAsia" w:ascii="宋体" w:hAnsi="宋体"/>
          <w:color w:val="auto"/>
          <w:sz w:val="24"/>
          <w:szCs w:val="24"/>
          <w:highlight w:val="none"/>
        </w:rPr>
        <w:t xml:space="preserve"> </w:t>
      </w:r>
    </w:p>
    <w:p w14:paraId="4EDF80C9">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3.5.5.2.1 已中标的，中标（成交）无效；</w:t>
      </w:r>
    </w:p>
    <w:p w14:paraId="5EC1D4EC">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3.5.5.2.2 支付采购人违约标的预算金额2%的</w:t>
      </w:r>
      <w:r>
        <w:rPr>
          <w:rFonts w:hint="eastAsia" w:ascii="宋体" w:hAnsi="宋体"/>
          <w:color w:val="auto"/>
          <w:sz w:val="24"/>
          <w:szCs w:val="24"/>
          <w:highlight w:val="none"/>
          <w:lang w:val="zh-CN"/>
        </w:rPr>
        <w:t>违约金</w:t>
      </w:r>
      <w:r>
        <w:rPr>
          <w:rFonts w:hint="eastAsia" w:ascii="宋体" w:hAnsi="宋体"/>
          <w:color w:val="auto"/>
          <w:sz w:val="24"/>
          <w:szCs w:val="24"/>
          <w:highlight w:val="none"/>
        </w:rPr>
        <w:t>；</w:t>
      </w:r>
    </w:p>
    <w:p w14:paraId="77B99E6D">
      <w:pPr>
        <w:widowControl w:val="0"/>
        <w:tabs>
          <w:tab w:val="left" w:pos="65"/>
        </w:tabs>
        <w:spacing w:line="460" w:lineRule="atLeast"/>
        <w:ind w:firstLine="480" w:firstLineChars="200"/>
        <w:textAlignment w:val="auto"/>
        <w:rPr>
          <w:rFonts w:ascii="宋体" w:cs="楷体_GB2312"/>
          <w:color w:val="auto"/>
          <w:sz w:val="24"/>
          <w:highlight w:val="none"/>
          <w:lang w:val="zh-CN"/>
        </w:rPr>
      </w:pPr>
      <w:r>
        <w:rPr>
          <w:rFonts w:hint="eastAsia" w:ascii="宋体" w:hAnsi="宋体"/>
          <w:color w:val="auto"/>
          <w:sz w:val="24"/>
          <w:szCs w:val="24"/>
          <w:highlight w:val="none"/>
        </w:rPr>
        <w:t>3.5.5.2.3中标后未缴中标服务费的，作为违约及违背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原则，在履行承诺前，代理机构将视该单位为失信企业、不予办理其后相关业务。</w:t>
      </w:r>
    </w:p>
    <w:p w14:paraId="796C6460">
      <w:pPr>
        <w:autoSpaceDE w:val="0"/>
        <w:autoSpaceDN w:val="0"/>
        <w:adjustRightInd w:val="0"/>
        <w:spacing w:before="156" w:beforeLines="50" w:line="360" w:lineRule="auto"/>
        <w:ind w:firstLine="539"/>
        <w:rPr>
          <w:rFonts w:ascii="黑体" w:hAnsi="黑体" w:eastAsia="黑体" w:cs="楷体_GB2312"/>
          <w:b/>
          <w:bCs/>
          <w:color w:val="auto"/>
          <w:sz w:val="28"/>
          <w:szCs w:val="28"/>
          <w:highlight w:val="none"/>
          <w:lang w:val="zh-CN"/>
        </w:rPr>
      </w:pPr>
      <w:r>
        <w:rPr>
          <w:rFonts w:ascii="黑体" w:hAnsi="黑体" w:eastAsia="黑体" w:cs="楷体_GB2312"/>
          <w:b/>
          <w:color w:val="auto"/>
          <w:sz w:val="24"/>
          <w:highlight w:val="none"/>
          <w:lang w:val="zh-CN"/>
        </w:rPr>
        <w:t xml:space="preserve">3.6 </w:t>
      </w:r>
      <w:r>
        <w:rPr>
          <w:rFonts w:hint="eastAsia" w:ascii="黑体" w:hAnsi="黑体" w:eastAsia="黑体" w:cs="楷体_GB2312"/>
          <w:b/>
          <w:color w:val="auto"/>
          <w:sz w:val="24"/>
          <w:highlight w:val="none"/>
          <w:lang w:val="zh-CN"/>
        </w:rPr>
        <w:t>投标资格文件：</w:t>
      </w:r>
      <w:r>
        <w:rPr>
          <w:rFonts w:hint="eastAsia" w:ascii="宋体" w:hAnsi="宋体" w:cs="楷体_GB2312"/>
          <w:color w:val="auto"/>
          <w:sz w:val="24"/>
          <w:highlight w:val="none"/>
          <w:lang w:val="zh-CN"/>
        </w:rPr>
        <w:t>要求见招标公告</w:t>
      </w:r>
    </w:p>
    <w:p w14:paraId="698BDB16">
      <w:pPr>
        <w:topLinePunct/>
        <w:adjustRightInd w:val="0"/>
        <w:snapToGrid w:val="0"/>
        <w:spacing w:before="156" w:beforeLines="50" w:line="300" w:lineRule="auto"/>
        <w:ind w:left="561" w:leftChars="267" w:firstLine="5" w:firstLineChars="2"/>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3.7</w:t>
      </w:r>
      <w:r>
        <w:rPr>
          <w:rFonts w:hint="eastAsia" w:ascii="黑体" w:hAnsi="黑体" w:eastAsia="黑体" w:cs="楷体_GB2312"/>
          <w:b/>
          <w:color w:val="auto"/>
          <w:sz w:val="24"/>
          <w:highlight w:val="none"/>
          <w:lang w:val="zh-CN"/>
        </w:rPr>
        <w:t>投标文件的编制</w:t>
      </w:r>
    </w:p>
    <w:p w14:paraId="5AAEB012">
      <w:pPr>
        <w:topLinePunct/>
        <w:adjustRightInd w:val="0"/>
        <w:snapToGrid w:val="0"/>
        <w:spacing w:before="156" w:beforeLines="50" w:line="300" w:lineRule="auto"/>
        <w:ind w:firstLine="564" w:firstLineChars="235"/>
        <w:rPr>
          <w:rFonts w:ascii="宋体" w:hAnsi="宋体" w:cs="楷体_GB2312"/>
          <w:color w:val="auto"/>
          <w:sz w:val="24"/>
          <w:highlight w:val="none"/>
          <w:lang w:val="zh-CN"/>
        </w:rPr>
      </w:pPr>
      <w:r>
        <w:rPr>
          <w:rFonts w:ascii="宋体" w:hAnsi="宋体" w:cs="楷体_GB2312"/>
          <w:color w:val="auto"/>
          <w:sz w:val="24"/>
          <w:highlight w:val="none"/>
          <w:lang w:val="zh-CN"/>
        </w:rPr>
        <w:t>3.7.1</w:t>
      </w:r>
      <w:r>
        <w:rPr>
          <w:rFonts w:hint="eastAsia" w:ascii="宋体" w:hAnsi="宋体" w:cs="楷体_GB2312"/>
          <w:color w:val="auto"/>
          <w:sz w:val="24"/>
          <w:highlight w:val="none"/>
          <w:lang w:val="zh-CN"/>
        </w:rPr>
        <w:t>投标文件应按第六章“投标文件格式”进行编写，如有必要，可以增加附页，作为投标文件的组成部分。招标文件中未列明格式的，由投标人按一般通用格式自行设计编写。</w:t>
      </w:r>
    </w:p>
    <w:p w14:paraId="2B79B2FA">
      <w:pPr>
        <w:widowControl w:val="0"/>
        <w:adjustRightInd w:val="0"/>
        <w:spacing w:before="156" w:beforeLines="50" w:line="300" w:lineRule="auto"/>
        <w:ind w:firstLine="540" w:firstLineChars="225"/>
        <w:rPr>
          <w:rFonts w:ascii="宋体" w:hAnsi="宋体"/>
          <w:color w:val="auto"/>
          <w:sz w:val="24"/>
          <w:szCs w:val="24"/>
          <w:highlight w:val="none"/>
        </w:rPr>
      </w:pPr>
      <w:r>
        <w:rPr>
          <w:rFonts w:hint="eastAsia" w:ascii="宋体" w:hAnsi="宋体" w:cs="楷体_GB2312"/>
          <w:color w:val="auto"/>
          <w:sz w:val="24"/>
          <w:highlight w:val="none"/>
          <w:lang w:val="zh-CN"/>
        </w:rPr>
        <w:t>投标文件编制后，</w:t>
      </w:r>
      <w:r>
        <w:rPr>
          <w:rFonts w:hint="eastAsia" w:ascii="宋体" w:hAnsi="宋体"/>
          <w:color w:val="auto"/>
          <w:sz w:val="24"/>
          <w:szCs w:val="24"/>
          <w:highlight w:val="none"/>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5610DB93">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 xml:space="preserve">3.7.2 </w:t>
      </w:r>
      <w:r>
        <w:rPr>
          <w:rFonts w:hint="eastAsia" w:ascii="宋体" w:hAnsi="宋体" w:cs="楷体_GB2312"/>
          <w:color w:val="auto"/>
          <w:sz w:val="24"/>
          <w:highlight w:val="none"/>
          <w:lang w:val="zh-CN"/>
        </w:rPr>
        <w:t>“投标文件格式”仅为对投标文件部分内容的格式化规范，并非投标文件所应具备的全部内容。投标人应按本章“</w:t>
      </w:r>
      <w:r>
        <w:rPr>
          <w:rFonts w:ascii="宋体" w:hAnsi="宋体" w:cs="楷体_GB2312"/>
          <w:color w:val="auto"/>
          <w:sz w:val="24"/>
          <w:highlight w:val="none"/>
          <w:lang w:val="zh-CN"/>
        </w:rPr>
        <w:t>3.2</w:t>
      </w:r>
      <w:r>
        <w:rPr>
          <w:rFonts w:hint="eastAsia" w:ascii="宋体" w:hAnsi="宋体" w:cs="楷体_GB2312"/>
          <w:color w:val="auto"/>
          <w:sz w:val="24"/>
          <w:highlight w:val="none"/>
          <w:lang w:val="zh-CN"/>
        </w:rPr>
        <w:t>投标文件的组成”列示内容编制投标文件。</w:t>
      </w:r>
    </w:p>
    <w:p w14:paraId="1F1513CE">
      <w:pPr>
        <w:adjustRightInd w:val="0"/>
        <w:snapToGrid w:val="0"/>
        <w:spacing w:before="156" w:beforeLines="50" w:line="300" w:lineRule="auto"/>
        <w:ind w:firstLine="480" w:firstLineChars="200"/>
        <w:rPr>
          <w:rFonts w:ascii="宋体" w:hAnsi="宋体" w:cs="楷体_GB2312"/>
          <w:color w:val="auto"/>
          <w:sz w:val="24"/>
          <w:highlight w:val="none"/>
          <w:lang w:val="zh-CN"/>
        </w:rPr>
      </w:pPr>
      <w:r>
        <w:rPr>
          <w:rFonts w:ascii="宋体" w:hAnsi="宋体" w:cs="楷体_GB2312"/>
          <w:color w:val="auto"/>
          <w:sz w:val="24"/>
          <w:highlight w:val="none"/>
          <w:lang w:val="zh-CN"/>
        </w:rPr>
        <w:t>3.7</w:t>
      </w:r>
      <w:r>
        <w:rPr>
          <w:rFonts w:asci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文件应当对招标文件有关标段（包）内容（范围）、采购需求（技术要求、售后服务、交付（实施）期等）、投标有效期等实质性内容作出响应。在满足招标文件实质性要求的基础上，可以提出比招标文件要求更有利于采购人的承诺。并符合招标文件偏差规定。</w:t>
      </w:r>
    </w:p>
    <w:p w14:paraId="5E5CA404">
      <w:pPr>
        <w:adjustRightInd w:val="0"/>
        <w:snapToGrid w:val="0"/>
        <w:spacing w:before="156" w:beforeLines="50" w:line="300" w:lineRule="auto"/>
        <w:ind w:firstLine="482" w:firstLineChars="200"/>
        <w:rPr>
          <w:rFonts w:asciiTheme="minorEastAsia" w:hAnsiTheme="minorEastAsia" w:eastAsiaTheme="minorEastAsia"/>
          <w:b/>
          <w:color w:val="auto"/>
          <w:sz w:val="24"/>
          <w:szCs w:val="24"/>
          <w:highlight w:val="none"/>
        </w:rPr>
      </w:pPr>
      <w:r>
        <w:rPr>
          <w:rFonts w:hint="eastAsia" w:cs="楷体_GB2312" w:asciiTheme="minorEastAsia" w:hAnsiTheme="minorEastAsia" w:eastAsiaTheme="minorEastAsia"/>
          <w:b/>
          <w:color w:val="auto"/>
          <w:sz w:val="24"/>
          <w:highlight w:val="none"/>
          <w:lang w:val="zh-CN"/>
        </w:rPr>
        <w:t>技术要求的偏离按第二章“</w:t>
      </w:r>
      <w:r>
        <w:rPr>
          <w:rFonts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sz w:val="24"/>
          <w:szCs w:val="24"/>
          <w:highlight w:val="none"/>
        </w:rPr>
        <w:t>7技术偏离”执行；其他条款如未标明为非实质性要求的，均为实质性要求，不接受负偏离。</w:t>
      </w:r>
    </w:p>
    <w:p w14:paraId="192BE139">
      <w:pPr>
        <w:adjustRightInd w:val="0"/>
        <w:snapToGrid w:val="0"/>
        <w:spacing w:before="156" w:beforeLines="50" w:line="300" w:lineRule="auto"/>
        <w:ind w:firstLine="480" w:firstLineChars="200"/>
        <w:rPr>
          <w:rFonts w:ascii="宋体" w:cs="楷体_GB2312"/>
          <w:color w:val="auto"/>
          <w:sz w:val="24"/>
          <w:highlight w:val="none"/>
          <w:lang w:val="zh-CN"/>
        </w:rPr>
      </w:pPr>
      <w:r>
        <w:rPr>
          <w:rFonts w:hint="eastAsia" w:ascii="宋体" w:hAnsi="宋体" w:cs="楷体_GB2312"/>
          <w:color w:val="auto"/>
          <w:sz w:val="24"/>
          <w:highlight w:val="none"/>
          <w:lang w:val="zh-CN"/>
        </w:rPr>
        <w:t>投标文件的所有条款与招标文件要求有任何不同之处，应按《偏差表》格式逐一填列。投标文件与招标文件所有要求存在偏差而未填列的，评标委员会有权按照实质性判断原则（实质性要求和实质性响应两因素）评定其为</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。投标人应认真编制投标文件并自负此项风险。</w:t>
      </w:r>
    </w:p>
    <w:p w14:paraId="6C7CA51F">
      <w:pPr>
        <w:autoSpaceDE w:val="0"/>
        <w:autoSpaceDN w:val="0"/>
        <w:adjustRightInd w:val="0"/>
        <w:snapToGrid w:val="0"/>
        <w:spacing w:before="156" w:beforeLines="50" w:line="300" w:lineRule="auto"/>
        <w:ind w:firstLine="539"/>
        <w:rPr>
          <w:rFonts w:ascii="宋体" w:cs="楷体_GB2312"/>
          <w:b/>
          <w:color w:val="auto"/>
          <w:sz w:val="24"/>
          <w:highlight w:val="none"/>
        </w:rPr>
      </w:pPr>
      <w:r>
        <w:rPr>
          <w:rFonts w:ascii="宋体" w:hAnsi="宋体" w:cs="楷体_GB2312"/>
          <w:b/>
          <w:color w:val="auto"/>
          <w:sz w:val="24"/>
          <w:highlight w:val="none"/>
          <w:lang w:val="zh-CN"/>
        </w:rPr>
        <w:t>3.7.</w:t>
      </w:r>
      <w:r>
        <w:rPr>
          <w:rFonts w:hint="eastAsia" w:ascii="宋体" w:hAnsi="宋体" w:cs="楷体_GB2312"/>
          <w:b/>
          <w:color w:val="auto"/>
          <w:sz w:val="24"/>
          <w:highlight w:val="none"/>
          <w:lang w:val="zh-CN"/>
        </w:rPr>
        <w:t>4</w:t>
      </w:r>
      <w:r>
        <w:rPr>
          <w:rFonts w:ascii="宋体" w:hAnsi="宋体" w:cs="楷体_GB2312"/>
          <w:b/>
          <w:color w:val="auto"/>
          <w:sz w:val="24"/>
          <w:highlight w:val="none"/>
          <w:lang w:val="zh-CN"/>
        </w:rPr>
        <w:t xml:space="preserve"> </w:t>
      </w:r>
      <w:r>
        <w:rPr>
          <w:rFonts w:hint="eastAsia" w:ascii="宋体" w:hAnsi="宋体" w:cs="楷体_GB2312"/>
          <w:b/>
          <w:color w:val="auto"/>
          <w:sz w:val="24"/>
          <w:highlight w:val="none"/>
          <w:lang w:val="zh-CN"/>
        </w:rPr>
        <w:t>投标文件</w:t>
      </w:r>
      <w:r>
        <w:rPr>
          <w:rFonts w:hint="eastAsia" w:ascii="宋体" w:hAnsi="宋体" w:cs="楷体_GB2312"/>
          <w:b/>
          <w:color w:val="auto"/>
          <w:sz w:val="24"/>
          <w:highlight w:val="none"/>
        </w:rPr>
        <w:t>应</w:t>
      </w:r>
      <w:r>
        <w:rPr>
          <w:rFonts w:hint="eastAsia" w:ascii="宋体" w:hAnsi="宋体" w:cs="楷体_GB2312"/>
          <w:b/>
          <w:color w:val="auto"/>
          <w:sz w:val="24"/>
          <w:highlight w:val="none"/>
          <w:lang w:val="zh-CN"/>
        </w:rPr>
        <w:t>按招标文件相关要求（含格式上标注的要求）、</w:t>
      </w:r>
      <w:r>
        <w:rPr>
          <w:rFonts w:hint="eastAsia" w:ascii="宋体" w:hAnsi="宋体" w:cs="楷体_GB2312"/>
          <w:b/>
          <w:color w:val="auto"/>
          <w:sz w:val="24"/>
          <w:highlight w:val="none"/>
        </w:rPr>
        <w:t>使用供应商企业数字证书进行电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签章和供应商法定代表人数字证书进行电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签名（签章）、并加密，没有使用供应商企业数字证书和供应商法定代表人数字证书进行电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签名（签章）并加密的投标文件，属于未按照招标文件要求进行签署。</w:t>
      </w:r>
    </w:p>
    <w:p w14:paraId="4C7D59D2">
      <w:pPr>
        <w:adjustRightInd w:val="0"/>
        <w:snapToGrid w:val="0"/>
        <w:spacing w:before="156" w:beforeLines="50" w:line="300" w:lineRule="auto"/>
        <w:ind w:firstLine="482" w:firstLineChars="200"/>
        <w:rPr>
          <w:rFonts w:ascii="宋体" w:hAnsi="宋体" w:cs="楷体_GB2312"/>
          <w:color w:val="auto"/>
          <w:sz w:val="24"/>
          <w:highlight w:val="none"/>
          <w:lang w:val="zh-CN"/>
        </w:rPr>
      </w:pPr>
      <w:r>
        <w:rPr>
          <w:rFonts w:hint="eastAsia" w:ascii="宋体" w:hAnsi="宋体" w:cs="楷体_GB2312"/>
          <w:b/>
          <w:color w:val="auto"/>
          <w:sz w:val="24"/>
          <w:highlight w:val="none"/>
        </w:rPr>
        <w:t>根据《中华人民共和国电子签名法》规定，可靠的电子签名与手写签名或者盖章具有同等的法律效力。本次采购活动中，供应商使用有效的企业数字证书对投标文件进行电子签章与加盖投标</w:t>
      </w:r>
      <w:r>
        <w:rPr>
          <w:rFonts w:ascii="宋体" w:hAnsi="宋体" w:cs="楷体_GB2312"/>
          <w:b/>
          <w:color w:val="auto"/>
          <w:sz w:val="24"/>
          <w:highlight w:val="none"/>
        </w:rPr>
        <w:t>人公</w:t>
      </w:r>
      <w:r>
        <w:rPr>
          <w:rFonts w:hint="eastAsia" w:ascii="宋体" w:hAnsi="宋体" w:cs="楷体_GB2312"/>
          <w:b/>
          <w:color w:val="auto"/>
          <w:sz w:val="24"/>
          <w:highlight w:val="none"/>
        </w:rPr>
        <w:t>章具有同等法律效力；供应商法定代表人使用有效的个人数字证书对投标文件进行签名（签章）与法人签章具有同等法律效力。</w:t>
      </w:r>
    </w:p>
    <w:p w14:paraId="59E2C756">
      <w:pPr>
        <w:adjustRightInd w:val="0"/>
        <w:snapToGrid w:val="0"/>
        <w:spacing w:before="156" w:beforeLines="50" w:line="300" w:lineRule="auto"/>
        <w:ind w:firstLine="480" w:firstLineChars="200"/>
        <w:rPr>
          <w:rFonts w:ascii="宋体" w:cs="楷体_GB2312"/>
          <w:color w:val="auto"/>
          <w:sz w:val="24"/>
          <w:highlight w:val="none"/>
          <w:lang w:val="zh-CN"/>
        </w:rPr>
      </w:pPr>
      <w:r>
        <w:rPr>
          <w:rFonts w:ascii="宋体" w:hAnsi="宋体" w:cs="楷体_GB2312"/>
          <w:color w:val="auto"/>
          <w:sz w:val="24"/>
          <w:highlight w:val="none"/>
          <w:lang w:val="zh-CN"/>
        </w:rPr>
        <w:t>3.7.</w:t>
      </w:r>
      <w:r>
        <w:rPr>
          <w:rFonts w:hint="eastAsia" w:ascii="宋体" w:hAnsi="宋体" w:cs="楷体_GB2312"/>
          <w:color w:val="auto"/>
          <w:sz w:val="24"/>
          <w:highlight w:val="none"/>
          <w:lang w:val="zh-CN"/>
        </w:rPr>
        <w:t>5投标人可对本招标文件中所列的所有标段（包）进行分别投标，也可选择其中一个标段（包）或几个标段（包）投标，但不得将招标文件规定的同一标段（包）的内容拆开投标，否则将按</w:t>
      </w:r>
      <w:r>
        <w:rPr>
          <w:rFonts w:hint="eastAsia" w:ascii="宋体" w:hAnsi="宋体" w:cs="楷体_GB2312"/>
          <w:b/>
          <w:color w:val="auto"/>
          <w:sz w:val="24"/>
          <w:highlight w:val="none"/>
          <w:lang w:val="zh-CN"/>
        </w:rPr>
        <w:t>无效投标处理</w:t>
      </w:r>
      <w:r>
        <w:rPr>
          <w:rFonts w:hint="eastAsia" w:ascii="宋体" w:hAnsi="宋体" w:cs="楷体_GB2312"/>
          <w:color w:val="auto"/>
          <w:sz w:val="24"/>
          <w:highlight w:val="none"/>
          <w:lang w:val="zh-CN"/>
        </w:rPr>
        <w:t>。</w:t>
      </w:r>
    </w:p>
    <w:p w14:paraId="2F1DB957">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3.7.6 </w:t>
      </w:r>
      <w:r>
        <w:rPr>
          <w:rFonts w:hint="eastAsia" w:ascii="宋体" w:hAnsi="宋体" w:cs="楷体_GB2312"/>
          <w:color w:val="auto"/>
          <w:sz w:val="24"/>
          <w:highlight w:val="none"/>
          <w:lang w:val="zh-CN"/>
        </w:rPr>
        <w:t>投标文件因字迹或表述不清所引起的后果由投标人自行负责。</w:t>
      </w:r>
    </w:p>
    <w:p w14:paraId="57CCB9B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3.7.7 </w:t>
      </w:r>
      <w:r>
        <w:rPr>
          <w:rFonts w:hint="eastAsia" w:ascii="宋体" w:hAnsi="宋体" w:cs="楷体_GB2312"/>
          <w:color w:val="auto"/>
          <w:sz w:val="24"/>
          <w:highlight w:val="none"/>
          <w:lang w:val="zh-CN"/>
        </w:rPr>
        <w:t>未按上述要求提供的投标文件将视为</w:t>
      </w:r>
      <w:r>
        <w:rPr>
          <w:rFonts w:hint="eastAsia" w:ascii="宋体" w:hAnsi="宋体" w:cs="楷体_GB2312"/>
          <w:b/>
          <w:color w:val="auto"/>
          <w:sz w:val="24"/>
          <w:highlight w:val="none"/>
          <w:lang w:val="zh-CN"/>
        </w:rPr>
        <w:t>无效投标。</w:t>
      </w:r>
    </w:p>
    <w:p w14:paraId="52E83D65">
      <w:pPr>
        <w:autoSpaceDE w:val="0"/>
        <w:autoSpaceDN w:val="0"/>
        <w:adjustRightInd w:val="0"/>
        <w:spacing w:line="360" w:lineRule="auto"/>
        <w:ind w:firstLine="539"/>
        <w:rPr>
          <w:rFonts w:ascii="黑体" w:hAnsi="黑体" w:eastAsia="黑体" w:cs="楷体_GB2312"/>
          <w:b/>
          <w:bCs/>
          <w:color w:val="auto"/>
          <w:sz w:val="28"/>
          <w:szCs w:val="28"/>
          <w:highlight w:val="none"/>
          <w:lang w:val="zh-CN"/>
        </w:rPr>
      </w:pPr>
    </w:p>
    <w:p w14:paraId="165AED88">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27" w:name="_Toc169770938"/>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投标</w:t>
      </w:r>
      <w:bookmarkEnd w:id="27"/>
    </w:p>
    <w:p w14:paraId="4A00E771">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4.1 </w:t>
      </w:r>
      <w:r>
        <w:rPr>
          <w:rFonts w:hint="eastAsia" w:ascii="黑体" w:hAnsi="黑体" w:eastAsia="黑体" w:cs="楷体_GB2312"/>
          <w:b/>
          <w:color w:val="auto"/>
          <w:sz w:val="24"/>
          <w:highlight w:val="none"/>
          <w:lang w:val="zh-CN"/>
        </w:rPr>
        <w:t>投标文件的密封和标记：</w:t>
      </w:r>
    </w:p>
    <w:p w14:paraId="7E90DB4E">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28" w:name="OLE_LINK2"/>
      <w:r>
        <w:rPr>
          <w:rFonts w:ascii="宋体" w:hAnsi="宋体" w:cs="楷体_GB2312"/>
          <w:b/>
          <w:color w:val="auto"/>
          <w:sz w:val="24"/>
          <w:highlight w:val="none"/>
          <w:lang w:val="zh-CN"/>
        </w:rPr>
        <w:t xml:space="preserve">4.1.1 </w:t>
      </w:r>
      <w:r>
        <w:rPr>
          <w:rFonts w:hint="eastAsia" w:ascii="宋体" w:hAnsi="宋体" w:cs="楷体_GB2312"/>
          <w:b/>
          <w:color w:val="auto"/>
          <w:sz w:val="24"/>
          <w:highlight w:val="none"/>
          <w:lang w:val="zh-CN"/>
        </w:rPr>
        <w:t>投标文件应</w:t>
      </w:r>
      <w:r>
        <w:rPr>
          <w:rFonts w:ascii="宋体" w:hAnsi="宋体" w:cs="楷体_GB2312"/>
          <w:b/>
          <w:color w:val="auto"/>
          <w:sz w:val="24"/>
          <w:highlight w:val="none"/>
          <w:lang w:val="zh-CN"/>
        </w:rPr>
        <w:t>当</w:t>
      </w:r>
      <w:r>
        <w:rPr>
          <w:rFonts w:hint="eastAsia" w:ascii="宋体" w:hAnsi="宋体" w:cs="楷体_GB2312"/>
          <w:b/>
          <w:color w:val="auto"/>
          <w:sz w:val="24"/>
          <w:highlight w:val="none"/>
          <w:lang w:val="zh-CN"/>
        </w:rPr>
        <w:t>按网上电子交易系统要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进行</w:t>
      </w:r>
      <w:r>
        <w:rPr>
          <w:rFonts w:ascii="宋体" w:hAnsi="宋体" w:cs="楷体_GB2312"/>
          <w:b/>
          <w:color w:val="auto"/>
          <w:sz w:val="24"/>
          <w:highlight w:val="none"/>
          <w:lang w:val="zh-CN"/>
        </w:rPr>
        <w:t>加密</w:t>
      </w:r>
      <w:r>
        <w:rPr>
          <w:rFonts w:hint="eastAsia" w:ascii="宋体" w:hAnsi="宋体" w:cs="楷体_GB2312"/>
          <w:b/>
          <w:color w:val="auto"/>
          <w:sz w:val="24"/>
          <w:highlight w:val="none"/>
          <w:lang w:val="zh-CN"/>
        </w:rPr>
        <w:t>和标记，</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投标文件提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截止时间前，将</w:t>
      </w:r>
      <w:r>
        <w:rPr>
          <w:rFonts w:ascii="宋体" w:hAnsi="宋体" w:cs="楷体_GB2312"/>
          <w:b/>
          <w:color w:val="auto"/>
          <w:sz w:val="24"/>
          <w:highlight w:val="none"/>
          <w:lang w:val="zh-CN"/>
        </w:rPr>
        <w:t>加密的</w:t>
      </w:r>
      <w:r>
        <w:rPr>
          <w:rFonts w:hint="eastAsia" w:ascii="宋体" w:hAnsi="宋体" w:cs="楷体_GB2312"/>
          <w:b/>
          <w:color w:val="auto"/>
          <w:sz w:val="24"/>
          <w:highlight w:val="none"/>
          <w:lang w:val="zh-CN"/>
        </w:rPr>
        <w:t>投标文件</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传至招标公告所述网上电子交易系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w:t>
      </w:r>
    </w:p>
    <w:p w14:paraId="245845A7">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29" w:name="OLE_LINK1"/>
      <w:r>
        <w:rPr>
          <w:rFonts w:ascii="宋体" w:hAnsi="宋体" w:cs="楷体_GB2312"/>
          <w:b/>
          <w:color w:val="auto"/>
          <w:sz w:val="24"/>
          <w:highlight w:val="none"/>
          <w:lang w:val="zh-CN"/>
        </w:rPr>
        <w:t xml:space="preserve">4.1.2 </w:t>
      </w:r>
      <w:r>
        <w:rPr>
          <w:rFonts w:hint="eastAsia" w:ascii="宋体" w:hAnsi="宋体" w:cs="楷体_GB2312"/>
          <w:b/>
          <w:color w:val="auto"/>
          <w:sz w:val="24"/>
          <w:highlight w:val="none"/>
          <w:lang w:val="zh-CN"/>
        </w:rPr>
        <w:t>投标文件没有按照上述要求进行</w:t>
      </w:r>
      <w:r>
        <w:rPr>
          <w:rFonts w:ascii="宋体" w:hAnsi="宋体" w:cs="楷体_GB2312"/>
          <w:b/>
          <w:color w:val="auto"/>
          <w:sz w:val="24"/>
          <w:highlight w:val="none"/>
          <w:lang w:val="zh-CN"/>
        </w:rPr>
        <w:t>加密</w:t>
      </w:r>
      <w:r>
        <w:rPr>
          <w:rFonts w:hint="eastAsia" w:ascii="黑体" w:hAnsi="黑体" w:eastAsia="黑体" w:cs="楷体_GB2312"/>
          <w:b/>
          <w:color w:val="auto"/>
          <w:sz w:val="24"/>
          <w:highlight w:val="none"/>
          <w:lang w:val="zh-CN"/>
        </w:rPr>
        <w:t>和标记</w:t>
      </w:r>
      <w:r>
        <w:rPr>
          <w:rFonts w:hint="eastAsia" w:ascii="宋体" w:hAnsi="宋体" w:cs="楷体_GB2312"/>
          <w:b/>
          <w:color w:val="auto"/>
          <w:sz w:val="24"/>
          <w:highlight w:val="none"/>
          <w:lang w:val="zh-CN"/>
        </w:rPr>
        <w:t>的、网上电子交易系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将</w:t>
      </w:r>
      <w:r>
        <w:rPr>
          <w:rFonts w:ascii="宋体" w:hAnsi="宋体" w:cs="楷体_GB2312"/>
          <w:b/>
          <w:color w:val="auto"/>
          <w:sz w:val="24"/>
          <w:highlight w:val="none"/>
          <w:lang w:val="zh-CN"/>
        </w:rPr>
        <w:t>据系统设定</w:t>
      </w:r>
      <w:r>
        <w:rPr>
          <w:rFonts w:hint="eastAsia" w:ascii="宋体" w:hAnsi="宋体" w:cs="楷体_GB2312"/>
          <w:b/>
          <w:color w:val="auto"/>
          <w:sz w:val="24"/>
          <w:highlight w:val="none"/>
          <w:lang w:val="zh-CN"/>
        </w:rPr>
        <w:t>拒收其投标文件，投标人应自负该项风险，采购代理机构对可能产</w:t>
      </w:r>
      <w:r>
        <w:rPr>
          <w:rFonts w:ascii="宋体" w:hAnsi="宋体" w:cs="楷体_GB2312"/>
          <w:b/>
          <w:color w:val="auto"/>
          <w:sz w:val="24"/>
          <w:highlight w:val="none"/>
          <w:lang w:val="zh-CN"/>
        </w:rPr>
        <w:t>生的</w:t>
      </w:r>
      <w:r>
        <w:rPr>
          <w:rFonts w:hint="eastAsia" w:ascii="宋体" w:hAnsi="宋体" w:cs="楷体_GB2312"/>
          <w:b/>
          <w:color w:val="auto"/>
          <w:sz w:val="24"/>
          <w:highlight w:val="none"/>
          <w:lang w:val="zh-CN"/>
        </w:rPr>
        <w:t>误投或提前启封概不负责。</w:t>
      </w:r>
      <w:bookmarkEnd w:id="29"/>
    </w:p>
    <w:bookmarkEnd w:id="28"/>
    <w:p w14:paraId="44CA59B2">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4.2 </w:t>
      </w:r>
      <w:r>
        <w:rPr>
          <w:rFonts w:hint="eastAsia" w:ascii="黑体" w:hAnsi="黑体" w:eastAsia="黑体" w:cs="楷体_GB2312"/>
          <w:b/>
          <w:color w:val="auto"/>
          <w:sz w:val="24"/>
          <w:highlight w:val="none"/>
          <w:lang w:val="zh-CN"/>
        </w:rPr>
        <w:t>投标文件的递交</w:t>
      </w:r>
    </w:p>
    <w:p w14:paraId="241A0CD9">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color w:val="auto"/>
          <w:sz w:val="24"/>
          <w:highlight w:val="none"/>
          <w:lang w:val="zh-CN"/>
        </w:rPr>
        <w:t>4.2.1</w:t>
      </w:r>
      <w:r>
        <w:rPr>
          <w:rFonts w:hint="eastAsia" w:ascii="宋体" w:hAnsi="宋体"/>
          <w:color w:val="auto"/>
          <w:sz w:val="24"/>
          <w:szCs w:val="24"/>
          <w:highlight w:val="none"/>
        </w:rPr>
        <w:t>投标人应在投标截止时间前上传加密的电子投标文件（*.aytf）到安阳市公共资源交易平台。上传时投标人须使用制作该投标文件的同一CA锁进行上传操作。请投标人在上传时认真检查上传投标文件是否完整、正确。供应商应充分考虑上传文件时的不可预见因素，未在投标截止时间前完成上传的，视为逾期送达，安阳市公共资源交易平台将拒绝接收。</w:t>
      </w:r>
    </w:p>
    <w:p w14:paraId="019A6F0A">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4.2.2 </w:t>
      </w:r>
      <w:r>
        <w:rPr>
          <w:rFonts w:hint="eastAsia" w:ascii="宋体" w:hAnsi="宋体" w:cs="楷体_GB2312"/>
          <w:color w:val="auto"/>
          <w:sz w:val="24"/>
          <w:highlight w:val="none"/>
          <w:lang w:val="zh-CN"/>
        </w:rPr>
        <w:t>据网上电子交易系统设</w:t>
      </w:r>
      <w:r>
        <w:rPr>
          <w:rFonts w:ascii="宋体" w:hAnsi="宋体" w:cs="楷体_GB2312"/>
          <w:color w:val="auto"/>
          <w:sz w:val="24"/>
          <w:highlight w:val="none"/>
          <w:lang w:val="zh-CN"/>
        </w:rPr>
        <w:t>定，</w:t>
      </w:r>
      <w:r>
        <w:rPr>
          <w:rFonts w:hint="eastAsia" w:ascii="宋体" w:hAnsi="宋体" w:cs="楷体_GB2312"/>
          <w:color w:val="auto"/>
          <w:sz w:val="24"/>
          <w:highlight w:val="none"/>
          <w:lang w:val="zh-CN"/>
        </w:rPr>
        <w:t>投标文件提交截止时间后，系统将自动锁定已经提交的电子投标文件，拒绝再次提交。投</w:t>
      </w:r>
      <w:r>
        <w:rPr>
          <w:rFonts w:ascii="宋体" w:hAnsi="宋体" w:cs="楷体_GB2312"/>
          <w:color w:val="auto"/>
          <w:sz w:val="24"/>
          <w:highlight w:val="none"/>
          <w:lang w:val="zh-CN"/>
        </w:rPr>
        <w:t>标人</w:t>
      </w:r>
      <w:r>
        <w:rPr>
          <w:rFonts w:hint="eastAsia" w:ascii="宋体" w:hAnsi="宋体" w:cs="楷体_GB2312"/>
          <w:color w:val="auto"/>
          <w:sz w:val="24"/>
          <w:highlight w:val="none"/>
          <w:lang w:val="zh-CN"/>
        </w:rPr>
        <w:t>将无法通过网上电子交易系统进行上传，采购代理机构将无法接受并拒绝接受投标截止时间以后提</w:t>
      </w:r>
      <w:r>
        <w:rPr>
          <w:rFonts w:ascii="宋体" w:hAnsi="宋体" w:cs="楷体_GB2312"/>
          <w:color w:val="auto"/>
          <w:sz w:val="24"/>
          <w:highlight w:val="none"/>
          <w:lang w:val="zh-CN"/>
        </w:rPr>
        <w:t>交</w:t>
      </w:r>
      <w:r>
        <w:rPr>
          <w:rFonts w:hint="eastAsia" w:ascii="宋体" w:hAnsi="宋体" w:cs="楷体_GB2312"/>
          <w:color w:val="auto"/>
          <w:sz w:val="24"/>
          <w:highlight w:val="none"/>
          <w:lang w:val="zh-CN"/>
        </w:rPr>
        <w:t>的投标文件</w:t>
      </w:r>
    </w:p>
    <w:p w14:paraId="76134B4A">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4.2.3 </w:t>
      </w:r>
      <w:r>
        <w:rPr>
          <w:rFonts w:hint="eastAsia" w:ascii="宋体" w:hAnsi="宋体" w:cs="楷体_GB2312"/>
          <w:color w:val="auto"/>
          <w:sz w:val="24"/>
          <w:highlight w:val="none"/>
          <w:lang w:val="zh-CN"/>
        </w:rPr>
        <w:t>由于不可抗拒的原因，代理机构对投标文件的遗失和损坏不负任何责任。</w:t>
      </w:r>
    </w:p>
    <w:p w14:paraId="78BD49C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4.2.4 </w:t>
      </w:r>
      <w:r>
        <w:rPr>
          <w:rFonts w:hint="eastAsia" w:ascii="宋体" w:hAnsi="宋体" w:cs="楷体_GB2312"/>
          <w:color w:val="auto"/>
          <w:sz w:val="24"/>
          <w:highlight w:val="none"/>
          <w:lang w:val="zh-CN"/>
        </w:rPr>
        <w:t>除投标人须知前附表另有规定外，投标人所递交的投标文件不予退还。</w:t>
      </w:r>
    </w:p>
    <w:p w14:paraId="35363C91">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4.2.5 </w:t>
      </w:r>
      <w:r>
        <w:rPr>
          <w:rFonts w:hint="eastAsia" w:ascii="宋体" w:hAnsi="宋体" w:cs="楷体_GB2312"/>
          <w:b/>
          <w:color w:val="auto"/>
          <w:sz w:val="24"/>
          <w:highlight w:val="none"/>
          <w:lang w:val="zh-CN"/>
        </w:rPr>
        <w:t>基于</w:t>
      </w:r>
      <w:r>
        <w:rPr>
          <w:rFonts w:ascii="宋体" w:hAnsi="宋体" w:cs="楷体_GB2312"/>
          <w:b/>
          <w:color w:val="auto"/>
          <w:sz w:val="24"/>
          <w:highlight w:val="none"/>
          <w:lang w:val="zh-CN"/>
        </w:rPr>
        <w:t>网上电子交易的</w:t>
      </w:r>
      <w:r>
        <w:rPr>
          <w:rFonts w:hint="eastAsia" w:ascii="宋体" w:hAnsi="宋体" w:cs="楷体_GB2312"/>
          <w:b/>
          <w:color w:val="auto"/>
          <w:sz w:val="24"/>
          <w:highlight w:val="none"/>
          <w:lang w:val="zh-CN"/>
        </w:rPr>
        <w:t>系统</w:t>
      </w:r>
      <w:r>
        <w:rPr>
          <w:rFonts w:ascii="宋体" w:hAnsi="宋体" w:cs="楷体_GB2312"/>
          <w:b/>
          <w:color w:val="auto"/>
          <w:sz w:val="24"/>
          <w:highlight w:val="none"/>
          <w:lang w:val="zh-CN"/>
        </w:rPr>
        <w:t>要求及</w:t>
      </w:r>
      <w:r>
        <w:rPr>
          <w:rFonts w:hint="eastAsia" w:ascii="宋体" w:hAnsi="宋体" w:cs="楷体_GB2312"/>
          <w:b/>
          <w:color w:val="auto"/>
          <w:sz w:val="24"/>
          <w:highlight w:val="none"/>
          <w:lang w:val="zh-CN"/>
        </w:rPr>
        <w:t>特点</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只</w:t>
      </w:r>
      <w:r>
        <w:rPr>
          <w:rFonts w:ascii="宋体" w:hAnsi="宋体" w:cs="楷体_GB2312"/>
          <w:b/>
          <w:color w:val="auto"/>
          <w:sz w:val="24"/>
          <w:highlight w:val="none"/>
          <w:lang w:val="zh-CN"/>
        </w:rPr>
        <w:t>接受基于</w:t>
      </w:r>
      <w:r>
        <w:rPr>
          <w:rFonts w:hint="eastAsia" w:ascii="宋体" w:hAnsi="宋体" w:cs="楷体_GB2312"/>
          <w:b/>
          <w:color w:val="auto"/>
          <w:sz w:val="24"/>
          <w:highlight w:val="none"/>
          <w:lang w:val="zh-CN"/>
        </w:rPr>
        <w:t>符</w:t>
      </w:r>
      <w:r>
        <w:rPr>
          <w:rFonts w:ascii="宋体" w:hAnsi="宋体" w:cs="楷体_GB2312"/>
          <w:b/>
          <w:color w:val="auto"/>
          <w:sz w:val="24"/>
          <w:highlight w:val="none"/>
          <w:lang w:val="zh-CN"/>
        </w:rPr>
        <w:t>合</w:t>
      </w:r>
      <w:r>
        <w:rPr>
          <w:rFonts w:hint="eastAsia" w:ascii="宋体" w:hAnsi="宋体" w:cs="楷体_GB2312"/>
          <w:b/>
          <w:color w:val="auto"/>
          <w:sz w:val="24"/>
          <w:highlight w:val="none"/>
          <w:lang w:val="zh-CN"/>
        </w:rPr>
        <w:t>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的</w:t>
      </w:r>
      <w:r>
        <w:rPr>
          <w:rFonts w:ascii="宋体" w:hAnsi="宋体" w:cs="楷体_GB2312"/>
          <w:b/>
          <w:color w:val="auto"/>
          <w:sz w:val="24"/>
          <w:highlight w:val="none"/>
          <w:lang w:val="zh-CN"/>
        </w:rPr>
        <w:t>投标</w:t>
      </w:r>
      <w:r>
        <w:rPr>
          <w:rFonts w:hint="eastAsia" w:ascii="宋体" w:hAnsi="宋体" w:cs="楷体_GB2312"/>
          <w:b/>
          <w:color w:val="auto"/>
          <w:sz w:val="24"/>
          <w:highlight w:val="none"/>
          <w:lang w:val="zh-CN"/>
        </w:rPr>
        <w:t>，</w:t>
      </w:r>
      <w:r>
        <w:rPr>
          <w:rFonts w:ascii="宋体" w:hAnsi="宋体" w:cs="楷体_GB2312"/>
          <w:b/>
          <w:color w:val="auto"/>
          <w:sz w:val="24"/>
          <w:highlight w:val="none"/>
          <w:lang w:val="zh-CN"/>
        </w:rPr>
        <w:t>其他如纸制、送达、</w:t>
      </w:r>
      <w:r>
        <w:rPr>
          <w:rFonts w:hint="eastAsia" w:ascii="宋体" w:hAnsi="宋体" w:cs="楷体_GB2312"/>
          <w:b/>
          <w:color w:val="auto"/>
          <w:sz w:val="24"/>
          <w:highlight w:val="none"/>
          <w:lang w:val="zh-CN"/>
        </w:rPr>
        <w:t>电报、电话、电子邮件等形式的投标概不接受。</w:t>
      </w:r>
    </w:p>
    <w:p w14:paraId="730C3C49">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4.3 </w:t>
      </w:r>
      <w:r>
        <w:rPr>
          <w:rFonts w:hint="eastAsia" w:ascii="黑体" w:hAnsi="黑体" w:eastAsia="黑体" w:cs="楷体_GB2312"/>
          <w:b/>
          <w:color w:val="auto"/>
          <w:sz w:val="24"/>
          <w:highlight w:val="none"/>
          <w:lang w:val="zh-CN"/>
        </w:rPr>
        <w:t>投标文件的修改与撤回</w:t>
      </w:r>
      <w:r>
        <w:rPr>
          <w:rFonts w:hint="eastAsia" w:ascii="宋体" w:hAnsi="宋体" w:cs="楷体_GB2312"/>
          <w:color w:val="auto"/>
          <w:sz w:val="24"/>
          <w:highlight w:val="none"/>
          <w:lang w:val="zh-CN"/>
        </w:rPr>
        <w:t>：</w:t>
      </w:r>
    </w:p>
    <w:p w14:paraId="1EBBF8E2">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4.3.1</w:t>
      </w:r>
      <w:r>
        <w:rPr>
          <w:rFonts w:hint="eastAsia" w:ascii="宋体" w:hAnsi="宋体" w:cs="楷体_GB2312"/>
          <w:b/>
          <w:color w:val="auto"/>
          <w:sz w:val="24"/>
          <w:highlight w:val="none"/>
          <w:lang w:val="zh-CN"/>
        </w:rPr>
        <w:t xml:space="preserve"> 投标人于提交投标文件截止时间前如对投标文件进行补充、修改，可以上传新的投标文件进行覆盖。投标人如撤回投标文件，应及时书面通知采购代理机构进行办理。</w:t>
      </w:r>
    </w:p>
    <w:p w14:paraId="4E902112">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w:t>
      </w:r>
      <w:r>
        <w:rPr>
          <w:rFonts w:hint="eastAsia" w:ascii="宋体" w:hAnsi="宋体" w:cs="楷体_GB2312"/>
          <w:b/>
          <w:color w:val="auto"/>
          <w:sz w:val="24"/>
          <w:highlight w:val="none"/>
          <w:lang w:val="zh-CN"/>
        </w:rPr>
        <w:t>2 投标人在投标文件提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截止时间后不得自行修改或撤回其投标，否则依据招标文件“第三章3.5.5 违背承诺的责任追究措施”，投标人承担相应法律责任及违约责任。</w:t>
      </w:r>
    </w:p>
    <w:p w14:paraId="27E8428A">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1D5C0BCE">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30" w:name="_Toc169770939"/>
      <w:r>
        <w:rPr>
          <w:rFonts w:ascii="黑体" w:hAnsi="黑体" w:eastAsia="黑体" w:cs="楷体_GB2312"/>
          <w:b/>
          <w:bCs/>
          <w:color w:val="auto"/>
          <w:sz w:val="28"/>
          <w:szCs w:val="28"/>
          <w:highlight w:val="none"/>
          <w:lang w:val="zh-CN"/>
        </w:rPr>
        <w:t xml:space="preserve">5 </w:t>
      </w:r>
      <w:r>
        <w:rPr>
          <w:rFonts w:hint="eastAsia" w:ascii="黑体" w:hAnsi="黑体" w:eastAsia="黑体" w:cs="楷体_GB2312"/>
          <w:b/>
          <w:bCs/>
          <w:color w:val="auto"/>
          <w:sz w:val="28"/>
          <w:szCs w:val="28"/>
          <w:highlight w:val="none"/>
          <w:lang w:val="zh-CN"/>
        </w:rPr>
        <w:t>开标</w:t>
      </w:r>
      <w:bookmarkEnd w:id="30"/>
    </w:p>
    <w:p w14:paraId="70FB6D4F">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5.1 </w:t>
      </w:r>
      <w:r>
        <w:rPr>
          <w:rFonts w:hint="eastAsia" w:ascii="黑体" w:hAnsi="黑体" w:eastAsia="黑体" w:cs="楷体_GB2312"/>
          <w:b/>
          <w:color w:val="auto"/>
          <w:sz w:val="24"/>
          <w:highlight w:val="none"/>
          <w:lang w:val="zh-CN"/>
        </w:rPr>
        <w:t>开标时间和地点</w:t>
      </w:r>
    </w:p>
    <w:p w14:paraId="5EC5128C">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5.1.1 </w:t>
      </w:r>
      <w:r>
        <w:rPr>
          <w:rFonts w:hint="eastAsia" w:ascii="宋体" w:hAnsi="宋体" w:cs="楷体_GB2312"/>
          <w:color w:val="auto"/>
          <w:sz w:val="24"/>
          <w:highlight w:val="none"/>
          <w:lang w:val="zh-CN"/>
        </w:rPr>
        <w:t>采购人和采购代理机构按招标公告规定的时间和地点于</w:t>
      </w:r>
      <w:r>
        <w:rPr>
          <w:rFonts w:ascii="宋体" w:hAnsi="宋体" w:cs="楷体_GB2312"/>
          <w:color w:val="auto"/>
          <w:sz w:val="24"/>
          <w:highlight w:val="none"/>
          <w:lang w:val="zh-CN"/>
        </w:rPr>
        <w:t>网上</w:t>
      </w:r>
      <w:r>
        <w:rPr>
          <w:rFonts w:hint="eastAsia" w:ascii="宋体" w:hAnsi="宋体" w:cs="楷体_GB2312"/>
          <w:color w:val="auto"/>
          <w:sz w:val="24"/>
          <w:highlight w:val="none"/>
          <w:lang w:val="zh-CN"/>
        </w:rPr>
        <w:t>（招标公告所述网上电子交易系统</w:t>
      </w:r>
      <w:r>
        <w:rPr>
          <w:rFonts w:ascii="宋体" w:hAnsi="宋体" w:cs="楷体_GB2312"/>
          <w:color w:val="auto"/>
          <w:sz w:val="24"/>
          <w:highlight w:val="none"/>
          <w:lang w:val="zh-CN"/>
        </w:rPr>
        <w:t>）</w:t>
      </w:r>
      <w:r>
        <w:rPr>
          <w:rFonts w:hint="eastAsia" w:ascii="宋体" w:hAnsi="宋体" w:cs="楷体_GB2312"/>
          <w:color w:val="auto"/>
          <w:sz w:val="24"/>
          <w:highlight w:val="none"/>
          <w:lang w:val="zh-CN"/>
        </w:rPr>
        <w:t>公开开标。</w:t>
      </w:r>
    </w:p>
    <w:p w14:paraId="45D6DF07">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5.1.2</w:t>
      </w:r>
      <w:r>
        <w:rPr>
          <w:rFonts w:hint="eastAsia" w:ascii="宋体" w:hAnsi="宋体" w:cs="楷体_GB2312"/>
          <w:color w:val="auto"/>
          <w:sz w:val="24"/>
          <w:highlight w:val="none"/>
          <w:lang w:val="zh-CN"/>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因投标人原因未能解密、解密失败或解密超时的将被拒绝。</w:t>
      </w:r>
    </w:p>
    <w:p w14:paraId="5BC221BB">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5.2 </w:t>
      </w:r>
      <w:r>
        <w:rPr>
          <w:rFonts w:hint="eastAsia" w:ascii="黑体" w:hAnsi="黑体" w:eastAsia="黑体" w:cs="楷体_GB2312"/>
          <w:b/>
          <w:color w:val="auto"/>
          <w:sz w:val="24"/>
          <w:highlight w:val="none"/>
          <w:lang w:val="zh-CN"/>
        </w:rPr>
        <w:t>开标程序</w:t>
      </w:r>
    </w:p>
    <w:p w14:paraId="4F198D75">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5.2.1</w:t>
      </w:r>
      <w:r>
        <w:rPr>
          <w:rFonts w:hint="eastAsia" w:ascii="宋体" w:hAnsi="宋体" w:cs="楷体_GB2312"/>
          <w:color w:val="auto"/>
          <w:sz w:val="24"/>
          <w:highlight w:val="none"/>
          <w:lang w:val="zh-CN"/>
        </w:rPr>
        <w:t xml:space="preserve"> 本项目为网</w:t>
      </w:r>
      <w:r>
        <w:rPr>
          <w:rFonts w:ascii="宋体" w:hAnsi="宋体" w:cs="楷体_GB2312"/>
          <w:color w:val="auto"/>
          <w:sz w:val="24"/>
          <w:highlight w:val="none"/>
          <w:lang w:val="zh-CN"/>
        </w:rPr>
        <w:t>上</w:t>
      </w:r>
      <w:r>
        <w:rPr>
          <w:rFonts w:hint="eastAsia" w:ascii="宋体" w:hAnsi="宋体" w:cs="楷体_GB2312"/>
          <w:color w:val="auto"/>
          <w:sz w:val="24"/>
          <w:highlight w:val="none"/>
          <w:lang w:val="zh-CN"/>
        </w:rPr>
        <w:t>电子交易方</w:t>
      </w:r>
      <w:r>
        <w:rPr>
          <w:rFonts w:ascii="宋体" w:hAnsi="宋体" w:cs="楷体_GB2312"/>
          <w:color w:val="auto"/>
          <w:sz w:val="24"/>
          <w:highlight w:val="none"/>
          <w:lang w:val="zh-CN"/>
        </w:rPr>
        <w:t>式，</w:t>
      </w:r>
      <w:r>
        <w:rPr>
          <w:rFonts w:hint="eastAsia" w:ascii="宋体" w:hAnsi="宋体" w:cs="楷体_GB2312"/>
          <w:color w:val="auto"/>
          <w:sz w:val="24"/>
          <w:highlight w:val="none"/>
          <w:lang w:val="zh-CN"/>
        </w:rPr>
        <w:t>投标文件的开启方式为远程解密，为保证开标工作顺利进行，投标人需在开标阶段</w:t>
      </w:r>
      <w:r>
        <w:rPr>
          <w:rFonts w:ascii="宋体" w:hAnsi="宋体" w:cs="楷体_GB2312"/>
          <w:color w:val="auto"/>
          <w:sz w:val="24"/>
          <w:highlight w:val="none"/>
          <w:lang w:val="zh-CN"/>
        </w:rPr>
        <w:t>、在</w:t>
      </w:r>
      <w:r>
        <w:rPr>
          <w:rFonts w:hint="eastAsia" w:ascii="宋体" w:hAnsi="宋体" w:cs="楷体_GB2312"/>
          <w:color w:val="auto"/>
          <w:sz w:val="24"/>
          <w:highlight w:val="none"/>
          <w:lang w:val="zh-CN"/>
        </w:rPr>
        <w:t>管理员下达解密指令后的指定时限内，完成对本单位的加密投标文件的远程解密。如投标人因自身原因、在指定时限内没</w:t>
      </w:r>
      <w:r>
        <w:rPr>
          <w:rFonts w:ascii="宋体" w:hAnsi="宋体" w:cs="楷体_GB2312"/>
          <w:color w:val="auto"/>
          <w:sz w:val="24"/>
          <w:highlight w:val="none"/>
          <w:lang w:val="zh-CN"/>
        </w:rPr>
        <w:t>有</w:t>
      </w:r>
      <w:r>
        <w:rPr>
          <w:rFonts w:hint="eastAsia" w:ascii="宋体" w:hAnsi="宋体" w:cs="楷体_GB2312"/>
          <w:color w:val="auto"/>
          <w:sz w:val="24"/>
          <w:highlight w:val="none"/>
          <w:lang w:val="zh-CN"/>
        </w:rPr>
        <w:t>解密成功的，其投标将不能被接受，投标人自行承担相应后果</w:t>
      </w:r>
    </w:p>
    <w:p w14:paraId="7FA76365">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鉴于网上电子交易方式的特点，管理员将根据系统情况下达解密指令。</w:t>
      </w:r>
    </w:p>
    <w:p w14:paraId="3A092F05">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5.2.2</w:t>
      </w:r>
      <w:r>
        <w:rPr>
          <w:rFonts w:hint="eastAsia" w:ascii="宋体" w:hAnsi="宋体" w:cs="楷体_GB2312"/>
          <w:color w:val="auto"/>
          <w:sz w:val="24"/>
          <w:highlight w:val="none"/>
          <w:lang w:val="zh-CN"/>
        </w:rPr>
        <w:t xml:space="preserve"> 投标人对开标过程和开标记录有疑义，以及认为采购人、采购代理机构相关工作人员有需要回避的情形的，应在系统中提出询问或者回避申请，否则，视为对开标无异议。</w:t>
      </w:r>
    </w:p>
    <w:p w14:paraId="76D8343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5.2.3  </w:t>
      </w:r>
      <w:r>
        <w:rPr>
          <w:rFonts w:hint="eastAsia" w:ascii="宋体" w:hAnsi="宋体" w:cs="楷体_GB2312"/>
          <w:color w:val="auto"/>
          <w:sz w:val="24"/>
          <w:highlight w:val="none"/>
          <w:lang w:val="zh-CN"/>
        </w:rPr>
        <w:t>投标人不足</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家的，将不予开标。</w:t>
      </w:r>
    </w:p>
    <w:p w14:paraId="5AE65C2B">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579A018A">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31" w:name="_Toc169770940"/>
      <w:r>
        <w:rPr>
          <w:rFonts w:ascii="黑体" w:hAnsi="黑体" w:eastAsia="黑体" w:cs="楷体_GB2312"/>
          <w:b/>
          <w:bCs/>
          <w:color w:val="auto"/>
          <w:sz w:val="28"/>
          <w:szCs w:val="28"/>
          <w:highlight w:val="none"/>
          <w:lang w:val="zh-CN"/>
        </w:rPr>
        <w:t xml:space="preserve">6 </w:t>
      </w:r>
      <w:r>
        <w:rPr>
          <w:rFonts w:hint="eastAsia" w:ascii="黑体" w:hAnsi="黑体" w:eastAsia="黑体" w:cs="楷体_GB2312"/>
          <w:b/>
          <w:bCs/>
          <w:color w:val="auto"/>
          <w:sz w:val="28"/>
          <w:szCs w:val="28"/>
          <w:highlight w:val="none"/>
          <w:lang w:val="zh-CN"/>
        </w:rPr>
        <w:t>资格性审查</w:t>
      </w:r>
      <w:bookmarkEnd w:id="31"/>
    </w:p>
    <w:p w14:paraId="59398306">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6.1 </w:t>
      </w:r>
      <w:r>
        <w:rPr>
          <w:rFonts w:hint="eastAsia" w:ascii="黑体" w:hAnsi="黑体" w:eastAsia="黑体" w:cs="楷体_GB2312"/>
          <w:b/>
          <w:color w:val="auto"/>
          <w:sz w:val="24"/>
          <w:highlight w:val="none"/>
          <w:lang w:val="zh-CN"/>
        </w:rPr>
        <w:t>资格性审查环节</w:t>
      </w:r>
    </w:p>
    <w:p w14:paraId="24DABE8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公开招标采购项目开标结束后，采购人或者采购代理机构将依法对投标人的资格进行审查。</w:t>
      </w:r>
    </w:p>
    <w:p w14:paraId="5811F5C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6.2 </w:t>
      </w:r>
      <w:r>
        <w:rPr>
          <w:rFonts w:hint="eastAsia" w:ascii="黑体" w:hAnsi="黑体" w:eastAsia="黑体" w:cs="楷体_GB2312"/>
          <w:b/>
          <w:color w:val="auto"/>
          <w:sz w:val="24"/>
          <w:highlight w:val="none"/>
          <w:lang w:val="zh-CN"/>
        </w:rPr>
        <w:t>资格性审查内容</w:t>
      </w:r>
    </w:p>
    <w:p w14:paraId="72F7B4E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1</w:t>
      </w:r>
      <w:r>
        <w:rPr>
          <w:rFonts w:hint="eastAsia" w:ascii="宋体" w:cs="楷体_GB2312"/>
          <w:color w:val="auto"/>
          <w:sz w:val="24"/>
          <w:highlight w:val="none"/>
          <w:lang w:val="zh-CN"/>
        </w:rPr>
        <w:t>）按照第一章“招标公告”第</w:t>
      </w:r>
      <w:r>
        <w:rPr>
          <w:rFonts w:ascii="宋体" w:cs="楷体_GB2312"/>
          <w:color w:val="auto"/>
          <w:sz w:val="24"/>
          <w:highlight w:val="none"/>
          <w:lang w:val="zh-CN"/>
        </w:rPr>
        <w:t>2</w:t>
      </w:r>
      <w:r>
        <w:rPr>
          <w:rFonts w:hint="eastAsia" w:ascii="宋体" w:cs="楷体_GB2312"/>
          <w:color w:val="auto"/>
          <w:sz w:val="24"/>
          <w:highlight w:val="none"/>
          <w:lang w:val="zh-CN"/>
        </w:rPr>
        <w:t>条各项资格要求规定，审查投标人是否符合第一章“招标公告”第</w:t>
      </w:r>
      <w:r>
        <w:rPr>
          <w:rFonts w:ascii="宋体" w:cs="楷体_GB2312"/>
          <w:color w:val="auto"/>
          <w:sz w:val="24"/>
          <w:highlight w:val="none"/>
          <w:lang w:val="zh-CN"/>
        </w:rPr>
        <w:t>2</w:t>
      </w:r>
      <w:r>
        <w:rPr>
          <w:rFonts w:hint="eastAsia" w:ascii="宋体" w:cs="楷体_GB2312"/>
          <w:color w:val="auto"/>
          <w:sz w:val="24"/>
          <w:highlight w:val="none"/>
          <w:lang w:val="zh-CN"/>
        </w:rPr>
        <w:t>条各项资格要求及所需证件材料、证明材料要求，不符合的、投标无效。</w:t>
      </w:r>
    </w:p>
    <w:p w14:paraId="26DF817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2</w:t>
      </w:r>
      <w:r>
        <w:rPr>
          <w:rFonts w:hint="eastAsia" w:ascii="宋体" w:cs="楷体_GB2312"/>
          <w:color w:val="auto"/>
          <w:sz w:val="24"/>
          <w:highlight w:val="none"/>
          <w:lang w:val="zh-CN"/>
        </w:rPr>
        <w:t>）投标</w:t>
      </w:r>
      <w:r>
        <w:rPr>
          <w:rFonts w:hint="eastAsia" w:ascii="宋体" w:cs="楷体_GB2312"/>
          <w:color w:val="auto"/>
          <w:sz w:val="24"/>
          <w:highlight w:val="none"/>
        </w:rPr>
        <w:t>承诺函（替代投标</w:t>
      </w:r>
      <w:r>
        <w:rPr>
          <w:rFonts w:hint="eastAsia" w:ascii="宋体" w:cs="楷体_GB2312"/>
          <w:color w:val="auto"/>
          <w:sz w:val="24"/>
          <w:highlight w:val="none"/>
          <w:lang w:val="zh-CN"/>
        </w:rPr>
        <w:t>保证金</w:t>
      </w:r>
      <w:r>
        <w:rPr>
          <w:rFonts w:hint="eastAsia" w:ascii="宋体" w:cs="楷体_GB2312"/>
          <w:color w:val="auto"/>
          <w:sz w:val="24"/>
          <w:highlight w:val="none"/>
        </w:rPr>
        <w:t>）</w:t>
      </w:r>
      <w:r>
        <w:rPr>
          <w:rFonts w:hint="eastAsia" w:ascii="宋体" w:cs="楷体_GB2312"/>
          <w:color w:val="auto"/>
          <w:sz w:val="24"/>
          <w:highlight w:val="none"/>
          <w:lang w:val="zh-CN"/>
        </w:rPr>
        <w:t>。按照招标文件第三章“投标人须知”</w:t>
      </w:r>
      <w:r>
        <w:rPr>
          <w:rFonts w:ascii="宋体" w:cs="楷体_GB2312"/>
          <w:color w:val="auto"/>
          <w:sz w:val="24"/>
          <w:highlight w:val="none"/>
          <w:lang w:val="zh-CN"/>
        </w:rPr>
        <w:t>3.5</w:t>
      </w:r>
      <w:r>
        <w:rPr>
          <w:rFonts w:hint="eastAsia" w:ascii="宋体" w:cs="楷体_GB2312"/>
          <w:color w:val="auto"/>
          <w:sz w:val="24"/>
          <w:highlight w:val="none"/>
          <w:lang w:val="zh-CN"/>
        </w:rPr>
        <w:t>款规定审查，不符合的、投标无效。</w:t>
      </w:r>
    </w:p>
    <w:p w14:paraId="64BF0508">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3</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招标公告、资格预审公告或者投标邀请书中载明</w:t>
      </w:r>
      <w:r>
        <w:rPr>
          <w:rFonts w:hint="eastAsia" w:ascii="宋体" w:cs="楷体_GB2312"/>
          <w:color w:val="auto"/>
          <w:sz w:val="24"/>
          <w:highlight w:val="none"/>
          <w:lang w:val="zh-CN"/>
        </w:rPr>
        <w:t>接受联合体投标的，按照招标文件第三章“</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1.4</w:t>
      </w:r>
      <w:r>
        <w:rPr>
          <w:rFonts w:hint="eastAsia" w:ascii="宋体" w:hAnsi="宋体" w:cs="楷体_GB2312"/>
          <w:color w:val="auto"/>
          <w:sz w:val="24"/>
          <w:highlight w:val="none"/>
          <w:lang w:val="zh-CN"/>
        </w:rPr>
        <w:t>款</w:t>
      </w:r>
      <w:r>
        <w:rPr>
          <w:rFonts w:hint="eastAsia" w:ascii="宋体" w:cs="楷体_GB2312"/>
          <w:color w:val="auto"/>
          <w:sz w:val="24"/>
          <w:highlight w:val="none"/>
          <w:lang w:val="zh-CN"/>
        </w:rPr>
        <w:t>规定进行审查，不符合的、投标无效。</w:t>
      </w:r>
    </w:p>
    <w:p w14:paraId="206D1094">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6.3 </w:t>
      </w:r>
      <w:r>
        <w:rPr>
          <w:rFonts w:hint="eastAsia" w:ascii="黑体" w:hAnsi="黑体" w:eastAsia="黑体" w:cs="楷体_GB2312"/>
          <w:b/>
          <w:color w:val="auto"/>
          <w:sz w:val="24"/>
          <w:highlight w:val="none"/>
          <w:lang w:val="zh-CN"/>
        </w:rPr>
        <w:t>资格性审查结果</w:t>
      </w:r>
    </w:p>
    <w:p w14:paraId="7E830B7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cs="楷体_GB2312"/>
          <w:color w:val="auto"/>
          <w:sz w:val="24"/>
          <w:highlight w:val="none"/>
          <w:lang w:val="zh-CN"/>
        </w:rPr>
        <w:t xml:space="preserve">6.3.1 </w:t>
      </w:r>
      <w:r>
        <w:rPr>
          <w:rFonts w:hint="eastAsia" w:ascii="宋体" w:cs="楷体_GB2312"/>
          <w:color w:val="auto"/>
          <w:sz w:val="24"/>
          <w:highlight w:val="none"/>
          <w:lang w:val="zh-CN"/>
        </w:rPr>
        <w:t>对未通过资格审查的投标人，将告知其未通过的原因。</w:t>
      </w:r>
    </w:p>
    <w:p w14:paraId="462CA17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cs="楷体_GB2312"/>
          <w:color w:val="auto"/>
          <w:sz w:val="24"/>
          <w:highlight w:val="none"/>
          <w:lang w:val="zh-CN"/>
        </w:rPr>
        <w:t xml:space="preserve">6.3.2 </w:t>
      </w:r>
      <w:r>
        <w:rPr>
          <w:rFonts w:hint="eastAsia" w:ascii="宋体" w:cs="楷体_GB2312"/>
          <w:color w:val="auto"/>
          <w:sz w:val="24"/>
          <w:highlight w:val="none"/>
          <w:lang w:val="zh-CN"/>
        </w:rPr>
        <w:t>资格性审查合格投标人不足</w:t>
      </w:r>
      <w:r>
        <w:rPr>
          <w:rFonts w:ascii="宋体" w:cs="楷体_GB2312"/>
          <w:color w:val="auto"/>
          <w:sz w:val="24"/>
          <w:highlight w:val="none"/>
          <w:lang w:val="zh-CN"/>
        </w:rPr>
        <w:t>3</w:t>
      </w:r>
      <w:r>
        <w:rPr>
          <w:rFonts w:hint="eastAsia" w:ascii="宋体" w:cs="楷体_GB2312"/>
          <w:color w:val="auto"/>
          <w:sz w:val="24"/>
          <w:highlight w:val="none"/>
          <w:lang w:val="zh-CN"/>
        </w:rPr>
        <w:t>家的，将不再评标。</w:t>
      </w:r>
    </w:p>
    <w:p w14:paraId="2880E40C">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4A4C9A30">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bCs/>
          <w:color w:val="auto"/>
          <w:sz w:val="28"/>
          <w:szCs w:val="28"/>
          <w:highlight w:val="none"/>
          <w:lang w:val="zh-CN"/>
        </w:rPr>
        <w:t xml:space="preserve">7 </w:t>
      </w:r>
      <w:r>
        <w:rPr>
          <w:rFonts w:hint="eastAsia" w:ascii="黑体" w:hAnsi="黑体" w:eastAsia="黑体" w:cs="楷体_GB2312"/>
          <w:b/>
          <w:bCs/>
          <w:color w:val="auto"/>
          <w:sz w:val="28"/>
          <w:szCs w:val="28"/>
          <w:highlight w:val="none"/>
          <w:lang w:val="zh-CN"/>
        </w:rPr>
        <w:t>评审</w:t>
      </w:r>
    </w:p>
    <w:p w14:paraId="5190B68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7.1 </w:t>
      </w:r>
      <w:r>
        <w:rPr>
          <w:rFonts w:hint="eastAsia" w:ascii="黑体" w:hAnsi="黑体" w:eastAsia="黑体" w:cs="楷体_GB2312"/>
          <w:b/>
          <w:color w:val="auto"/>
          <w:sz w:val="24"/>
          <w:highlight w:val="none"/>
          <w:lang w:val="zh-CN"/>
        </w:rPr>
        <w:t>评标委员会</w:t>
      </w:r>
    </w:p>
    <w:p w14:paraId="17B70C16">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评标工作由依法组建的评标委员会负责。评标委员会由采购人代表和评审专家共</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人及以上单数组成，其中评审专家人数不少于评标委员会成员总数的</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评审专家是在监督部门监督下从政府采购专家库中随机抽取产生。技术复杂、专业性强的采购项目，通过随机方式难以确定合适评审专家的，经主管预算单位同意，报经批准后，采购人自行选定相应专业领域的评审专家。</w:t>
      </w:r>
    </w:p>
    <w:p w14:paraId="23C438FD">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7.2 </w:t>
      </w:r>
      <w:r>
        <w:rPr>
          <w:rFonts w:hint="eastAsia" w:ascii="黑体" w:hAnsi="黑体" w:eastAsia="黑体" w:cs="楷体_GB2312"/>
          <w:b/>
          <w:color w:val="auto"/>
          <w:sz w:val="24"/>
          <w:highlight w:val="none"/>
          <w:lang w:val="zh-CN"/>
        </w:rPr>
        <w:t>评审原则</w:t>
      </w:r>
    </w:p>
    <w:p w14:paraId="4AEB022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7.2.1 </w:t>
      </w:r>
      <w:r>
        <w:rPr>
          <w:rFonts w:hint="eastAsia" w:ascii="宋体" w:hAnsi="宋体" w:cs="楷体_GB2312"/>
          <w:color w:val="auto"/>
          <w:sz w:val="24"/>
          <w:highlight w:val="none"/>
          <w:lang w:val="zh-CN"/>
        </w:rPr>
        <w:t>坚持公开、公平、公正地对待所有投标人。</w:t>
      </w:r>
    </w:p>
    <w:p w14:paraId="1D93325B">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7.2.2 </w:t>
      </w:r>
      <w:r>
        <w:rPr>
          <w:rFonts w:hint="eastAsia" w:ascii="宋体" w:hAnsi="宋体" w:cs="楷体_GB2312"/>
          <w:color w:val="auto"/>
          <w:sz w:val="24"/>
          <w:highlight w:val="none"/>
          <w:lang w:val="zh-CN"/>
        </w:rPr>
        <w:t>按照同一评审程序及方法审查所有投标人的投标文件。</w:t>
      </w:r>
    </w:p>
    <w:p w14:paraId="3DA74E3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7.2.3 </w:t>
      </w:r>
      <w:r>
        <w:rPr>
          <w:rFonts w:hint="eastAsia" w:ascii="宋体" w:hAnsi="宋体" w:cs="楷体_GB2312"/>
          <w:color w:val="auto"/>
          <w:sz w:val="24"/>
          <w:highlight w:val="none"/>
          <w:lang w:val="zh-CN"/>
        </w:rPr>
        <w:t>反对不正当竞争</w:t>
      </w:r>
    </w:p>
    <w:p w14:paraId="1CDAC4FF">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7.3 </w:t>
      </w:r>
      <w:r>
        <w:rPr>
          <w:rFonts w:hint="eastAsia" w:ascii="黑体" w:hAnsi="黑体" w:eastAsia="黑体" w:cs="楷体_GB2312"/>
          <w:b/>
          <w:color w:val="auto"/>
          <w:sz w:val="24"/>
          <w:highlight w:val="none"/>
          <w:lang w:val="zh-CN"/>
        </w:rPr>
        <w:t>评审</w:t>
      </w:r>
    </w:p>
    <w:p w14:paraId="3B569B57">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7.3.1</w:t>
      </w:r>
      <w:r>
        <w:rPr>
          <w:rFonts w:hint="eastAsia" w:ascii="宋体" w:hAnsi="宋体" w:cs="楷体_GB2312"/>
          <w:color w:val="auto"/>
          <w:sz w:val="24"/>
          <w:highlight w:val="none"/>
          <w:lang w:val="zh-CN"/>
        </w:rPr>
        <w:t>评审工作在评标委员会内独立进行。评标委员会按照第四章“评标办法”规定的方法、评标因素、标准和程序对投标文件进行评审。第四章“评标办法”没有规定的方法、评标因素和标准，不作为评审依据。</w:t>
      </w:r>
    </w:p>
    <w:p w14:paraId="0F1BF6C8">
      <w:pPr>
        <w:adjustRightInd w:val="0"/>
        <w:snapToGrid w:val="0"/>
        <w:spacing w:line="300" w:lineRule="auto"/>
        <w:ind w:firstLine="480" w:firstLineChars="200"/>
        <w:jc w:val="left"/>
        <w:rPr>
          <w:rFonts w:ascii="宋体" w:cs="楷体_GB2312"/>
          <w:color w:val="auto"/>
          <w:sz w:val="24"/>
          <w:highlight w:val="none"/>
          <w:lang w:val="zh-CN"/>
        </w:rPr>
      </w:pPr>
      <w:r>
        <w:rPr>
          <w:rFonts w:ascii="宋体" w:hAnsi="宋体" w:cs="宋体"/>
          <w:color w:val="auto"/>
          <w:sz w:val="24"/>
          <w:highlight w:val="none"/>
        </w:rPr>
        <w:t xml:space="preserve">7.3.2 </w:t>
      </w:r>
      <w:r>
        <w:rPr>
          <w:rFonts w:hint="eastAsia" w:ascii="宋体" w:hAnsi="宋体" w:cs="宋体"/>
          <w:color w:val="auto"/>
          <w:sz w:val="24"/>
          <w:highlight w:val="none"/>
        </w:rPr>
        <w:t>评标中因评标委员会成员缺席、回避或者健康等特殊原因导致评标委员会组成不符政府采购法规规定的，无法及时补足评标委员会成员的，采购代理机构将停止评标活动，封存所有投标文件和开标、评标资料，依法重新组建评标委员会进行评标。原评标委员会所作出的评标意见无效。</w:t>
      </w:r>
    </w:p>
    <w:p w14:paraId="79D39366">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7.3.3 </w:t>
      </w:r>
      <w:r>
        <w:rPr>
          <w:rFonts w:hint="eastAsia" w:ascii="宋体" w:hAnsi="宋体" w:cs="楷体_GB2312"/>
          <w:color w:val="auto"/>
          <w:sz w:val="24"/>
          <w:highlight w:val="none"/>
          <w:lang w:val="zh-CN"/>
        </w:rPr>
        <w:t>在开标、评审期间，投标人不得向评标委员会成员询问情况，不得进行旨在影响评审结果的活动。</w:t>
      </w:r>
    </w:p>
    <w:p w14:paraId="47D5E0A2">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28A1631F">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32" w:name="_Toc169770941"/>
      <w:r>
        <w:rPr>
          <w:rFonts w:ascii="黑体" w:hAnsi="黑体" w:eastAsia="黑体" w:cs="楷体_GB2312"/>
          <w:b/>
          <w:bCs/>
          <w:color w:val="auto"/>
          <w:sz w:val="28"/>
          <w:szCs w:val="28"/>
          <w:highlight w:val="none"/>
          <w:lang w:val="zh-CN"/>
        </w:rPr>
        <w:t xml:space="preserve">8 </w:t>
      </w:r>
      <w:r>
        <w:rPr>
          <w:rFonts w:hint="eastAsia" w:ascii="黑体" w:hAnsi="黑体" w:eastAsia="黑体" w:cs="楷体_GB2312"/>
          <w:b/>
          <w:bCs/>
          <w:color w:val="auto"/>
          <w:sz w:val="28"/>
          <w:szCs w:val="28"/>
          <w:highlight w:val="none"/>
          <w:lang w:val="zh-CN"/>
        </w:rPr>
        <w:t>授予合同</w:t>
      </w:r>
      <w:bookmarkEnd w:id="32"/>
    </w:p>
    <w:p w14:paraId="6B575952">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8.1 </w:t>
      </w:r>
      <w:r>
        <w:rPr>
          <w:rFonts w:hint="eastAsia" w:ascii="黑体" w:hAnsi="黑体" w:eastAsia="黑体" w:cs="楷体_GB2312"/>
          <w:b/>
          <w:color w:val="auto"/>
          <w:sz w:val="24"/>
          <w:highlight w:val="none"/>
          <w:lang w:val="zh-CN"/>
        </w:rPr>
        <w:t>确定中标人方式</w:t>
      </w:r>
    </w:p>
    <w:p w14:paraId="208CF83F">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除投标人须知前附表规定授权评标委员会直接确定中标人外，采购人应当自收到评标报告之日起</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个工作日内在评标报告推荐的中标候选人中按顺序确定中标人。若排名第一的中标候选人放弃中标，或者因不可抗力不能履行合同，或者被查实存在影响中标结果的违法行为等情形、不符合中标条件的，采购人可以按照评标委员会提出的中标候选人名单排序依次确定其他中标候选人为中标人，也可以重新采购。</w:t>
      </w:r>
    </w:p>
    <w:p w14:paraId="4B1C113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8.2 </w:t>
      </w:r>
      <w:r>
        <w:rPr>
          <w:rFonts w:hint="eastAsia" w:ascii="黑体" w:hAnsi="黑体" w:eastAsia="黑体" w:cs="楷体_GB2312"/>
          <w:b/>
          <w:color w:val="auto"/>
          <w:sz w:val="24"/>
          <w:highlight w:val="none"/>
          <w:lang w:val="zh-CN"/>
        </w:rPr>
        <w:t>中标结果公告</w:t>
      </w:r>
    </w:p>
    <w:p w14:paraId="329168B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采购代理机构在中标人确定当天在招标公告所述媒体公告中标结果。同时向中标人发出中标通知书。中标结果公告期限为</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个工作日。</w:t>
      </w:r>
    </w:p>
    <w:p w14:paraId="0F032807">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8.3 </w:t>
      </w:r>
      <w:r>
        <w:rPr>
          <w:rFonts w:hint="eastAsia" w:ascii="黑体" w:hAnsi="黑体" w:eastAsia="黑体" w:cs="楷体_GB2312"/>
          <w:b/>
          <w:color w:val="auto"/>
          <w:sz w:val="24"/>
          <w:highlight w:val="none"/>
          <w:lang w:val="zh-CN"/>
        </w:rPr>
        <w:t>质疑、投诉：</w:t>
      </w:r>
    </w:p>
    <w:p w14:paraId="5B1E00BB">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olor w:val="auto"/>
          <w:sz w:val="24"/>
          <w:highlight w:val="none"/>
        </w:rPr>
        <w:t>8.3.1</w:t>
      </w:r>
      <w:r>
        <w:rPr>
          <w:rFonts w:ascii="黑体" w:hAnsi="黑体" w:eastAsia="黑体" w:cs="楷体_GB2312"/>
          <w:b/>
          <w:color w:val="auto"/>
          <w:sz w:val="24"/>
          <w:highlight w:val="none"/>
          <w:lang w:val="zh-CN"/>
        </w:rPr>
        <w:t xml:space="preserve"> </w:t>
      </w:r>
      <w:r>
        <w:rPr>
          <w:rFonts w:hint="eastAsia" w:ascii="宋体" w:hAnsi="宋体" w:cs="楷体_GB2312"/>
          <w:color w:val="auto"/>
          <w:sz w:val="24"/>
          <w:highlight w:val="none"/>
          <w:lang w:val="zh-CN"/>
        </w:rPr>
        <w:t>见投标人须知前附表</w:t>
      </w:r>
    </w:p>
    <w:p w14:paraId="7F4EC63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8.3.2 </w:t>
      </w:r>
      <w:r>
        <w:rPr>
          <w:rFonts w:hint="eastAsia" w:ascii="宋体" w:hAnsi="宋体" w:cs="楷体_GB2312"/>
          <w:color w:val="auto"/>
          <w:sz w:val="24"/>
          <w:highlight w:val="none"/>
          <w:lang w:val="zh-CN"/>
        </w:rPr>
        <w:t>依据政府采购法规规定，招标公告、资格预审公告的公告期限为</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个工作日，中标公告期限为</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个工作日，投标人应在法定期限内提出质疑，逾期提交或未按照要求提交的质疑函将不予受理。</w:t>
      </w:r>
    </w:p>
    <w:p w14:paraId="517BAF7F">
      <w:pPr>
        <w:adjustRightInd w:val="0"/>
        <w:snapToGrid w:val="0"/>
        <w:spacing w:before="156" w:beforeLines="50" w:line="300" w:lineRule="auto"/>
        <w:ind w:firstLine="600" w:firstLineChars="250"/>
        <w:rPr>
          <w:rFonts w:ascii="宋体"/>
          <w:color w:val="auto"/>
          <w:sz w:val="24"/>
          <w:highlight w:val="none"/>
        </w:rPr>
      </w:pPr>
      <w:r>
        <w:rPr>
          <w:rFonts w:ascii="宋体" w:hAnsi="宋体"/>
          <w:color w:val="auto"/>
          <w:sz w:val="24"/>
          <w:highlight w:val="none"/>
        </w:rPr>
        <w:t xml:space="preserve">8.3.3 </w:t>
      </w:r>
      <w:r>
        <w:rPr>
          <w:rFonts w:hint="eastAsia" w:ascii="宋体" w:hAnsi="宋体"/>
          <w:color w:val="auto"/>
          <w:sz w:val="24"/>
          <w:highlight w:val="none"/>
        </w:rPr>
        <w:t>询问或者质疑事项可能影响中标结果的，采购人应当暂停签订合同，已经签订合同的，应当中止履行合同。</w:t>
      </w:r>
    </w:p>
    <w:p w14:paraId="76DAE487">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8.4 </w:t>
      </w:r>
      <w:r>
        <w:rPr>
          <w:rFonts w:hint="eastAsia" w:ascii="黑体" w:hAnsi="黑体" w:eastAsia="黑体" w:cs="楷体_GB2312"/>
          <w:b/>
          <w:color w:val="auto"/>
          <w:sz w:val="24"/>
          <w:highlight w:val="none"/>
          <w:lang w:val="zh-CN"/>
        </w:rPr>
        <w:t>中标通知：</w:t>
      </w:r>
      <w:r>
        <w:rPr>
          <w:rFonts w:hint="eastAsia" w:ascii="宋体" w:hAnsi="宋体" w:cs="楷体_GB2312"/>
          <w:color w:val="auto"/>
          <w:sz w:val="24"/>
          <w:highlight w:val="none"/>
          <w:lang w:val="zh-CN"/>
        </w:rPr>
        <w:t>见投标人须知前附表</w:t>
      </w:r>
    </w:p>
    <w:p w14:paraId="643C126A">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8.5 </w:t>
      </w:r>
      <w:r>
        <w:rPr>
          <w:rFonts w:hint="eastAsia" w:ascii="黑体" w:hAnsi="黑体" w:eastAsia="黑体" w:cs="楷体_GB2312"/>
          <w:b/>
          <w:color w:val="auto"/>
          <w:sz w:val="24"/>
          <w:highlight w:val="none"/>
          <w:lang w:val="zh-CN"/>
        </w:rPr>
        <w:t>履约保证金</w:t>
      </w:r>
    </w:p>
    <w:p w14:paraId="13DB0D4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8.5.1</w:t>
      </w:r>
      <w:r>
        <w:rPr>
          <w:rFonts w:hint="eastAsia" w:ascii="宋体" w:hAnsi="宋体" w:cs="楷体_GB2312"/>
          <w:color w:val="auto"/>
          <w:sz w:val="24"/>
          <w:highlight w:val="none"/>
          <w:lang w:val="zh-CN"/>
        </w:rPr>
        <w:t>在签订合同时，中标人应按投标人须知前附表规定向采购人提交履约保证金。</w:t>
      </w:r>
    </w:p>
    <w:p w14:paraId="6E42616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8.5.2 </w:t>
      </w:r>
      <w:r>
        <w:rPr>
          <w:rFonts w:hint="eastAsia" w:ascii="宋体" w:hAnsi="宋体" w:cs="楷体_GB2312"/>
          <w:color w:val="auto"/>
          <w:sz w:val="24"/>
          <w:highlight w:val="none"/>
          <w:lang w:val="zh-CN"/>
        </w:rPr>
        <w:t>中标人不能按本章第8</w:t>
      </w:r>
      <w:r>
        <w:rPr>
          <w:rFonts w:ascii="宋体" w:hAnsi="宋体" w:cs="楷体_GB2312"/>
          <w:color w:val="auto"/>
          <w:sz w:val="24"/>
          <w:highlight w:val="none"/>
          <w:lang w:val="zh-CN"/>
        </w:rPr>
        <w:t>.5.1</w:t>
      </w:r>
      <w:r>
        <w:rPr>
          <w:rFonts w:hint="eastAsia" w:ascii="宋体" w:hAnsi="宋体" w:cs="楷体_GB2312"/>
          <w:color w:val="auto"/>
          <w:sz w:val="24"/>
          <w:highlight w:val="none"/>
          <w:lang w:val="zh-CN"/>
        </w:rPr>
        <w:t>项要求提交履约保证金的，视为放弃中标资格，</w:t>
      </w:r>
      <w:r>
        <w:rPr>
          <w:rFonts w:hint="eastAsia" w:ascii="宋体" w:hAnsi="宋体"/>
          <w:color w:val="auto"/>
          <w:sz w:val="24"/>
          <w:szCs w:val="24"/>
          <w:highlight w:val="none"/>
        </w:rPr>
        <w:t>依据招标文件“第三章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r>
        <w:rPr>
          <w:rFonts w:hint="eastAsia" w:ascii="宋体" w:hAnsi="宋体" w:cs="楷体_GB2312"/>
          <w:color w:val="auto"/>
          <w:sz w:val="24"/>
          <w:highlight w:val="none"/>
          <w:lang w:val="zh-CN"/>
        </w:rPr>
        <w:t>给采购人及采购代理机构造成的损失，中标人应当予以赔偿。</w:t>
      </w:r>
    </w:p>
    <w:p w14:paraId="59EEF9A8">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8.6 </w:t>
      </w:r>
      <w:r>
        <w:rPr>
          <w:rFonts w:hint="eastAsia" w:ascii="黑体" w:hAnsi="黑体" w:eastAsia="黑体" w:cs="楷体_GB2312"/>
          <w:b/>
          <w:color w:val="auto"/>
          <w:sz w:val="24"/>
          <w:highlight w:val="none"/>
          <w:lang w:val="zh-CN"/>
        </w:rPr>
        <w:t>签订合同</w:t>
      </w:r>
    </w:p>
    <w:p w14:paraId="7CAAB939">
      <w:pPr>
        <w:autoSpaceDE w:val="0"/>
        <w:autoSpaceDN w:val="0"/>
        <w:adjustRightInd w:val="0"/>
        <w:snapToGrid w:val="0"/>
        <w:spacing w:before="156" w:beforeLines="50" w:line="300" w:lineRule="auto"/>
        <w:ind w:firstLine="539"/>
        <w:rPr>
          <w:rFonts w:ascii="宋体" w:hAnsi="宋体"/>
          <w:color w:val="auto"/>
          <w:sz w:val="24"/>
          <w:highlight w:val="none"/>
        </w:rPr>
      </w:pPr>
      <w:r>
        <w:rPr>
          <w:rFonts w:ascii="宋体" w:hAnsi="宋体"/>
          <w:color w:val="auto"/>
          <w:sz w:val="24"/>
          <w:highlight w:val="none"/>
        </w:rPr>
        <w:t xml:space="preserve">8.6.1 </w:t>
      </w:r>
      <w:r>
        <w:rPr>
          <w:rFonts w:hint="eastAsia" w:ascii="宋体" w:hAnsi="宋体"/>
          <w:color w:val="auto"/>
          <w:sz w:val="24"/>
          <w:highlight w:val="none"/>
        </w:rPr>
        <w:t>据优化营商环境精神，中标人应在《中标通知书》发出后2个工作日内，按照招标文件确定的合同文本以及中标标的、技术和服务等事项与采购人签订</w:t>
      </w:r>
      <w:r>
        <w:rPr>
          <w:rFonts w:hint="eastAsia" w:ascii="宋体" w:hAnsi="宋体" w:cs="楷体_GB2312"/>
          <w:color w:val="auto"/>
          <w:sz w:val="24"/>
          <w:highlight w:val="none"/>
          <w:lang w:val="zh-CN"/>
        </w:rPr>
        <w:t>书面</w:t>
      </w:r>
      <w:r>
        <w:rPr>
          <w:rFonts w:hint="eastAsia" w:ascii="宋体" w:hAnsi="宋体"/>
          <w:color w:val="auto"/>
          <w:sz w:val="24"/>
          <w:highlight w:val="none"/>
        </w:rPr>
        <w:t>政府采购合同。</w:t>
      </w:r>
    </w:p>
    <w:p w14:paraId="17287A1B">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olor w:val="auto"/>
          <w:sz w:val="24"/>
          <w:highlight w:val="none"/>
        </w:rPr>
        <w:t xml:space="preserve">8.6.2 </w:t>
      </w:r>
      <w:r>
        <w:rPr>
          <w:rFonts w:hint="eastAsia" w:ascii="宋体" w:hAnsi="宋体"/>
          <w:color w:val="auto"/>
          <w:sz w:val="24"/>
          <w:highlight w:val="none"/>
        </w:rPr>
        <w:t>如中标人不按时签订合同、</w:t>
      </w:r>
      <w:r>
        <w:rPr>
          <w:rFonts w:hint="eastAsia" w:ascii="宋体" w:hAnsi="宋体" w:cs="楷体_GB2312"/>
          <w:color w:val="auto"/>
          <w:sz w:val="24"/>
          <w:highlight w:val="none"/>
          <w:lang w:val="zh-CN"/>
        </w:rPr>
        <w:t>拒签合同的，取消其中标资格，依据招标文件“第三章3.5.5 违背承诺的责任追究措施”，投标人承担相应法律责任及违约责任。</w:t>
      </w:r>
    </w:p>
    <w:p w14:paraId="58789EFC">
      <w:pPr>
        <w:widowControl w:val="0"/>
        <w:adjustRightInd w:val="0"/>
        <w:snapToGrid w:val="0"/>
        <w:spacing w:before="156" w:beforeLines="50" w:line="300" w:lineRule="auto"/>
        <w:ind w:firstLine="566"/>
        <w:rPr>
          <w:rFonts w:ascii="宋体" w:hAnsi="宋体"/>
          <w:color w:val="auto"/>
          <w:sz w:val="24"/>
          <w:szCs w:val="24"/>
          <w:highlight w:val="none"/>
        </w:rPr>
      </w:pPr>
      <w:r>
        <w:rPr>
          <w:color w:val="auto"/>
          <w:sz w:val="24"/>
          <w:szCs w:val="24"/>
          <w:highlight w:val="none"/>
        </w:rPr>
        <w:t>8.6.3</w:t>
      </w:r>
      <w:r>
        <w:rPr>
          <w:rFonts w:hint="eastAsia"/>
          <w:color w:val="auto"/>
          <w:sz w:val="24"/>
          <w:szCs w:val="24"/>
          <w:highlight w:val="none"/>
        </w:rPr>
        <w:t>合同生效：中标人与采购人签订的合同，双方签字后盖章生效。</w:t>
      </w:r>
      <w:r>
        <w:rPr>
          <w:rFonts w:hint="eastAsia" w:ascii="宋体" w:hAnsi="宋体" w:cs="宋体"/>
          <w:color w:val="auto"/>
          <w:sz w:val="24"/>
          <w:highlight w:val="none"/>
        </w:rPr>
        <w:t>采购人</w:t>
      </w:r>
      <w:r>
        <w:rPr>
          <w:rFonts w:hint="eastAsia" w:ascii="宋体" w:hAnsi="宋体"/>
          <w:color w:val="auto"/>
          <w:sz w:val="24"/>
          <w:szCs w:val="24"/>
          <w:highlight w:val="none"/>
        </w:rPr>
        <w:t>要在合同签订后1个工作日内登陆安阳市政府采购网进行备案并公告</w:t>
      </w:r>
      <w:r>
        <w:rPr>
          <w:rFonts w:hint="eastAsia" w:ascii="宋体" w:hAnsi="宋体" w:cs="宋体"/>
          <w:color w:val="auto"/>
          <w:sz w:val="24"/>
          <w:highlight w:val="none"/>
        </w:rPr>
        <w:t>。</w:t>
      </w:r>
    </w:p>
    <w:p w14:paraId="6EB70D56">
      <w:pPr>
        <w:widowControl w:val="0"/>
        <w:adjustRightInd w:val="0"/>
        <w:snapToGrid w:val="0"/>
        <w:spacing w:before="156" w:beforeLines="50" w:line="300" w:lineRule="auto"/>
        <w:ind w:firstLine="549"/>
        <w:rPr>
          <w:color w:val="auto"/>
          <w:sz w:val="24"/>
          <w:szCs w:val="24"/>
          <w:highlight w:val="none"/>
        </w:rPr>
      </w:pPr>
      <w:r>
        <w:rPr>
          <w:color w:val="auto"/>
          <w:sz w:val="24"/>
          <w:szCs w:val="24"/>
          <w:highlight w:val="none"/>
        </w:rPr>
        <w:t xml:space="preserve">8.6.4 </w:t>
      </w:r>
      <w:r>
        <w:rPr>
          <w:rFonts w:hint="eastAsia"/>
          <w:color w:val="auto"/>
          <w:sz w:val="24"/>
          <w:szCs w:val="24"/>
          <w:highlight w:val="none"/>
        </w:rPr>
        <w:t>《中标通知书》、招标文件</w:t>
      </w:r>
      <w:r>
        <w:rPr>
          <w:rFonts w:hint="eastAsia"/>
          <w:color w:val="auto"/>
          <w:spacing w:val="20"/>
          <w:sz w:val="24"/>
          <w:szCs w:val="24"/>
          <w:highlight w:val="none"/>
        </w:rPr>
        <w:t>及其修改补充澄清</w:t>
      </w:r>
      <w:r>
        <w:rPr>
          <w:rFonts w:hint="eastAsia"/>
          <w:color w:val="auto"/>
          <w:sz w:val="24"/>
          <w:szCs w:val="24"/>
          <w:highlight w:val="none"/>
        </w:rPr>
        <w:t>、中标人的投标文件及</w:t>
      </w:r>
      <w:r>
        <w:rPr>
          <w:rFonts w:hint="eastAsia"/>
          <w:color w:val="auto"/>
          <w:spacing w:val="20"/>
          <w:sz w:val="24"/>
          <w:szCs w:val="24"/>
          <w:highlight w:val="none"/>
        </w:rPr>
        <w:t>其修改补充澄清</w:t>
      </w:r>
      <w:r>
        <w:rPr>
          <w:rFonts w:hint="eastAsia"/>
          <w:color w:val="auto"/>
          <w:sz w:val="24"/>
          <w:szCs w:val="24"/>
          <w:highlight w:val="none"/>
        </w:rPr>
        <w:t>等，均为签订合同的依据。所定合同不得对招标文件和中标人的投标文件作实质性修改，采购人和中标人不得私下订立背离合同实质性内容的协议。</w:t>
      </w:r>
    </w:p>
    <w:p w14:paraId="245B994E">
      <w:pPr>
        <w:widowControl w:val="0"/>
        <w:adjustRightInd w:val="0"/>
        <w:snapToGrid w:val="0"/>
        <w:spacing w:before="156" w:beforeLines="50" w:line="300" w:lineRule="auto"/>
        <w:ind w:firstLine="549"/>
        <w:rPr>
          <w:color w:val="auto"/>
          <w:sz w:val="24"/>
          <w:szCs w:val="24"/>
          <w:highlight w:val="none"/>
        </w:rPr>
      </w:pPr>
      <w:r>
        <w:rPr>
          <w:color w:val="auto"/>
          <w:sz w:val="24"/>
          <w:szCs w:val="24"/>
          <w:highlight w:val="none"/>
        </w:rPr>
        <w:t xml:space="preserve">8.6.5 </w:t>
      </w:r>
      <w:r>
        <w:rPr>
          <w:rFonts w:hint="eastAsia"/>
          <w:color w:val="auto"/>
          <w:sz w:val="24"/>
          <w:szCs w:val="24"/>
          <w:highlight w:val="none"/>
        </w:rPr>
        <w:t>评审会后，中标人、采购人之间擅自私下谈判、变更中标标的、价格及招投标文件实质性内容的，有关部门将按《中华人民共和国政府采购法》及相关法规的规定处理。</w:t>
      </w:r>
    </w:p>
    <w:p w14:paraId="10635DE8">
      <w:pPr>
        <w:widowControl w:val="0"/>
        <w:adjustRightInd w:val="0"/>
        <w:snapToGrid w:val="0"/>
        <w:spacing w:before="156" w:beforeLines="50" w:line="300" w:lineRule="auto"/>
        <w:ind w:firstLine="549"/>
        <w:rPr>
          <w:color w:val="auto"/>
          <w:sz w:val="24"/>
          <w:szCs w:val="24"/>
          <w:highlight w:val="none"/>
        </w:rPr>
      </w:pPr>
      <w:r>
        <w:rPr>
          <w:color w:val="auto"/>
          <w:sz w:val="24"/>
          <w:szCs w:val="24"/>
          <w:highlight w:val="none"/>
        </w:rPr>
        <w:t>8.6.</w:t>
      </w:r>
      <w:r>
        <w:rPr>
          <w:rFonts w:hint="eastAsia"/>
          <w:color w:val="auto"/>
          <w:sz w:val="24"/>
          <w:szCs w:val="24"/>
          <w:highlight w:val="none"/>
        </w:rPr>
        <w:t>6</w:t>
      </w:r>
      <w:r>
        <w:rPr>
          <w:color w:val="auto"/>
          <w:sz w:val="24"/>
          <w:szCs w:val="24"/>
          <w:highlight w:val="none"/>
        </w:rPr>
        <w:t xml:space="preserve"> </w:t>
      </w:r>
      <w:r>
        <w:rPr>
          <w:rFonts w:hint="eastAsia"/>
          <w:color w:val="auto"/>
          <w:sz w:val="24"/>
          <w:szCs w:val="24"/>
          <w:highlight w:val="none"/>
        </w:rPr>
        <w:t>采购人与中标人签订《政府采购合同》后，合同履行中产生的纠纷、争议，由采购人与中标人按合同条款及《中华人民共和国民法典》处理。</w:t>
      </w:r>
    </w:p>
    <w:p w14:paraId="38E9154A">
      <w:pPr>
        <w:widowControl w:val="0"/>
        <w:adjustRightInd w:val="0"/>
        <w:snapToGrid w:val="0"/>
        <w:spacing w:before="156" w:beforeLines="50" w:line="300" w:lineRule="auto"/>
        <w:ind w:firstLine="556"/>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8.7 </w:t>
      </w:r>
      <w:r>
        <w:rPr>
          <w:rFonts w:hint="eastAsia" w:ascii="黑体" w:hAnsi="黑体" w:eastAsia="黑体" w:cs="楷体_GB2312"/>
          <w:b/>
          <w:color w:val="auto"/>
          <w:sz w:val="24"/>
          <w:highlight w:val="none"/>
          <w:lang w:val="zh-CN"/>
        </w:rPr>
        <w:t>合同补充变更</w:t>
      </w:r>
    </w:p>
    <w:p w14:paraId="782A3A2B">
      <w:pPr>
        <w:widowControl w:val="0"/>
        <w:adjustRightInd w:val="0"/>
        <w:snapToGrid w:val="0"/>
        <w:spacing w:before="156" w:beforeLines="50" w:line="300" w:lineRule="auto"/>
        <w:ind w:firstLine="555"/>
        <w:rPr>
          <w:color w:val="auto"/>
          <w:sz w:val="24"/>
          <w:szCs w:val="24"/>
          <w:highlight w:val="none"/>
        </w:rPr>
      </w:pPr>
      <w:r>
        <w:rPr>
          <w:color w:val="auto"/>
          <w:sz w:val="24"/>
          <w:szCs w:val="24"/>
          <w:highlight w:val="none"/>
        </w:rPr>
        <w:t>8.7.1</w:t>
      </w:r>
      <w:r>
        <w:rPr>
          <w:rFonts w:hint="eastAsia"/>
          <w:color w:val="auto"/>
          <w:sz w:val="24"/>
          <w:szCs w:val="24"/>
          <w:highlight w:val="none"/>
        </w:rPr>
        <w:t>政府采购合同履行中，采购人需追加或减少与合同标的相同的货物</w:t>
      </w:r>
      <w:r>
        <w:rPr>
          <w:rFonts w:hint="eastAsia" w:ascii="宋体" w:hAnsi="宋体"/>
          <w:color w:val="auto"/>
          <w:sz w:val="24"/>
          <w:szCs w:val="24"/>
          <w:highlight w:val="none"/>
        </w:rPr>
        <w:t>、工程和服务的</w:t>
      </w:r>
      <w:r>
        <w:rPr>
          <w:rFonts w:hint="eastAsia"/>
          <w:color w:val="auto"/>
          <w:sz w:val="24"/>
          <w:szCs w:val="24"/>
          <w:highlight w:val="none"/>
        </w:rPr>
        <w:t>（即追加或减少原合同标的数量），在不改变合同条款（包括原合同单价）的前提下，双方可以协商签订补充合同，但所有补充合同总金额不得超过原合同采购金额的</w:t>
      </w:r>
      <w:r>
        <w:rPr>
          <w:color w:val="auto"/>
          <w:sz w:val="24"/>
          <w:szCs w:val="24"/>
          <w:highlight w:val="none"/>
        </w:rPr>
        <w:t>10%</w:t>
      </w:r>
      <w:r>
        <w:rPr>
          <w:rFonts w:hint="eastAsia"/>
          <w:color w:val="auto"/>
          <w:sz w:val="24"/>
          <w:szCs w:val="24"/>
          <w:highlight w:val="none"/>
        </w:rPr>
        <w:t>，不得调增原合同单价，不得超出项目预算，超过原合同采购金额的</w:t>
      </w:r>
      <w:r>
        <w:rPr>
          <w:color w:val="auto"/>
          <w:sz w:val="24"/>
          <w:szCs w:val="24"/>
          <w:highlight w:val="none"/>
        </w:rPr>
        <w:t>10%</w:t>
      </w:r>
      <w:r>
        <w:rPr>
          <w:rFonts w:hint="eastAsia"/>
          <w:color w:val="auto"/>
          <w:sz w:val="24"/>
          <w:szCs w:val="24"/>
          <w:highlight w:val="none"/>
        </w:rPr>
        <w:t>，应重新组织采购活动。</w:t>
      </w:r>
    </w:p>
    <w:p w14:paraId="7D040D6C">
      <w:pPr>
        <w:widowControl w:val="0"/>
        <w:adjustRightInd w:val="0"/>
        <w:snapToGrid w:val="0"/>
        <w:spacing w:before="156" w:beforeLines="50" w:line="300" w:lineRule="auto"/>
        <w:ind w:firstLine="555"/>
        <w:rPr>
          <w:color w:val="auto"/>
          <w:sz w:val="24"/>
          <w:szCs w:val="24"/>
          <w:highlight w:val="none"/>
        </w:rPr>
      </w:pPr>
      <w:r>
        <w:rPr>
          <w:color w:val="auto"/>
          <w:sz w:val="24"/>
          <w:szCs w:val="24"/>
          <w:highlight w:val="none"/>
        </w:rPr>
        <w:t>8.7.2</w:t>
      </w:r>
      <w:r>
        <w:rPr>
          <w:rFonts w:hint="eastAsia"/>
          <w:color w:val="auto"/>
          <w:sz w:val="24"/>
          <w:szCs w:val="24"/>
          <w:highlight w:val="none"/>
        </w:rPr>
        <w:t>采购人需追加或减少的货物</w:t>
      </w:r>
      <w:r>
        <w:rPr>
          <w:rFonts w:hint="eastAsia" w:ascii="宋体" w:hAnsi="宋体"/>
          <w:color w:val="auto"/>
          <w:sz w:val="24"/>
          <w:szCs w:val="24"/>
          <w:highlight w:val="none"/>
        </w:rPr>
        <w:t>、工程和服务的</w:t>
      </w:r>
      <w:r>
        <w:rPr>
          <w:rFonts w:hint="eastAsia"/>
          <w:color w:val="auto"/>
          <w:sz w:val="24"/>
          <w:szCs w:val="24"/>
          <w:highlight w:val="none"/>
        </w:rPr>
        <w:t>金额达到</w:t>
      </w:r>
      <w:r>
        <w:rPr>
          <w:color w:val="auto"/>
          <w:sz w:val="24"/>
          <w:szCs w:val="24"/>
          <w:highlight w:val="none"/>
        </w:rPr>
        <w:t>50</w:t>
      </w:r>
      <w:r>
        <w:rPr>
          <w:rFonts w:hint="eastAsia"/>
          <w:color w:val="auto"/>
          <w:sz w:val="24"/>
          <w:szCs w:val="24"/>
          <w:highlight w:val="none"/>
        </w:rPr>
        <w:t>万元以上（含</w:t>
      </w:r>
      <w:r>
        <w:rPr>
          <w:color w:val="auto"/>
          <w:sz w:val="24"/>
          <w:szCs w:val="24"/>
          <w:highlight w:val="none"/>
        </w:rPr>
        <w:t>50</w:t>
      </w:r>
      <w:r>
        <w:rPr>
          <w:rFonts w:hint="eastAsia"/>
          <w:color w:val="auto"/>
          <w:sz w:val="24"/>
          <w:szCs w:val="24"/>
          <w:highlight w:val="none"/>
        </w:rPr>
        <w:t>万元）、且超过中标价</w:t>
      </w:r>
      <w:r>
        <w:rPr>
          <w:color w:val="auto"/>
          <w:sz w:val="24"/>
          <w:szCs w:val="24"/>
          <w:highlight w:val="none"/>
        </w:rPr>
        <w:t>3%</w:t>
      </w:r>
      <w:r>
        <w:rPr>
          <w:rFonts w:hint="eastAsia"/>
          <w:color w:val="auto"/>
          <w:sz w:val="24"/>
          <w:szCs w:val="24"/>
          <w:highlight w:val="none"/>
        </w:rPr>
        <w:t>的，采购人应当自确定变更之日起</w:t>
      </w:r>
      <w:r>
        <w:rPr>
          <w:color w:val="auto"/>
          <w:sz w:val="24"/>
          <w:szCs w:val="24"/>
          <w:highlight w:val="none"/>
        </w:rPr>
        <w:t>5</w:t>
      </w:r>
      <w:r>
        <w:rPr>
          <w:rFonts w:hint="eastAsia"/>
          <w:color w:val="auto"/>
          <w:sz w:val="24"/>
          <w:szCs w:val="24"/>
          <w:highlight w:val="none"/>
        </w:rPr>
        <w:t>个工作日内将变更情况及事由报送同级监察机关。</w:t>
      </w:r>
    </w:p>
    <w:p w14:paraId="4296CE8B">
      <w:pPr>
        <w:widowControl w:val="0"/>
        <w:adjustRightInd w:val="0"/>
        <w:snapToGrid w:val="0"/>
        <w:spacing w:before="156" w:beforeLines="50" w:line="300" w:lineRule="auto"/>
        <w:ind w:firstLine="555"/>
        <w:rPr>
          <w:color w:val="auto"/>
          <w:sz w:val="24"/>
          <w:szCs w:val="24"/>
          <w:highlight w:val="none"/>
        </w:rPr>
      </w:pPr>
      <w:r>
        <w:rPr>
          <w:rFonts w:hint="eastAsia"/>
          <w:color w:val="auto"/>
          <w:sz w:val="24"/>
          <w:szCs w:val="24"/>
          <w:highlight w:val="none"/>
        </w:rPr>
        <w:t>招标项目在中标后经有关行政机关批准变更的，批准的行政机关应当自批准之日起</w:t>
      </w:r>
      <w:r>
        <w:rPr>
          <w:color w:val="auto"/>
          <w:sz w:val="24"/>
          <w:szCs w:val="24"/>
          <w:highlight w:val="none"/>
        </w:rPr>
        <w:t>3</w:t>
      </w:r>
      <w:r>
        <w:rPr>
          <w:rFonts w:hint="eastAsia"/>
          <w:color w:val="auto"/>
          <w:sz w:val="24"/>
          <w:szCs w:val="24"/>
          <w:highlight w:val="none"/>
        </w:rPr>
        <w:t>个工作日内将批准文件抄送同级监察机关备案。</w:t>
      </w:r>
    </w:p>
    <w:p w14:paraId="55E7AA2C">
      <w:pPr>
        <w:widowControl w:val="0"/>
        <w:adjustRightInd w:val="0"/>
        <w:snapToGrid w:val="0"/>
        <w:spacing w:before="156" w:beforeLines="50" w:line="300" w:lineRule="auto"/>
        <w:ind w:firstLine="555"/>
        <w:rPr>
          <w:color w:val="auto"/>
          <w:sz w:val="24"/>
          <w:szCs w:val="24"/>
          <w:highlight w:val="none"/>
        </w:rPr>
      </w:pPr>
    </w:p>
    <w:p w14:paraId="157E489A">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33" w:name="_Toc169770942"/>
      <w:r>
        <w:rPr>
          <w:rFonts w:ascii="黑体" w:hAnsi="黑体" w:eastAsia="黑体" w:cs="楷体_GB2312"/>
          <w:b/>
          <w:bCs/>
          <w:color w:val="auto"/>
          <w:sz w:val="28"/>
          <w:szCs w:val="28"/>
          <w:highlight w:val="none"/>
          <w:lang w:val="zh-CN"/>
        </w:rPr>
        <w:t xml:space="preserve">9 </w:t>
      </w:r>
      <w:r>
        <w:rPr>
          <w:rFonts w:hint="eastAsia" w:ascii="黑体" w:hAnsi="黑体" w:eastAsia="黑体" w:cs="楷体_GB2312"/>
          <w:b/>
          <w:bCs/>
          <w:color w:val="auto"/>
          <w:sz w:val="28"/>
          <w:szCs w:val="28"/>
          <w:highlight w:val="none"/>
          <w:lang w:val="zh-CN"/>
        </w:rPr>
        <w:t>验收</w:t>
      </w:r>
      <w:bookmarkEnd w:id="33"/>
    </w:p>
    <w:p w14:paraId="2E0C131C">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rPr>
        <w:t>9</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验收时间：项目具备验收条件时，由采购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成立验收工作组负责验收。</w:t>
      </w:r>
      <w:r>
        <w:rPr>
          <w:rFonts w:hint="eastAsia" w:ascii="宋体" w:hAnsi="宋体" w:cs="楷体_GB2312"/>
          <w:color w:val="auto"/>
          <w:sz w:val="24"/>
          <w:highlight w:val="none"/>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14:paraId="4302F6AA">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rPr>
        <w:t>9</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验收工作组：合同履约验收工作应成立验收工作组专门负责。</w:t>
      </w:r>
    </w:p>
    <w:p w14:paraId="7E1896D9">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lang w:val="zh-CN"/>
        </w:rPr>
        <w:t>直接参与该项目政府采购活动的主要负责人不得作为验收工作的主要负责人。</w:t>
      </w:r>
      <w:r>
        <w:rPr>
          <w:rFonts w:hint="eastAsia" w:ascii="宋体" w:hAnsi="宋体" w:cs="楷体_GB2312"/>
          <w:color w:val="auto"/>
          <w:sz w:val="24"/>
          <w:highlight w:val="none"/>
        </w:rPr>
        <w:t>对于采购人和使用人分离的采购项目，应当邀请实际使用人参与验收；政府向社会公众提供的公共服务项目，验收时应当邀请服务对象参与并出具意见，验收结果应当向社会公告。</w:t>
      </w:r>
    </w:p>
    <w:p w14:paraId="5EB5C09B">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9.2.1</w:t>
      </w:r>
      <w:r>
        <w:rPr>
          <w:rFonts w:hint="eastAsia" w:ascii="宋体" w:hAnsi="宋体" w:cs="楷体_GB2312"/>
          <w:color w:val="auto"/>
          <w:sz w:val="24"/>
          <w:highlight w:val="none"/>
          <w:lang w:val="zh-CN"/>
        </w:rPr>
        <w:t>政府采购合同金额</w:t>
      </w:r>
      <w:r>
        <w:rPr>
          <w:rFonts w:hint="eastAsia" w:ascii="宋体" w:hAnsi="宋体" w:cs="楷体_GB2312"/>
          <w:color w:val="auto"/>
          <w:sz w:val="24"/>
          <w:highlight w:val="none"/>
        </w:rPr>
        <w:t>在</w:t>
      </w:r>
      <w:r>
        <w:rPr>
          <w:rFonts w:hint="eastAsia" w:ascii="宋体" w:hAnsi="宋体" w:cs="楷体_GB2312"/>
          <w:color w:val="auto"/>
          <w:sz w:val="24"/>
          <w:highlight w:val="none"/>
          <w:lang w:val="zh-CN"/>
        </w:rPr>
        <w:t>10万元以下（</w:t>
      </w:r>
      <w:r>
        <w:rPr>
          <w:rFonts w:hint="eastAsia" w:ascii="宋体" w:hAnsi="宋体" w:cs="楷体_GB2312"/>
          <w:color w:val="auto"/>
          <w:sz w:val="24"/>
          <w:highlight w:val="none"/>
        </w:rPr>
        <w:t>含10万元</w:t>
      </w:r>
      <w:r>
        <w:rPr>
          <w:rFonts w:hint="eastAsia" w:ascii="宋体" w:hAnsi="宋体" w:cs="楷体_GB2312"/>
          <w:color w:val="auto"/>
          <w:sz w:val="24"/>
          <w:highlight w:val="none"/>
          <w:lang w:val="zh-CN"/>
        </w:rPr>
        <w:t>）的项目，原则上可以不邀请评审专家参加，组织方成立验收小组自行验收。</w:t>
      </w:r>
      <w:r>
        <w:rPr>
          <w:rFonts w:hint="eastAsia" w:ascii="宋体" w:hAnsi="宋体" w:cs="楷体_GB2312"/>
          <w:color w:val="auto"/>
          <w:sz w:val="24"/>
          <w:highlight w:val="none"/>
        </w:rPr>
        <w:t>自行验收时，验收小组应仔细对照采购文件及合同，对标的物的数量、质量、规格、型号等参数逐一核对，并编制验收报告。组织方认为不能独立完成验收任务的，可以邀请评审专家参与验收。</w:t>
      </w:r>
    </w:p>
    <w:p w14:paraId="42F360A5">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9.2.2</w:t>
      </w:r>
      <w:r>
        <w:rPr>
          <w:rFonts w:hint="eastAsia" w:ascii="宋体" w:hAnsi="宋体" w:cs="楷体_GB2312"/>
          <w:color w:val="auto"/>
          <w:sz w:val="24"/>
          <w:highlight w:val="none"/>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领导牵头，财务、审计、监察、资产管理、技术等部门人员参与，成员不少于五人。验收工作</w:t>
      </w:r>
      <w:r>
        <w:rPr>
          <w:rFonts w:hint="eastAsia" w:ascii="宋体" w:hAnsi="宋体" w:cs="楷体_GB2312"/>
          <w:color w:val="auto"/>
          <w:sz w:val="24"/>
          <w:highlight w:val="none"/>
        </w:rPr>
        <w:t>原则上</w:t>
      </w:r>
      <w:r>
        <w:rPr>
          <w:rFonts w:hint="eastAsia" w:ascii="宋体" w:hAnsi="宋体" w:cs="楷体_GB2312"/>
          <w:color w:val="auto"/>
          <w:sz w:val="24"/>
          <w:highlight w:val="none"/>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必须委托国家认可专业检测机构进行验收。</w:t>
      </w:r>
    </w:p>
    <w:p w14:paraId="00907681">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9.3验收时，验收小组按照采购合同的约定对每一项技术、服务、安全标准的履约情况进行确认。</w:t>
      </w:r>
      <w:r>
        <w:rPr>
          <w:rFonts w:hint="eastAsia" w:ascii="宋体" w:hAnsi="宋体" w:cs="楷体_GB2312"/>
          <w:color w:val="auto"/>
          <w:sz w:val="24"/>
          <w:highlight w:val="none"/>
          <w:lang w:val="zh-CN"/>
        </w:rPr>
        <w:t>验收时需要进行破坏性试验的，供应商应进行充分的配合并提供备品备件。</w:t>
      </w:r>
    </w:p>
    <w:p w14:paraId="37039DE9">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w:t>
      </w:r>
      <w:r>
        <w:rPr>
          <w:rFonts w:ascii="宋体" w:hAnsi="宋体" w:cs="楷体_GB2312"/>
          <w:color w:val="auto"/>
          <w:sz w:val="24"/>
          <w:highlight w:val="none"/>
          <w:lang w:val="zh-CN"/>
        </w:rPr>
        <w:t>.</w:t>
      </w:r>
      <w:r>
        <w:rPr>
          <w:rFonts w:hint="eastAsia" w:ascii="宋体" w:hAnsi="宋体" w:cs="楷体_GB2312"/>
          <w:color w:val="auto"/>
          <w:sz w:val="24"/>
          <w:highlight w:val="none"/>
        </w:rPr>
        <w:t>4</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验收报告：验收后，由采购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及专家等出具验收报告（</w:t>
      </w:r>
      <w:r>
        <w:rPr>
          <w:rFonts w:hint="eastAsia" w:ascii="宋体" w:hAnsi="宋体" w:cs="楷体_GB2312"/>
          <w:color w:val="auto"/>
          <w:sz w:val="24"/>
          <w:highlight w:val="none"/>
        </w:rPr>
        <w:t>自行验收的，由采购人出具</w:t>
      </w:r>
      <w:r>
        <w:rPr>
          <w:rFonts w:hint="eastAsia" w:ascii="宋体" w:hAnsi="宋体" w:cs="楷体_GB2312"/>
          <w:color w:val="auto"/>
          <w:sz w:val="24"/>
          <w:highlight w:val="none"/>
          <w:lang w:val="zh-CN"/>
        </w:rPr>
        <w:t>），国家规定强制性检测的采购项目应附国家认可的专业检测机构出具的验收报告。</w:t>
      </w:r>
    </w:p>
    <w:p w14:paraId="6B691BEC">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rPr>
        <w:t>9</w:t>
      </w:r>
      <w:r>
        <w:rPr>
          <w:rFonts w:hint="eastAsia" w:ascii="宋体" w:hAnsi="宋体" w:cs="楷体_GB2312"/>
          <w:color w:val="auto"/>
          <w:sz w:val="24"/>
          <w:highlight w:val="none"/>
          <w:lang w:val="zh-CN"/>
        </w:rPr>
        <w:t>.</w:t>
      </w:r>
      <w:r>
        <w:rPr>
          <w:rFonts w:hint="eastAsia" w:ascii="宋体" w:hAnsi="宋体" w:cs="楷体_GB2312"/>
          <w:color w:val="auto"/>
          <w:sz w:val="24"/>
          <w:highlight w:val="none"/>
        </w:rPr>
        <w:t>5</w:t>
      </w:r>
      <w:r>
        <w:rPr>
          <w:rFonts w:hint="eastAsia" w:ascii="宋体" w:hAnsi="宋体" w:cs="楷体_GB2312"/>
          <w:color w:val="auto"/>
          <w:sz w:val="24"/>
          <w:highlight w:val="none"/>
          <w:lang w:val="zh-CN"/>
        </w:rPr>
        <w:t>验收中发现</w:t>
      </w:r>
      <w:r>
        <w:rPr>
          <w:rFonts w:hint="eastAsia" w:ascii="宋体" w:hAnsi="宋体" w:cs="楷体_GB2312"/>
          <w:color w:val="auto"/>
          <w:sz w:val="24"/>
          <w:highlight w:val="none"/>
        </w:rPr>
        <w:t>中标单位</w:t>
      </w:r>
      <w:r>
        <w:rPr>
          <w:rFonts w:hint="eastAsia" w:ascii="宋体" w:hAnsi="宋体" w:cs="楷体_GB2312"/>
          <w:color w:val="auto"/>
          <w:sz w:val="24"/>
          <w:highlight w:val="none"/>
          <w:lang w:val="zh-CN"/>
        </w:rPr>
        <w:t>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629E4931">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9.6 验收公告的时限：采购人要在政府采购项目验收完成后1个工作日内登陆安阳市政府采购网进行验收公告。</w:t>
      </w:r>
    </w:p>
    <w:p w14:paraId="20C61B6C">
      <w:pPr>
        <w:widowControl w:val="0"/>
        <w:adjustRightInd w:val="0"/>
        <w:snapToGrid w:val="0"/>
        <w:spacing w:before="156" w:beforeLines="50" w:line="300" w:lineRule="auto"/>
        <w:ind w:firstLine="561"/>
        <w:rPr>
          <w:rFonts w:ascii="宋体" w:cs="楷体_GB2312"/>
          <w:color w:val="auto"/>
          <w:sz w:val="24"/>
          <w:highlight w:val="none"/>
          <w:lang w:val="zh-CN"/>
        </w:rPr>
      </w:pPr>
    </w:p>
    <w:p w14:paraId="7C6692DB">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34" w:name="_Toc169770943"/>
      <w:r>
        <w:rPr>
          <w:rFonts w:ascii="黑体" w:hAnsi="黑体" w:eastAsia="黑体" w:cs="楷体_GB2312"/>
          <w:b/>
          <w:bCs/>
          <w:color w:val="auto"/>
          <w:sz w:val="28"/>
          <w:szCs w:val="28"/>
          <w:highlight w:val="none"/>
          <w:lang w:val="zh-CN"/>
        </w:rPr>
        <w:t xml:space="preserve">10 </w:t>
      </w:r>
      <w:r>
        <w:rPr>
          <w:rFonts w:hint="eastAsia" w:ascii="黑体" w:hAnsi="黑体" w:eastAsia="黑体" w:cs="楷体_GB2312"/>
          <w:b/>
          <w:bCs/>
          <w:color w:val="auto"/>
          <w:sz w:val="28"/>
          <w:szCs w:val="28"/>
          <w:highlight w:val="none"/>
          <w:lang w:val="zh-CN"/>
        </w:rPr>
        <w:t>付款</w:t>
      </w:r>
      <w:bookmarkEnd w:id="34"/>
    </w:p>
    <w:p w14:paraId="104C8553">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lang w:val="zh-CN"/>
        </w:rPr>
        <w:t>见投标人须知前附表</w:t>
      </w:r>
    </w:p>
    <w:p w14:paraId="7A573C94">
      <w:pPr>
        <w:widowControl w:val="0"/>
        <w:adjustRightInd w:val="0"/>
        <w:snapToGrid w:val="0"/>
        <w:spacing w:before="156" w:beforeLines="50" w:line="300" w:lineRule="auto"/>
        <w:rPr>
          <w:rFonts w:ascii="黑体" w:hAnsi="黑体" w:eastAsia="黑体" w:cs="楷体_GB2312"/>
          <w:b/>
          <w:bCs/>
          <w:color w:val="auto"/>
          <w:sz w:val="28"/>
          <w:szCs w:val="28"/>
          <w:highlight w:val="none"/>
          <w:lang w:val="zh-CN"/>
        </w:rPr>
      </w:pPr>
    </w:p>
    <w:p w14:paraId="44973705">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35" w:name="_Toc169770944"/>
      <w:r>
        <w:rPr>
          <w:rFonts w:ascii="黑体" w:hAnsi="黑体" w:eastAsia="黑体" w:cs="楷体_GB2312"/>
          <w:b/>
          <w:bCs/>
          <w:color w:val="auto"/>
          <w:sz w:val="28"/>
          <w:szCs w:val="28"/>
          <w:highlight w:val="none"/>
          <w:lang w:val="zh-CN"/>
        </w:rPr>
        <w:t xml:space="preserve">11 </w:t>
      </w:r>
      <w:r>
        <w:rPr>
          <w:rFonts w:hint="eastAsia" w:ascii="黑体" w:hAnsi="黑体" w:eastAsia="黑体" w:cs="楷体_GB2312"/>
          <w:b/>
          <w:bCs/>
          <w:color w:val="auto"/>
          <w:sz w:val="28"/>
          <w:szCs w:val="28"/>
          <w:highlight w:val="none"/>
          <w:lang w:val="zh-CN"/>
        </w:rPr>
        <w:t>其他</w:t>
      </w:r>
      <w:bookmarkEnd w:id="35"/>
    </w:p>
    <w:p w14:paraId="34F6482B">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1</w:t>
      </w:r>
      <w:r>
        <w:rPr>
          <w:rFonts w:ascii="宋体" w:cs="楷体_GB2312"/>
          <w:color w:val="auto"/>
          <w:sz w:val="24"/>
          <w:highlight w:val="none"/>
          <w:lang w:val="zh-CN"/>
        </w:rPr>
        <w:t>1</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中标服务费等：见投标人须知前附表</w:t>
      </w:r>
    </w:p>
    <w:p w14:paraId="78D6B64B">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1</w:t>
      </w:r>
      <w:r>
        <w:rPr>
          <w:rFonts w:ascii="宋体" w:cs="楷体_GB2312"/>
          <w:color w:val="auto"/>
          <w:sz w:val="24"/>
          <w:highlight w:val="none"/>
          <w:lang w:val="zh-CN"/>
        </w:rPr>
        <w:t>1.</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投标人资格条件中包含非法人单位的，招标文件中法定代表人一词相应包含表示证照标示的负责人；</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投标人资格条件中包含自然人的，招标文件中法定代表人一词相应包含表示自然人，自然人应由其本人签署投标文件、参加投标，不应再授权他人。</w:t>
      </w:r>
    </w:p>
    <w:p w14:paraId="33D40DEC">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highlight w:val="none"/>
          <w:lang w:val="zh-CN"/>
        </w:rPr>
      </w:pPr>
      <w:r>
        <w:rPr>
          <w:rFonts w:ascii="宋体" w:hAnsi="宋体" w:cs="楷体_GB2312"/>
          <w:color w:val="auto"/>
          <w:sz w:val="24"/>
          <w:highlight w:val="none"/>
          <w:lang w:val="zh-CN"/>
        </w:rPr>
        <w:t xml:space="preserve">11.3 </w:t>
      </w:r>
      <w:r>
        <w:rPr>
          <w:rFonts w:hint="eastAsia" w:ascii="宋体" w:hAnsi="宋体" w:cs="楷体_GB2312"/>
          <w:color w:val="auto"/>
          <w:sz w:val="24"/>
          <w:highlight w:val="none"/>
          <w:lang w:val="zh-CN"/>
        </w:rPr>
        <w:t>招标文件第一章至第四章各章中，用序号标示条、款、项、目，例如：</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条，</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款（简称</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款），</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项（简称</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项）。“条”包含款、项、目；“款”包含项、目；“项”包含目。</w:t>
      </w:r>
    </w:p>
    <w:p w14:paraId="5992E311">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highlight w:val="none"/>
          <w:lang w:val="zh-CN"/>
        </w:rPr>
      </w:pPr>
    </w:p>
    <w:p w14:paraId="3A8DFBD4">
      <w:pPr>
        <w:widowControl w:val="0"/>
        <w:adjustRightInd w:val="0"/>
        <w:snapToGrid w:val="0"/>
        <w:spacing w:before="156" w:beforeLines="50" w:line="300" w:lineRule="auto"/>
        <w:ind w:left="23" w:firstLine="556"/>
        <w:jc w:val="left"/>
        <w:outlineLvl w:val="1"/>
        <w:rPr>
          <w:rFonts w:ascii="黑体" w:hAnsi="黑体" w:eastAsia="黑体" w:cs="楷体_GB2312"/>
          <w:b/>
          <w:bCs/>
          <w:color w:val="auto"/>
          <w:sz w:val="28"/>
          <w:szCs w:val="28"/>
          <w:highlight w:val="none"/>
          <w:lang w:val="zh-CN"/>
        </w:rPr>
      </w:pPr>
      <w:bookmarkStart w:id="36" w:name="_Toc169770945"/>
      <w:bookmarkStart w:id="37" w:name="_Toc58855443"/>
      <w:r>
        <w:rPr>
          <w:rFonts w:ascii="黑体" w:hAnsi="黑体" w:eastAsia="黑体" w:cs="楷体_GB2312"/>
          <w:b/>
          <w:bCs/>
          <w:color w:val="auto"/>
          <w:sz w:val="28"/>
          <w:szCs w:val="28"/>
          <w:highlight w:val="none"/>
          <w:lang w:val="zh-CN"/>
        </w:rPr>
        <w:t>1</w:t>
      </w:r>
      <w:r>
        <w:rPr>
          <w:rFonts w:hint="eastAsia" w:ascii="黑体" w:hAnsi="黑体" w:eastAsia="黑体" w:cs="楷体_GB2312"/>
          <w:b/>
          <w:bCs/>
          <w:color w:val="auto"/>
          <w:sz w:val="28"/>
          <w:szCs w:val="28"/>
          <w:highlight w:val="none"/>
          <w:lang w:val="zh-CN"/>
        </w:rPr>
        <w:t>2 河南省政府采购合同融资政策告知函</w:t>
      </w:r>
      <w:bookmarkEnd w:id="36"/>
      <w:bookmarkEnd w:id="37"/>
    </w:p>
    <w:p w14:paraId="76E3F32C">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各供应商：</w:t>
      </w:r>
    </w:p>
    <w:p w14:paraId="1080CD23">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欢迎贵公司参与河南省政府采购活动！</w:t>
      </w:r>
    </w:p>
    <w:p w14:paraId="23D1091D">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7F9D22D">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贷款渠道和提供贷款的金融机构，可在河南省政府采购网“河南省政府采购合同融资平台”查询联系。</w:t>
      </w:r>
    </w:p>
    <w:p w14:paraId="51541D32">
      <w:pPr>
        <w:widowControl w:val="0"/>
        <w:autoSpaceDE w:val="0"/>
        <w:autoSpaceDN w:val="0"/>
        <w:adjustRightInd w:val="0"/>
        <w:spacing w:before="156" w:beforeLines="50" w:line="300" w:lineRule="auto"/>
        <w:jc w:val="left"/>
        <w:textAlignment w:val="auto"/>
        <w:rPr>
          <w:color w:val="auto"/>
          <w:sz w:val="44"/>
          <w:szCs w:val="44"/>
          <w:highlight w:val="none"/>
        </w:rPr>
      </w:pPr>
    </w:p>
    <w:p w14:paraId="49BACE5D">
      <w:pPr>
        <w:adjustRightInd w:val="0"/>
        <w:snapToGrid w:val="0"/>
        <w:spacing w:before="156" w:beforeLines="50" w:line="300" w:lineRule="auto"/>
        <w:jc w:val="left"/>
        <w:outlineLvl w:val="1"/>
        <w:rPr>
          <w:rFonts w:eastAsia="方正黑体简体"/>
          <w:b/>
          <w:color w:val="auto"/>
          <w:sz w:val="30"/>
          <w:szCs w:val="30"/>
          <w:highlight w:val="none"/>
        </w:rPr>
      </w:pPr>
      <w:bookmarkStart w:id="38" w:name="_GoBack"/>
      <w:bookmarkEnd w:id="38"/>
    </w:p>
    <w:sectPr>
      <w:pgSz w:w="11905" w:h="16837"/>
      <w:pgMar w:top="1091" w:right="1106" w:bottom="993" w:left="1418"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Adobe 宋体 Std L">
    <w:altName w:val="黑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F071">
    <w:pPr>
      <w:widowControl w:val="0"/>
      <w:snapToGrid w:val="0"/>
      <w:spacing w:line="240" w:lineRule="atLeast"/>
      <w:ind w:right="21" w:firstLine="105" w:firstLineChars="50"/>
      <w:jc w:val="left"/>
      <w:rPr>
        <w:rFonts w:ascii="宋体" w:hAnsi="宋体"/>
        <w:szCs w:val="21"/>
        <w:u w:val="single"/>
      </w:rPr>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2"/>
        <w:rFonts w:ascii="宋体" w:hAnsi="宋体"/>
        <w:szCs w:val="21"/>
        <w:u w:val="single"/>
      </w:rPr>
      <w:fldChar w:fldCharType="begin"/>
    </w:r>
    <w:r>
      <w:rPr>
        <w:rStyle w:val="22"/>
        <w:rFonts w:ascii="宋体" w:hAnsi="宋体"/>
        <w:szCs w:val="21"/>
        <w:u w:val="single"/>
      </w:rPr>
      <w:instrText xml:space="preserve"> PAGE </w:instrText>
    </w:r>
    <w:r>
      <w:rPr>
        <w:rStyle w:val="22"/>
        <w:rFonts w:ascii="宋体" w:hAnsi="宋体"/>
        <w:szCs w:val="21"/>
        <w:u w:val="single"/>
      </w:rPr>
      <w:fldChar w:fldCharType="separate"/>
    </w:r>
    <w:r>
      <w:rPr>
        <w:rStyle w:val="22"/>
        <w:rFonts w:ascii="宋体" w:hAnsi="宋体"/>
        <w:szCs w:val="21"/>
        <w:u w:val="single"/>
      </w:rPr>
      <w:t>- 22 -</w:t>
    </w:r>
    <w:r>
      <w:rPr>
        <w:rStyle w:val="22"/>
        <w:rFonts w:ascii="宋体" w:hAnsi="宋体"/>
        <w:szCs w:val="21"/>
        <w:u w:val="single"/>
      </w:rPr>
      <w:fldChar w:fldCharType="end"/>
    </w:r>
    <w:r>
      <w:rPr>
        <w:rStyle w:val="22"/>
        <w:rFonts w:ascii="宋体" w:hAnsi="宋体"/>
        <w:szCs w:val="21"/>
        <w:u w:val="single"/>
      </w:rPr>
      <w:t xml:space="preserve"> </w:t>
    </w:r>
    <w:r>
      <w:rPr>
        <w:rStyle w:val="22"/>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22"/>
        <w:szCs w:val="21"/>
        <w:u w:val="single"/>
      </w:rPr>
      <w:t>66</w:t>
    </w:r>
    <w:r>
      <w:rPr>
        <w:rStyle w:val="22"/>
        <w:szCs w:val="21"/>
        <w:u w:val="single"/>
      </w:rPr>
      <w:fldChar w:fldCharType="end"/>
    </w:r>
    <w:r>
      <w:rPr>
        <w:rFonts w:hint="eastAsia" w:ascii="宋体" w:hAnsi="宋体"/>
        <w:szCs w:val="21"/>
        <w:u w:val="single"/>
      </w:rPr>
      <w:t>页</w:t>
    </w:r>
    <w:r>
      <w:rPr>
        <w:rFonts w:ascii="宋体" w:hAnsi="宋体"/>
        <w:szCs w:val="21"/>
        <w:u w:val="single"/>
      </w:rPr>
      <w:t>)</w: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bodyPr lIns="0" tIns="0" rIns="0" bIns="0" upright="1"/>
                  </wps:wsp>
                </a:graphicData>
              </a:graphic>
            </wp:anchor>
          </w:drawing>
        </mc:Choice>
        <mc:Fallback>
          <w:pict>
            <v:shape id="文本框 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ne5yNkAAAAOAQAADwAAAAAAAAABACAAAAAiAAAAZHJzL2Rvd25yZXYueG1sUEsBAhQA&#10;FAAAAAgAh07iQJo/E4C4AQAAagMAAA4AAAAAAAAAAQAgAAAAKAEAAGRycy9lMm9Eb2MueG1sUEsF&#10;BgAAAAAGAAYAWQEAAFI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5068">
    <w:pPr>
      <w:pStyle w:val="10"/>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14:paraId="75A9028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E537">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029B8">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2283983 .</w:t>
    </w: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bodyPr lIns="0" tIns="0" rIns="0" bIns="0" upright="1"/>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dN05x2AAAAAoBAAAP&#10;AAAAAAAAAAEAIAAAACIAAABkcnMvZG93bnJldi54bWxQSwECFAAUAAAACACHTuJAs2EH6qYBAABm&#10;AwAADgAAAAAAAAABACAAAAAnAQAAZHJzL2Uyb0RvYy54bWxQSwUGAAAAAAYABgBZAQAAPwUAAAAA&#10;">
              <v:fill on="f" focussize="0,0"/>
              <v:stroke on="f"/>
              <v:imagedata o:title=""/>
              <o:lock v:ext="edit" aspectratio="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oPk4zkszHM6Pkw6GwUhjcS+dIrs=" w:salt="IBrwFQS3KMcOUnQFXsLtAA=="/>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WFjMDEyOWIxMDRiMzJjNmM0MTE3OGZjYjA0YjkifQ=="/>
  </w:docVars>
  <w:rsids>
    <w:rsidRoot w:val="00172A27"/>
    <w:rsid w:val="00001D7A"/>
    <w:rsid w:val="00002B87"/>
    <w:rsid w:val="000042FC"/>
    <w:rsid w:val="00006184"/>
    <w:rsid w:val="000118FF"/>
    <w:rsid w:val="00011F9D"/>
    <w:rsid w:val="000129C4"/>
    <w:rsid w:val="00013814"/>
    <w:rsid w:val="00013DB2"/>
    <w:rsid w:val="00014FA0"/>
    <w:rsid w:val="00015C36"/>
    <w:rsid w:val="00016334"/>
    <w:rsid w:val="00017560"/>
    <w:rsid w:val="0001783F"/>
    <w:rsid w:val="00017E1E"/>
    <w:rsid w:val="00020336"/>
    <w:rsid w:val="0002195A"/>
    <w:rsid w:val="00023676"/>
    <w:rsid w:val="00024608"/>
    <w:rsid w:val="00025438"/>
    <w:rsid w:val="00025F1E"/>
    <w:rsid w:val="0002701F"/>
    <w:rsid w:val="0002737B"/>
    <w:rsid w:val="0003123D"/>
    <w:rsid w:val="0003321D"/>
    <w:rsid w:val="000339BC"/>
    <w:rsid w:val="0003567F"/>
    <w:rsid w:val="00036AA4"/>
    <w:rsid w:val="000372BB"/>
    <w:rsid w:val="00041891"/>
    <w:rsid w:val="0004237C"/>
    <w:rsid w:val="00042CA8"/>
    <w:rsid w:val="00042F27"/>
    <w:rsid w:val="000437D6"/>
    <w:rsid w:val="00043821"/>
    <w:rsid w:val="00043CBA"/>
    <w:rsid w:val="00043D90"/>
    <w:rsid w:val="000441FD"/>
    <w:rsid w:val="00045899"/>
    <w:rsid w:val="000458E7"/>
    <w:rsid w:val="00050832"/>
    <w:rsid w:val="00052D79"/>
    <w:rsid w:val="00056986"/>
    <w:rsid w:val="00056C7E"/>
    <w:rsid w:val="00057BA0"/>
    <w:rsid w:val="00057F78"/>
    <w:rsid w:val="0006134B"/>
    <w:rsid w:val="000622B5"/>
    <w:rsid w:val="00062784"/>
    <w:rsid w:val="00062821"/>
    <w:rsid w:val="00065301"/>
    <w:rsid w:val="00070DCC"/>
    <w:rsid w:val="00071C34"/>
    <w:rsid w:val="00072834"/>
    <w:rsid w:val="000732AB"/>
    <w:rsid w:val="0007358E"/>
    <w:rsid w:val="0007390E"/>
    <w:rsid w:val="00073A45"/>
    <w:rsid w:val="00074985"/>
    <w:rsid w:val="00077629"/>
    <w:rsid w:val="00080AE9"/>
    <w:rsid w:val="00081801"/>
    <w:rsid w:val="00081C6C"/>
    <w:rsid w:val="000823AD"/>
    <w:rsid w:val="0008258F"/>
    <w:rsid w:val="000829A8"/>
    <w:rsid w:val="000829DB"/>
    <w:rsid w:val="000834A3"/>
    <w:rsid w:val="00083869"/>
    <w:rsid w:val="00084C56"/>
    <w:rsid w:val="00085435"/>
    <w:rsid w:val="00086B70"/>
    <w:rsid w:val="000906F2"/>
    <w:rsid w:val="00090D6B"/>
    <w:rsid w:val="00090EB6"/>
    <w:rsid w:val="00091C5E"/>
    <w:rsid w:val="0009268E"/>
    <w:rsid w:val="000929AC"/>
    <w:rsid w:val="0009302D"/>
    <w:rsid w:val="00093A6B"/>
    <w:rsid w:val="00094C9E"/>
    <w:rsid w:val="000956CE"/>
    <w:rsid w:val="000962DF"/>
    <w:rsid w:val="000977CD"/>
    <w:rsid w:val="000A1EF0"/>
    <w:rsid w:val="000A2F4F"/>
    <w:rsid w:val="000A3FE8"/>
    <w:rsid w:val="000A4640"/>
    <w:rsid w:val="000A55EE"/>
    <w:rsid w:val="000A61F5"/>
    <w:rsid w:val="000A688B"/>
    <w:rsid w:val="000A7A3C"/>
    <w:rsid w:val="000A7B72"/>
    <w:rsid w:val="000B1334"/>
    <w:rsid w:val="000B2559"/>
    <w:rsid w:val="000B3DD8"/>
    <w:rsid w:val="000B4758"/>
    <w:rsid w:val="000B535A"/>
    <w:rsid w:val="000B5412"/>
    <w:rsid w:val="000B6571"/>
    <w:rsid w:val="000C0072"/>
    <w:rsid w:val="000C0358"/>
    <w:rsid w:val="000C17C5"/>
    <w:rsid w:val="000C2AA6"/>
    <w:rsid w:val="000C418B"/>
    <w:rsid w:val="000C5E57"/>
    <w:rsid w:val="000C6578"/>
    <w:rsid w:val="000D1898"/>
    <w:rsid w:val="000D2631"/>
    <w:rsid w:val="000D29E1"/>
    <w:rsid w:val="000E02FC"/>
    <w:rsid w:val="000E07C6"/>
    <w:rsid w:val="000E127A"/>
    <w:rsid w:val="000E41D5"/>
    <w:rsid w:val="000E54A0"/>
    <w:rsid w:val="000E6E96"/>
    <w:rsid w:val="000F0906"/>
    <w:rsid w:val="000F0D31"/>
    <w:rsid w:val="000F108C"/>
    <w:rsid w:val="000F3188"/>
    <w:rsid w:val="000F3282"/>
    <w:rsid w:val="000F3D46"/>
    <w:rsid w:val="000F3E7E"/>
    <w:rsid w:val="000F4146"/>
    <w:rsid w:val="000F4C91"/>
    <w:rsid w:val="000F71A3"/>
    <w:rsid w:val="000F756B"/>
    <w:rsid w:val="000F7917"/>
    <w:rsid w:val="000F79CB"/>
    <w:rsid w:val="000F7BE8"/>
    <w:rsid w:val="0010005D"/>
    <w:rsid w:val="0010292D"/>
    <w:rsid w:val="00103B89"/>
    <w:rsid w:val="00103EBE"/>
    <w:rsid w:val="001056D3"/>
    <w:rsid w:val="001073D9"/>
    <w:rsid w:val="00107435"/>
    <w:rsid w:val="00110434"/>
    <w:rsid w:val="00110916"/>
    <w:rsid w:val="00111476"/>
    <w:rsid w:val="001118D4"/>
    <w:rsid w:val="00113D0A"/>
    <w:rsid w:val="00115075"/>
    <w:rsid w:val="001163D8"/>
    <w:rsid w:val="00117724"/>
    <w:rsid w:val="00120466"/>
    <w:rsid w:val="00123128"/>
    <w:rsid w:val="00124C33"/>
    <w:rsid w:val="00124FA8"/>
    <w:rsid w:val="0012536B"/>
    <w:rsid w:val="00126132"/>
    <w:rsid w:val="00126CF1"/>
    <w:rsid w:val="00130453"/>
    <w:rsid w:val="00131B13"/>
    <w:rsid w:val="00131CCB"/>
    <w:rsid w:val="00132364"/>
    <w:rsid w:val="001331D2"/>
    <w:rsid w:val="001342A5"/>
    <w:rsid w:val="00134F57"/>
    <w:rsid w:val="00135227"/>
    <w:rsid w:val="001364C3"/>
    <w:rsid w:val="001373F3"/>
    <w:rsid w:val="001376B5"/>
    <w:rsid w:val="001378C9"/>
    <w:rsid w:val="001401E4"/>
    <w:rsid w:val="001403FB"/>
    <w:rsid w:val="001409F2"/>
    <w:rsid w:val="00141452"/>
    <w:rsid w:val="00144530"/>
    <w:rsid w:val="00146773"/>
    <w:rsid w:val="001531FB"/>
    <w:rsid w:val="001532B2"/>
    <w:rsid w:val="001537D5"/>
    <w:rsid w:val="0015450A"/>
    <w:rsid w:val="0015450D"/>
    <w:rsid w:val="0015691C"/>
    <w:rsid w:val="00157A88"/>
    <w:rsid w:val="00161EAD"/>
    <w:rsid w:val="00162673"/>
    <w:rsid w:val="00166938"/>
    <w:rsid w:val="0016693E"/>
    <w:rsid w:val="00167109"/>
    <w:rsid w:val="0016783C"/>
    <w:rsid w:val="001708C3"/>
    <w:rsid w:val="00170AE1"/>
    <w:rsid w:val="0017175B"/>
    <w:rsid w:val="0017176A"/>
    <w:rsid w:val="001717B5"/>
    <w:rsid w:val="001719D7"/>
    <w:rsid w:val="00172A27"/>
    <w:rsid w:val="00172A7E"/>
    <w:rsid w:val="00175025"/>
    <w:rsid w:val="00175E3A"/>
    <w:rsid w:val="00182CA9"/>
    <w:rsid w:val="00183ABB"/>
    <w:rsid w:val="00186884"/>
    <w:rsid w:val="00186DFE"/>
    <w:rsid w:val="00187C84"/>
    <w:rsid w:val="0019156E"/>
    <w:rsid w:val="001918A1"/>
    <w:rsid w:val="00194451"/>
    <w:rsid w:val="001965DC"/>
    <w:rsid w:val="0019697C"/>
    <w:rsid w:val="00196E5D"/>
    <w:rsid w:val="001A02B0"/>
    <w:rsid w:val="001A1BB5"/>
    <w:rsid w:val="001A1D5B"/>
    <w:rsid w:val="001A1EE2"/>
    <w:rsid w:val="001A2564"/>
    <w:rsid w:val="001A46D0"/>
    <w:rsid w:val="001A555E"/>
    <w:rsid w:val="001A5D00"/>
    <w:rsid w:val="001A733E"/>
    <w:rsid w:val="001B3387"/>
    <w:rsid w:val="001B353D"/>
    <w:rsid w:val="001B4202"/>
    <w:rsid w:val="001B5626"/>
    <w:rsid w:val="001B598B"/>
    <w:rsid w:val="001B6072"/>
    <w:rsid w:val="001B7085"/>
    <w:rsid w:val="001B7B35"/>
    <w:rsid w:val="001C015C"/>
    <w:rsid w:val="001C050D"/>
    <w:rsid w:val="001C219F"/>
    <w:rsid w:val="001C2389"/>
    <w:rsid w:val="001C2D34"/>
    <w:rsid w:val="001C397C"/>
    <w:rsid w:val="001C4B92"/>
    <w:rsid w:val="001C56BF"/>
    <w:rsid w:val="001C572D"/>
    <w:rsid w:val="001C6195"/>
    <w:rsid w:val="001C6505"/>
    <w:rsid w:val="001C6FC8"/>
    <w:rsid w:val="001D14A1"/>
    <w:rsid w:val="001D17A7"/>
    <w:rsid w:val="001D292F"/>
    <w:rsid w:val="001D2CF7"/>
    <w:rsid w:val="001D2F63"/>
    <w:rsid w:val="001D3921"/>
    <w:rsid w:val="001D3B0B"/>
    <w:rsid w:val="001D6772"/>
    <w:rsid w:val="001D6C63"/>
    <w:rsid w:val="001D742A"/>
    <w:rsid w:val="001D79E1"/>
    <w:rsid w:val="001D7FC1"/>
    <w:rsid w:val="001E04F2"/>
    <w:rsid w:val="001E0A3F"/>
    <w:rsid w:val="001E1A46"/>
    <w:rsid w:val="001E25BA"/>
    <w:rsid w:val="001E25FA"/>
    <w:rsid w:val="001E2ED6"/>
    <w:rsid w:val="001E30AE"/>
    <w:rsid w:val="001E364B"/>
    <w:rsid w:val="001E45BE"/>
    <w:rsid w:val="001E5C93"/>
    <w:rsid w:val="001F543B"/>
    <w:rsid w:val="001F6921"/>
    <w:rsid w:val="001F7D39"/>
    <w:rsid w:val="001F7ECB"/>
    <w:rsid w:val="00202D93"/>
    <w:rsid w:val="00202E2A"/>
    <w:rsid w:val="00203933"/>
    <w:rsid w:val="00204C09"/>
    <w:rsid w:val="00205148"/>
    <w:rsid w:val="002052BF"/>
    <w:rsid w:val="0020536F"/>
    <w:rsid w:val="002053E8"/>
    <w:rsid w:val="00205670"/>
    <w:rsid w:val="00205DC9"/>
    <w:rsid w:val="0020635B"/>
    <w:rsid w:val="002064E1"/>
    <w:rsid w:val="00207968"/>
    <w:rsid w:val="00207B50"/>
    <w:rsid w:val="00212022"/>
    <w:rsid w:val="00214228"/>
    <w:rsid w:val="0021493D"/>
    <w:rsid w:val="00214DD7"/>
    <w:rsid w:val="00214F54"/>
    <w:rsid w:val="002155C5"/>
    <w:rsid w:val="0021708F"/>
    <w:rsid w:val="002228C6"/>
    <w:rsid w:val="002238AE"/>
    <w:rsid w:val="002238BD"/>
    <w:rsid w:val="002247B5"/>
    <w:rsid w:val="0022623B"/>
    <w:rsid w:val="0022680B"/>
    <w:rsid w:val="0023012A"/>
    <w:rsid w:val="00231D21"/>
    <w:rsid w:val="0023225F"/>
    <w:rsid w:val="0023255F"/>
    <w:rsid w:val="00235797"/>
    <w:rsid w:val="0023589D"/>
    <w:rsid w:val="00235F2B"/>
    <w:rsid w:val="00236EE2"/>
    <w:rsid w:val="00237A15"/>
    <w:rsid w:val="00240733"/>
    <w:rsid w:val="00241D3A"/>
    <w:rsid w:val="002423AD"/>
    <w:rsid w:val="0024269B"/>
    <w:rsid w:val="00242E56"/>
    <w:rsid w:val="00244532"/>
    <w:rsid w:val="00244845"/>
    <w:rsid w:val="00244B40"/>
    <w:rsid w:val="00246A36"/>
    <w:rsid w:val="00247523"/>
    <w:rsid w:val="002475F4"/>
    <w:rsid w:val="00247993"/>
    <w:rsid w:val="00247F59"/>
    <w:rsid w:val="0025043E"/>
    <w:rsid w:val="00250D5C"/>
    <w:rsid w:val="00252438"/>
    <w:rsid w:val="00253446"/>
    <w:rsid w:val="00254149"/>
    <w:rsid w:val="00254F6E"/>
    <w:rsid w:val="00255939"/>
    <w:rsid w:val="00255F05"/>
    <w:rsid w:val="0025656F"/>
    <w:rsid w:val="002574D7"/>
    <w:rsid w:val="00257B22"/>
    <w:rsid w:val="00260E74"/>
    <w:rsid w:val="002665E4"/>
    <w:rsid w:val="002673AF"/>
    <w:rsid w:val="00270437"/>
    <w:rsid w:val="0027067C"/>
    <w:rsid w:val="00270D09"/>
    <w:rsid w:val="00270FE1"/>
    <w:rsid w:val="00271ABB"/>
    <w:rsid w:val="0027281A"/>
    <w:rsid w:val="00272DEC"/>
    <w:rsid w:val="002759A2"/>
    <w:rsid w:val="00276204"/>
    <w:rsid w:val="00276C58"/>
    <w:rsid w:val="00280E45"/>
    <w:rsid w:val="002810F8"/>
    <w:rsid w:val="00282504"/>
    <w:rsid w:val="00283767"/>
    <w:rsid w:val="002901A4"/>
    <w:rsid w:val="00290ACC"/>
    <w:rsid w:val="00290D50"/>
    <w:rsid w:val="00291105"/>
    <w:rsid w:val="002936B7"/>
    <w:rsid w:val="0029442F"/>
    <w:rsid w:val="0029595B"/>
    <w:rsid w:val="00295A34"/>
    <w:rsid w:val="00296501"/>
    <w:rsid w:val="0029679C"/>
    <w:rsid w:val="00297034"/>
    <w:rsid w:val="00297330"/>
    <w:rsid w:val="002975BF"/>
    <w:rsid w:val="0029799B"/>
    <w:rsid w:val="002A0906"/>
    <w:rsid w:val="002A1CD2"/>
    <w:rsid w:val="002A2127"/>
    <w:rsid w:val="002A2B5C"/>
    <w:rsid w:val="002A2B93"/>
    <w:rsid w:val="002A4898"/>
    <w:rsid w:val="002A4F6F"/>
    <w:rsid w:val="002A5411"/>
    <w:rsid w:val="002A6206"/>
    <w:rsid w:val="002A6ED3"/>
    <w:rsid w:val="002B01D6"/>
    <w:rsid w:val="002B2CE9"/>
    <w:rsid w:val="002B2F3A"/>
    <w:rsid w:val="002B5E0D"/>
    <w:rsid w:val="002B6471"/>
    <w:rsid w:val="002B7A62"/>
    <w:rsid w:val="002C00FF"/>
    <w:rsid w:val="002C2475"/>
    <w:rsid w:val="002C3D91"/>
    <w:rsid w:val="002C4340"/>
    <w:rsid w:val="002C4F66"/>
    <w:rsid w:val="002C5F65"/>
    <w:rsid w:val="002C61E4"/>
    <w:rsid w:val="002C65FF"/>
    <w:rsid w:val="002C75BE"/>
    <w:rsid w:val="002D157C"/>
    <w:rsid w:val="002D3A86"/>
    <w:rsid w:val="002D40BF"/>
    <w:rsid w:val="002D49C0"/>
    <w:rsid w:val="002D6B6F"/>
    <w:rsid w:val="002D7A77"/>
    <w:rsid w:val="002D7BE8"/>
    <w:rsid w:val="002E098C"/>
    <w:rsid w:val="002E3749"/>
    <w:rsid w:val="002E3E40"/>
    <w:rsid w:val="002E474B"/>
    <w:rsid w:val="002E76EF"/>
    <w:rsid w:val="002E7E70"/>
    <w:rsid w:val="002F08C6"/>
    <w:rsid w:val="002F091C"/>
    <w:rsid w:val="002F14E3"/>
    <w:rsid w:val="002F24F3"/>
    <w:rsid w:val="002F2754"/>
    <w:rsid w:val="002F27B6"/>
    <w:rsid w:val="002F2CD7"/>
    <w:rsid w:val="002F37CB"/>
    <w:rsid w:val="002F4ADA"/>
    <w:rsid w:val="002F5465"/>
    <w:rsid w:val="002F7AD0"/>
    <w:rsid w:val="002F7EF3"/>
    <w:rsid w:val="0030169A"/>
    <w:rsid w:val="00303A7C"/>
    <w:rsid w:val="00306123"/>
    <w:rsid w:val="00307CF1"/>
    <w:rsid w:val="0031007D"/>
    <w:rsid w:val="003107DD"/>
    <w:rsid w:val="00310B97"/>
    <w:rsid w:val="00311B9B"/>
    <w:rsid w:val="00311CDC"/>
    <w:rsid w:val="00311F97"/>
    <w:rsid w:val="0031279C"/>
    <w:rsid w:val="00313380"/>
    <w:rsid w:val="00313E93"/>
    <w:rsid w:val="003142BE"/>
    <w:rsid w:val="0031536A"/>
    <w:rsid w:val="003157D1"/>
    <w:rsid w:val="00317222"/>
    <w:rsid w:val="00321555"/>
    <w:rsid w:val="00322799"/>
    <w:rsid w:val="003241F1"/>
    <w:rsid w:val="00324984"/>
    <w:rsid w:val="00325EB2"/>
    <w:rsid w:val="00326A53"/>
    <w:rsid w:val="003301E5"/>
    <w:rsid w:val="003339D1"/>
    <w:rsid w:val="00333BB7"/>
    <w:rsid w:val="0033428E"/>
    <w:rsid w:val="00334800"/>
    <w:rsid w:val="00334CC7"/>
    <w:rsid w:val="003355B7"/>
    <w:rsid w:val="00336C72"/>
    <w:rsid w:val="0034044F"/>
    <w:rsid w:val="00343634"/>
    <w:rsid w:val="00343A1D"/>
    <w:rsid w:val="00343D9C"/>
    <w:rsid w:val="00344987"/>
    <w:rsid w:val="003459A8"/>
    <w:rsid w:val="003463EF"/>
    <w:rsid w:val="003465F0"/>
    <w:rsid w:val="00346AF1"/>
    <w:rsid w:val="00347CFE"/>
    <w:rsid w:val="0035121B"/>
    <w:rsid w:val="00352A69"/>
    <w:rsid w:val="00352D4E"/>
    <w:rsid w:val="00353D74"/>
    <w:rsid w:val="0035556C"/>
    <w:rsid w:val="0035574A"/>
    <w:rsid w:val="00356466"/>
    <w:rsid w:val="00360A1D"/>
    <w:rsid w:val="00360ACB"/>
    <w:rsid w:val="00361811"/>
    <w:rsid w:val="00363155"/>
    <w:rsid w:val="00363291"/>
    <w:rsid w:val="00363B02"/>
    <w:rsid w:val="003642B6"/>
    <w:rsid w:val="0036436D"/>
    <w:rsid w:val="003649C7"/>
    <w:rsid w:val="00365BD8"/>
    <w:rsid w:val="0036763F"/>
    <w:rsid w:val="003676C5"/>
    <w:rsid w:val="00370E66"/>
    <w:rsid w:val="0037102A"/>
    <w:rsid w:val="003716BF"/>
    <w:rsid w:val="00371760"/>
    <w:rsid w:val="00372E14"/>
    <w:rsid w:val="0037416F"/>
    <w:rsid w:val="003758BE"/>
    <w:rsid w:val="00376869"/>
    <w:rsid w:val="003768B2"/>
    <w:rsid w:val="003778E8"/>
    <w:rsid w:val="00380598"/>
    <w:rsid w:val="00380ED1"/>
    <w:rsid w:val="00381B01"/>
    <w:rsid w:val="00382317"/>
    <w:rsid w:val="003829D9"/>
    <w:rsid w:val="00383B17"/>
    <w:rsid w:val="00384A92"/>
    <w:rsid w:val="003854F3"/>
    <w:rsid w:val="00385956"/>
    <w:rsid w:val="00386518"/>
    <w:rsid w:val="003902F4"/>
    <w:rsid w:val="00391A61"/>
    <w:rsid w:val="0039425E"/>
    <w:rsid w:val="00397B1C"/>
    <w:rsid w:val="00397E86"/>
    <w:rsid w:val="003A01CC"/>
    <w:rsid w:val="003A027C"/>
    <w:rsid w:val="003A1388"/>
    <w:rsid w:val="003A1D20"/>
    <w:rsid w:val="003A258C"/>
    <w:rsid w:val="003A40E7"/>
    <w:rsid w:val="003A4472"/>
    <w:rsid w:val="003A5DC1"/>
    <w:rsid w:val="003A66AB"/>
    <w:rsid w:val="003A78B7"/>
    <w:rsid w:val="003B06A2"/>
    <w:rsid w:val="003B099F"/>
    <w:rsid w:val="003B0EA2"/>
    <w:rsid w:val="003B13BE"/>
    <w:rsid w:val="003B5B12"/>
    <w:rsid w:val="003B5BD6"/>
    <w:rsid w:val="003B5D7B"/>
    <w:rsid w:val="003B5F19"/>
    <w:rsid w:val="003B6A79"/>
    <w:rsid w:val="003B72E5"/>
    <w:rsid w:val="003C0663"/>
    <w:rsid w:val="003C0E0B"/>
    <w:rsid w:val="003C1220"/>
    <w:rsid w:val="003C2C2C"/>
    <w:rsid w:val="003C5333"/>
    <w:rsid w:val="003C5626"/>
    <w:rsid w:val="003C6339"/>
    <w:rsid w:val="003C6B76"/>
    <w:rsid w:val="003C6D3A"/>
    <w:rsid w:val="003D14DA"/>
    <w:rsid w:val="003D3B92"/>
    <w:rsid w:val="003D4056"/>
    <w:rsid w:val="003D415D"/>
    <w:rsid w:val="003D46D1"/>
    <w:rsid w:val="003D73FA"/>
    <w:rsid w:val="003E1356"/>
    <w:rsid w:val="003E4925"/>
    <w:rsid w:val="003E58E5"/>
    <w:rsid w:val="003E7C9B"/>
    <w:rsid w:val="003E7D25"/>
    <w:rsid w:val="003F0417"/>
    <w:rsid w:val="003F19AA"/>
    <w:rsid w:val="003F27B9"/>
    <w:rsid w:val="003F30DE"/>
    <w:rsid w:val="003F36ED"/>
    <w:rsid w:val="003F428A"/>
    <w:rsid w:val="003F5AB0"/>
    <w:rsid w:val="003F5BC2"/>
    <w:rsid w:val="003F6324"/>
    <w:rsid w:val="00400F91"/>
    <w:rsid w:val="004017C0"/>
    <w:rsid w:val="00402338"/>
    <w:rsid w:val="00403958"/>
    <w:rsid w:val="00405A9D"/>
    <w:rsid w:val="00406CCB"/>
    <w:rsid w:val="00406E3F"/>
    <w:rsid w:val="00406E48"/>
    <w:rsid w:val="00407310"/>
    <w:rsid w:val="004075AA"/>
    <w:rsid w:val="004137F3"/>
    <w:rsid w:val="00415470"/>
    <w:rsid w:val="00416388"/>
    <w:rsid w:val="00417D4F"/>
    <w:rsid w:val="00420D65"/>
    <w:rsid w:val="004223F4"/>
    <w:rsid w:val="004224DB"/>
    <w:rsid w:val="004255BE"/>
    <w:rsid w:val="00427087"/>
    <w:rsid w:val="004300B5"/>
    <w:rsid w:val="0043103D"/>
    <w:rsid w:val="00431912"/>
    <w:rsid w:val="00432670"/>
    <w:rsid w:val="0043292C"/>
    <w:rsid w:val="004342C9"/>
    <w:rsid w:val="00435B06"/>
    <w:rsid w:val="00436A49"/>
    <w:rsid w:val="00436DE1"/>
    <w:rsid w:val="00440412"/>
    <w:rsid w:val="0044147A"/>
    <w:rsid w:val="00443674"/>
    <w:rsid w:val="00443769"/>
    <w:rsid w:val="00443935"/>
    <w:rsid w:val="004442B3"/>
    <w:rsid w:val="00444A73"/>
    <w:rsid w:val="00445986"/>
    <w:rsid w:val="00446613"/>
    <w:rsid w:val="0044662E"/>
    <w:rsid w:val="00447654"/>
    <w:rsid w:val="004476BD"/>
    <w:rsid w:val="004476E6"/>
    <w:rsid w:val="004513F9"/>
    <w:rsid w:val="004529F7"/>
    <w:rsid w:val="00452F36"/>
    <w:rsid w:val="00453130"/>
    <w:rsid w:val="0045394E"/>
    <w:rsid w:val="00453C73"/>
    <w:rsid w:val="00454B5D"/>
    <w:rsid w:val="00455B44"/>
    <w:rsid w:val="00456FA3"/>
    <w:rsid w:val="0045754E"/>
    <w:rsid w:val="0046086D"/>
    <w:rsid w:val="004624DE"/>
    <w:rsid w:val="00462CC5"/>
    <w:rsid w:val="00463EAE"/>
    <w:rsid w:val="004640E1"/>
    <w:rsid w:val="00464491"/>
    <w:rsid w:val="00465DE3"/>
    <w:rsid w:val="004719E1"/>
    <w:rsid w:val="0047305B"/>
    <w:rsid w:val="004755C3"/>
    <w:rsid w:val="00475A0F"/>
    <w:rsid w:val="004766C8"/>
    <w:rsid w:val="004771A7"/>
    <w:rsid w:val="00477DF1"/>
    <w:rsid w:val="004805E1"/>
    <w:rsid w:val="0048194E"/>
    <w:rsid w:val="00481A4B"/>
    <w:rsid w:val="004852F8"/>
    <w:rsid w:val="004864A7"/>
    <w:rsid w:val="00486D4E"/>
    <w:rsid w:val="00492B91"/>
    <w:rsid w:val="0049352F"/>
    <w:rsid w:val="00493D28"/>
    <w:rsid w:val="00495099"/>
    <w:rsid w:val="004964CB"/>
    <w:rsid w:val="004967A0"/>
    <w:rsid w:val="004A1557"/>
    <w:rsid w:val="004A40B9"/>
    <w:rsid w:val="004A465C"/>
    <w:rsid w:val="004A6204"/>
    <w:rsid w:val="004A73CD"/>
    <w:rsid w:val="004A791C"/>
    <w:rsid w:val="004B0C70"/>
    <w:rsid w:val="004B0EC4"/>
    <w:rsid w:val="004B10CD"/>
    <w:rsid w:val="004B2765"/>
    <w:rsid w:val="004B2A37"/>
    <w:rsid w:val="004B30E9"/>
    <w:rsid w:val="004B3309"/>
    <w:rsid w:val="004B362E"/>
    <w:rsid w:val="004B43B7"/>
    <w:rsid w:val="004B6984"/>
    <w:rsid w:val="004B6E50"/>
    <w:rsid w:val="004C01CB"/>
    <w:rsid w:val="004C05F2"/>
    <w:rsid w:val="004C0640"/>
    <w:rsid w:val="004C223F"/>
    <w:rsid w:val="004C2689"/>
    <w:rsid w:val="004C2B0F"/>
    <w:rsid w:val="004C407E"/>
    <w:rsid w:val="004C4AB1"/>
    <w:rsid w:val="004C7A15"/>
    <w:rsid w:val="004D11B7"/>
    <w:rsid w:val="004D3F97"/>
    <w:rsid w:val="004D4B39"/>
    <w:rsid w:val="004D52E2"/>
    <w:rsid w:val="004D55CE"/>
    <w:rsid w:val="004D57A0"/>
    <w:rsid w:val="004D5F81"/>
    <w:rsid w:val="004D61D0"/>
    <w:rsid w:val="004D69B9"/>
    <w:rsid w:val="004E0448"/>
    <w:rsid w:val="004E0791"/>
    <w:rsid w:val="004E0DB8"/>
    <w:rsid w:val="004E1C15"/>
    <w:rsid w:val="004E37AA"/>
    <w:rsid w:val="004E44CC"/>
    <w:rsid w:val="004E5CA5"/>
    <w:rsid w:val="004E635C"/>
    <w:rsid w:val="004E640D"/>
    <w:rsid w:val="004E7D70"/>
    <w:rsid w:val="004F0E19"/>
    <w:rsid w:val="004F345D"/>
    <w:rsid w:val="004F354D"/>
    <w:rsid w:val="004F6977"/>
    <w:rsid w:val="004F7B32"/>
    <w:rsid w:val="00501FA2"/>
    <w:rsid w:val="005034FC"/>
    <w:rsid w:val="00503F67"/>
    <w:rsid w:val="005045FB"/>
    <w:rsid w:val="00504C77"/>
    <w:rsid w:val="005055E2"/>
    <w:rsid w:val="005106D5"/>
    <w:rsid w:val="00510994"/>
    <w:rsid w:val="005112F3"/>
    <w:rsid w:val="005126E8"/>
    <w:rsid w:val="00513237"/>
    <w:rsid w:val="0051591D"/>
    <w:rsid w:val="005171DA"/>
    <w:rsid w:val="00517BF1"/>
    <w:rsid w:val="00520645"/>
    <w:rsid w:val="00520920"/>
    <w:rsid w:val="0052107B"/>
    <w:rsid w:val="00521372"/>
    <w:rsid w:val="00523184"/>
    <w:rsid w:val="0052357A"/>
    <w:rsid w:val="00523AEC"/>
    <w:rsid w:val="005271C7"/>
    <w:rsid w:val="005272E0"/>
    <w:rsid w:val="00530CE7"/>
    <w:rsid w:val="005316A8"/>
    <w:rsid w:val="00531DBF"/>
    <w:rsid w:val="00535C65"/>
    <w:rsid w:val="00535F30"/>
    <w:rsid w:val="00536DF1"/>
    <w:rsid w:val="00540CA8"/>
    <w:rsid w:val="00540FEC"/>
    <w:rsid w:val="005414D6"/>
    <w:rsid w:val="00541F83"/>
    <w:rsid w:val="005430C7"/>
    <w:rsid w:val="00543809"/>
    <w:rsid w:val="00543CB6"/>
    <w:rsid w:val="005446B0"/>
    <w:rsid w:val="005465AC"/>
    <w:rsid w:val="0054687E"/>
    <w:rsid w:val="0054690E"/>
    <w:rsid w:val="00546B8F"/>
    <w:rsid w:val="005475A9"/>
    <w:rsid w:val="00547935"/>
    <w:rsid w:val="00547E4F"/>
    <w:rsid w:val="00550074"/>
    <w:rsid w:val="00551DFC"/>
    <w:rsid w:val="0055211A"/>
    <w:rsid w:val="00552F55"/>
    <w:rsid w:val="0055455F"/>
    <w:rsid w:val="00555521"/>
    <w:rsid w:val="00555BCD"/>
    <w:rsid w:val="0055651F"/>
    <w:rsid w:val="005605F8"/>
    <w:rsid w:val="005633D7"/>
    <w:rsid w:val="0056343B"/>
    <w:rsid w:val="00563DD5"/>
    <w:rsid w:val="00564D8E"/>
    <w:rsid w:val="005650C2"/>
    <w:rsid w:val="00565484"/>
    <w:rsid w:val="00565A8C"/>
    <w:rsid w:val="00565EF8"/>
    <w:rsid w:val="00570672"/>
    <w:rsid w:val="005727B7"/>
    <w:rsid w:val="00574068"/>
    <w:rsid w:val="00574682"/>
    <w:rsid w:val="0057682D"/>
    <w:rsid w:val="005807B2"/>
    <w:rsid w:val="00580954"/>
    <w:rsid w:val="00581DAF"/>
    <w:rsid w:val="00582FCA"/>
    <w:rsid w:val="00583A5C"/>
    <w:rsid w:val="00584238"/>
    <w:rsid w:val="005850D6"/>
    <w:rsid w:val="0058565E"/>
    <w:rsid w:val="0058643C"/>
    <w:rsid w:val="005869DE"/>
    <w:rsid w:val="00586EDA"/>
    <w:rsid w:val="005927CD"/>
    <w:rsid w:val="005928F3"/>
    <w:rsid w:val="00592F0D"/>
    <w:rsid w:val="0059343A"/>
    <w:rsid w:val="005946B8"/>
    <w:rsid w:val="00595F94"/>
    <w:rsid w:val="005964EC"/>
    <w:rsid w:val="00596E98"/>
    <w:rsid w:val="005971FD"/>
    <w:rsid w:val="0059746C"/>
    <w:rsid w:val="005A0661"/>
    <w:rsid w:val="005A129B"/>
    <w:rsid w:val="005A1DA9"/>
    <w:rsid w:val="005A1FDF"/>
    <w:rsid w:val="005A4F1F"/>
    <w:rsid w:val="005A6732"/>
    <w:rsid w:val="005A6BD9"/>
    <w:rsid w:val="005A6F0F"/>
    <w:rsid w:val="005B0458"/>
    <w:rsid w:val="005B11EB"/>
    <w:rsid w:val="005B143F"/>
    <w:rsid w:val="005B1DF6"/>
    <w:rsid w:val="005B213E"/>
    <w:rsid w:val="005B216A"/>
    <w:rsid w:val="005B267A"/>
    <w:rsid w:val="005B4161"/>
    <w:rsid w:val="005B49EB"/>
    <w:rsid w:val="005B7FA4"/>
    <w:rsid w:val="005C3296"/>
    <w:rsid w:val="005C528B"/>
    <w:rsid w:val="005C70CC"/>
    <w:rsid w:val="005D2CB5"/>
    <w:rsid w:val="005D37A8"/>
    <w:rsid w:val="005D386F"/>
    <w:rsid w:val="005D3969"/>
    <w:rsid w:val="005D72C1"/>
    <w:rsid w:val="005D7A6A"/>
    <w:rsid w:val="005E09A9"/>
    <w:rsid w:val="005E1AFA"/>
    <w:rsid w:val="005E4813"/>
    <w:rsid w:val="005E6E82"/>
    <w:rsid w:val="005E7DDA"/>
    <w:rsid w:val="005F1051"/>
    <w:rsid w:val="005F4EFF"/>
    <w:rsid w:val="005F6167"/>
    <w:rsid w:val="005F7ADC"/>
    <w:rsid w:val="00601855"/>
    <w:rsid w:val="006026FD"/>
    <w:rsid w:val="006031DC"/>
    <w:rsid w:val="00604425"/>
    <w:rsid w:val="0060535C"/>
    <w:rsid w:val="0060542A"/>
    <w:rsid w:val="006061C8"/>
    <w:rsid w:val="00607010"/>
    <w:rsid w:val="00607538"/>
    <w:rsid w:val="006102B7"/>
    <w:rsid w:val="00613D71"/>
    <w:rsid w:val="00613E2E"/>
    <w:rsid w:val="0061459D"/>
    <w:rsid w:val="00614EEC"/>
    <w:rsid w:val="00620242"/>
    <w:rsid w:val="006243E7"/>
    <w:rsid w:val="006254F3"/>
    <w:rsid w:val="00625C51"/>
    <w:rsid w:val="00625F00"/>
    <w:rsid w:val="006266EB"/>
    <w:rsid w:val="00626B3D"/>
    <w:rsid w:val="00627144"/>
    <w:rsid w:val="00627321"/>
    <w:rsid w:val="006313EC"/>
    <w:rsid w:val="006326CB"/>
    <w:rsid w:val="00633421"/>
    <w:rsid w:val="00633CAE"/>
    <w:rsid w:val="0063507E"/>
    <w:rsid w:val="00635319"/>
    <w:rsid w:val="00635AA5"/>
    <w:rsid w:val="0063697C"/>
    <w:rsid w:val="006369CC"/>
    <w:rsid w:val="006374EF"/>
    <w:rsid w:val="00640E45"/>
    <w:rsid w:val="006428C7"/>
    <w:rsid w:val="00643275"/>
    <w:rsid w:val="00643E16"/>
    <w:rsid w:val="00645391"/>
    <w:rsid w:val="00646631"/>
    <w:rsid w:val="00646F06"/>
    <w:rsid w:val="00647F26"/>
    <w:rsid w:val="00651697"/>
    <w:rsid w:val="00652737"/>
    <w:rsid w:val="006536D6"/>
    <w:rsid w:val="00654653"/>
    <w:rsid w:val="006555AD"/>
    <w:rsid w:val="006560FF"/>
    <w:rsid w:val="00657274"/>
    <w:rsid w:val="00657569"/>
    <w:rsid w:val="00661118"/>
    <w:rsid w:val="00662875"/>
    <w:rsid w:val="00662D4D"/>
    <w:rsid w:val="00663399"/>
    <w:rsid w:val="00663870"/>
    <w:rsid w:val="00663C71"/>
    <w:rsid w:val="006640F9"/>
    <w:rsid w:val="006641C6"/>
    <w:rsid w:val="006647CF"/>
    <w:rsid w:val="00664E25"/>
    <w:rsid w:val="006656A2"/>
    <w:rsid w:val="00665738"/>
    <w:rsid w:val="00666247"/>
    <w:rsid w:val="006679EB"/>
    <w:rsid w:val="00672A26"/>
    <w:rsid w:val="006744E7"/>
    <w:rsid w:val="00674C5F"/>
    <w:rsid w:val="00674F5E"/>
    <w:rsid w:val="00675866"/>
    <w:rsid w:val="006763B3"/>
    <w:rsid w:val="006765BB"/>
    <w:rsid w:val="006778A5"/>
    <w:rsid w:val="00677A19"/>
    <w:rsid w:val="00677D94"/>
    <w:rsid w:val="00680491"/>
    <w:rsid w:val="00682F0F"/>
    <w:rsid w:val="006830A1"/>
    <w:rsid w:val="00683222"/>
    <w:rsid w:val="00683387"/>
    <w:rsid w:val="00685AE6"/>
    <w:rsid w:val="00686A7A"/>
    <w:rsid w:val="00686F46"/>
    <w:rsid w:val="00687B51"/>
    <w:rsid w:val="006900BC"/>
    <w:rsid w:val="00690721"/>
    <w:rsid w:val="006907CD"/>
    <w:rsid w:val="00690B47"/>
    <w:rsid w:val="00692A89"/>
    <w:rsid w:val="00692DDF"/>
    <w:rsid w:val="0069376A"/>
    <w:rsid w:val="00694BF0"/>
    <w:rsid w:val="00697CAF"/>
    <w:rsid w:val="006A0AD6"/>
    <w:rsid w:val="006A14CE"/>
    <w:rsid w:val="006A1725"/>
    <w:rsid w:val="006A5D5E"/>
    <w:rsid w:val="006A5EAE"/>
    <w:rsid w:val="006A76FE"/>
    <w:rsid w:val="006B46DC"/>
    <w:rsid w:val="006B666A"/>
    <w:rsid w:val="006B755E"/>
    <w:rsid w:val="006B7F89"/>
    <w:rsid w:val="006C0C8E"/>
    <w:rsid w:val="006C3846"/>
    <w:rsid w:val="006C4725"/>
    <w:rsid w:val="006D1FA6"/>
    <w:rsid w:val="006D21F0"/>
    <w:rsid w:val="006D2952"/>
    <w:rsid w:val="006D3181"/>
    <w:rsid w:val="006D3EDC"/>
    <w:rsid w:val="006D4845"/>
    <w:rsid w:val="006D5CDB"/>
    <w:rsid w:val="006D6ADF"/>
    <w:rsid w:val="006D6BD7"/>
    <w:rsid w:val="006D7839"/>
    <w:rsid w:val="006E02B1"/>
    <w:rsid w:val="006E0414"/>
    <w:rsid w:val="006E06C4"/>
    <w:rsid w:val="006E157D"/>
    <w:rsid w:val="006E2C2F"/>
    <w:rsid w:val="006E34FF"/>
    <w:rsid w:val="006E4279"/>
    <w:rsid w:val="006E519C"/>
    <w:rsid w:val="006E6DDB"/>
    <w:rsid w:val="006F0AC4"/>
    <w:rsid w:val="006F2128"/>
    <w:rsid w:val="006F2CEE"/>
    <w:rsid w:val="006F4297"/>
    <w:rsid w:val="006F5195"/>
    <w:rsid w:val="006F5D2A"/>
    <w:rsid w:val="006F61C3"/>
    <w:rsid w:val="006F730A"/>
    <w:rsid w:val="006F7546"/>
    <w:rsid w:val="00700495"/>
    <w:rsid w:val="00700F4D"/>
    <w:rsid w:val="00701907"/>
    <w:rsid w:val="0070375B"/>
    <w:rsid w:val="00704686"/>
    <w:rsid w:val="007064D1"/>
    <w:rsid w:val="00706C75"/>
    <w:rsid w:val="00707EEA"/>
    <w:rsid w:val="007106FF"/>
    <w:rsid w:val="00710932"/>
    <w:rsid w:val="00711C46"/>
    <w:rsid w:val="007125F4"/>
    <w:rsid w:val="00714BDB"/>
    <w:rsid w:val="00714E63"/>
    <w:rsid w:val="0071751C"/>
    <w:rsid w:val="0071795A"/>
    <w:rsid w:val="007235F4"/>
    <w:rsid w:val="00725BFA"/>
    <w:rsid w:val="00726131"/>
    <w:rsid w:val="007269A4"/>
    <w:rsid w:val="00732632"/>
    <w:rsid w:val="00732BD2"/>
    <w:rsid w:val="00733AA3"/>
    <w:rsid w:val="00733D68"/>
    <w:rsid w:val="00733E60"/>
    <w:rsid w:val="00734BF0"/>
    <w:rsid w:val="00734F8E"/>
    <w:rsid w:val="007358D4"/>
    <w:rsid w:val="00737B33"/>
    <w:rsid w:val="00737D3F"/>
    <w:rsid w:val="0074025C"/>
    <w:rsid w:val="007402F5"/>
    <w:rsid w:val="00742808"/>
    <w:rsid w:val="0074297D"/>
    <w:rsid w:val="00743951"/>
    <w:rsid w:val="0074407F"/>
    <w:rsid w:val="007453C6"/>
    <w:rsid w:val="00745C40"/>
    <w:rsid w:val="00746653"/>
    <w:rsid w:val="00750CFD"/>
    <w:rsid w:val="00753442"/>
    <w:rsid w:val="00754000"/>
    <w:rsid w:val="0075586C"/>
    <w:rsid w:val="007561EF"/>
    <w:rsid w:val="0075646B"/>
    <w:rsid w:val="00757C0C"/>
    <w:rsid w:val="00757FED"/>
    <w:rsid w:val="00760447"/>
    <w:rsid w:val="00760C76"/>
    <w:rsid w:val="0076115B"/>
    <w:rsid w:val="007623A6"/>
    <w:rsid w:val="00763124"/>
    <w:rsid w:val="007644D4"/>
    <w:rsid w:val="00767933"/>
    <w:rsid w:val="00767B57"/>
    <w:rsid w:val="00767E50"/>
    <w:rsid w:val="00771BDB"/>
    <w:rsid w:val="00774DD6"/>
    <w:rsid w:val="007806EF"/>
    <w:rsid w:val="007830DD"/>
    <w:rsid w:val="00783F3B"/>
    <w:rsid w:val="0078437C"/>
    <w:rsid w:val="00784AE6"/>
    <w:rsid w:val="00784CA4"/>
    <w:rsid w:val="00784D51"/>
    <w:rsid w:val="0078521D"/>
    <w:rsid w:val="007854EA"/>
    <w:rsid w:val="00787769"/>
    <w:rsid w:val="00794040"/>
    <w:rsid w:val="0079507F"/>
    <w:rsid w:val="007957AB"/>
    <w:rsid w:val="00797162"/>
    <w:rsid w:val="007A030A"/>
    <w:rsid w:val="007A0608"/>
    <w:rsid w:val="007A2172"/>
    <w:rsid w:val="007A2E2A"/>
    <w:rsid w:val="007A31E6"/>
    <w:rsid w:val="007A3201"/>
    <w:rsid w:val="007A4951"/>
    <w:rsid w:val="007A69E3"/>
    <w:rsid w:val="007A7D92"/>
    <w:rsid w:val="007B0FD1"/>
    <w:rsid w:val="007B1D8C"/>
    <w:rsid w:val="007B2424"/>
    <w:rsid w:val="007B39B5"/>
    <w:rsid w:val="007B44B7"/>
    <w:rsid w:val="007B76CF"/>
    <w:rsid w:val="007C06DB"/>
    <w:rsid w:val="007C07F2"/>
    <w:rsid w:val="007C442F"/>
    <w:rsid w:val="007C7F1C"/>
    <w:rsid w:val="007D19D1"/>
    <w:rsid w:val="007D26D0"/>
    <w:rsid w:val="007D2F6E"/>
    <w:rsid w:val="007D31FD"/>
    <w:rsid w:val="007D31FF"/>
    <w:rsid w:val="007D4096"/>
    <w:rsid w:val="007D502C"/>
    <w:rsid w:val="007D5FE6"/>
    <w:rsid w:val="007D71B9"/>
    <w:rsid w:val="007D79F3"/>
    <w:rsid w:val="007E03DA"/>
    <w:rsid w:val="007E21C1"/>
    <w:rsid w:val="007E2DEE"/>
    <w:rsid w:val="007E37B6"/>
    <w:rsid w:val="007E7CC7"/>
    <w:rsid w:val="007F0892"/>
    <w:rsid w:val="007F12B7"/>
    <w:rsid w:val="007F1AEC"/>
    <w:rsid w:val="007F1EC8"/>
    <w:rsid w:val="007F25A9"/>
    <w:rsid w:val="007F33A7"/>
    <w:rsid w:val="007F40D3"/>
    <w:rsid w:val="007F539D"/>
    <w:rsid w:val="007F5717"/>
    <w:rsid w:val="007F7A90"/>
    <w:rsid w:val="00800944"/>
    <w:rsid w:val="00801036"/>
    <w:rsid w:val="0080130A"/>
    <w:rsid w:val="00801575"/>
    <w:rsid w:val="00804AE3"/>
    <w:rsid w:val="00804F81"/>
    <w:rsid w:val="00807AA6"/>
    <w:rsid w:val="00810FF6"/>
    <w:rsid w:val="0081368C"/>
    <w:rsid w:val="00813D5B"/>
    <w:rsid w:val="00814070"/>
    <w:rsid w:val="008147EC"/>
    <w:rsid w:val="00815D71"/>
    <w:rsid w:val="008164DC"/>
    <w:rsid w:val="00820836"/>
    <w:rsid w:val="008231BA"/>
    <w:rsid w:val="00824E2B"/>
    <w:rsid w:val="00826980"/>
    <w:rsid w:val="008306DE"/>
    <w:rsid w:val="008313B2"/>
    <w:rsid w:val="00832B98"/>
    <w:rsid w:val="00835309"/>
    <w:rsid w:val="00837F0A"/>
    <w:rsid w:val="00840112"/>
    <w:rsid w:val="00840199"/>
    <w:rsid w:val="008405A7"/>
    <w:rsid w:val="00842423"/>
    <w:rsid w:val="008437D3"/>
    <w:rsid w:val="00843DEE"/>
    <w:rsid w:val="00844269"/>
    <w:rsid w:val="00845419"/>
    <w:rsid w:val="00846055"/>
    <w:rsid w:val="00847405"/>
    <w:rsid w:val="00850132"/>
    <w:rsid w:val="00852880"/>
    <w:rsid w:val="00853B1B"/>
    <w:rsid w:val="00855A00"/>
    <w:rsid w:val="00856495"/>
    <w:rsid w:val="0085678F"/>
    <w:rsid w:val="008567C2"/>
    <w:rsid w:val="0085721D"/>
    <w:rsid w:val="008577D4"/>
    <w:rsid w:val="0086059E"/>
    <w:rsid w:val="008608D1"/>
    <w:rsid w:val="00860DDC"/>
    <w:rsid w:val="00861729"/>
    <w:rsid w:val="00862065"/>
    <w:rsid w:val="00863DB6"/>
    <w:rsid w:val="00863FD0"/>
    <w:rsid w:val="008644A7"/>
    <w:rsid w:val="008657F9"/>
    <w:rsid w:val="00865B14"/>
    <w:rsid w:val="00866479"/>
    <w:rsid w:val="00871EF8"/>
    <w:rsid w:val="008720D8"/>
    <w:rsid w:val="0087367F"/>
    <w:rsid w:val="00873A06"/>
    <w:rsid w:val="00874D70"/>
    <w:rsid w:val="00875555"/>
    <w:rsid w:val="00880915"/>
    <w:rsid w:val="00880CD1"/>
    <w:rsid w:val="00883E6C"/>
    <w:rsid w:val="00885AD4"/>
    <w:rsid w:val="00885F5A"/>
    <w:rsid w:val="008862B5"/>
    <w:rsid w:val="0088721E"/>
    <w:rsid w:val="0088740B"/>
    <w:rsid w:val="00887544"/>
    <w:rsid w:val="0089060D"/>
    <w:rsid w:val="008908F5"/>
    <w:rsid w:val="00890A4C"/>
    <w:rsid w:val="00890DDA"/>
    <w:rsid w:val="00891133"/>
    <w:rsid w:val="0089119F"/>
    <w:rsid w:val="00891513"/>
    <w:rsid w:val="00891914"/>
    <w:rsid w:val="008945FD"/>
    <w:rsid w:val="008951AC"/>
    <w:rsid w:val="008961B7"/>
    <w:rsid w:val="0089654C"/>
    <w:rsid w:val="0089677E"/>
    <w:rsid w:val="008978CC"/>
    <w:rsid w:val="008A1673"/>
    <w:rsid w:val="008A1F71"/>
    <w:rsid w:val="008A226B"/>
    <w:rsid w:val="008A694E"/>
    <w:rsid w:val="008B012F"/>
    <w:rsid w:val="008B128F"/>
    <w:rsid w:val="008B354A"/>
    <w:rsid w:val="008B5987"/>
    <w:rsid w:val="008B6B10"/>
    <w:rsid w:val="008B7800"/>
    <w:rsid w:val="008C2E65"/>
    <w:rsid w:val="008C34DE"/>
    <w:rsid w:val="008C37C8"/>
    <w:rsid w:val="008C4DFD"/>
    <w:rsid w:val="008C5BD8"/>
    <w:rsid w:val="008C5C8C"/>
    <w:rsid w:val="008C68A8"/>
    <w:rsid w:val="008D0BF5"/>
    <w:rsid w:val="008D114B"/>
    <w:rsid w:val="008D34FE"/>
    <w:rsid w:val="008D4E68"/>
    <w:rsid w:val="008D52D6"/>
    <w:rsid w:val="008D6987"/>
    <w:rsid w:val="008D7DDB"/>
    <w:rsid w:val="008E08F8"/>
    <w:rsid w:val="008E1F19"/>
    <w:rsid w:val="008E5912"/>
    <w:rsid w:val="008E7169"/>
    <w:rsid w:val="008F075C"/>
    <w:rsid w:val="008F0AF1"/>
    <w:rsid w:val="008F0B32"/>
    <w:rsid w:val="008F11E2"/>
    <w:rsid w:val="008F19A5"/>
    <w:rsid w:val="008F3660"/>
    <w:rsid w:val="008F3F09"/>
    <w:rsid w:val="008F436E"/>
    <w:rsid w:val="008F7B87"/>
    <w:rsid w:val="00901F97"/>
    <w:rsid w:val="009025A6"/>
    <w:rsid w:val="009027DA"/>
    <w:rsid w:val="00902C55"/>
    <w:rsid w:val="00904F5A"/>
    <w:rsid w:val="00906098"/>
    <w:rsid w:val="00907206"/>
    <w:rsid w:val="00907611"/>
    <w:rsid w:val="00910BF0"/>
    <w:rsid w:val="00911C69"/>
    <w:rsid w:val="009121CD"/>
    <w:rsid w:val="009129DD"/>
    <w:rsid w:val="00912DEC"/>
    <w:rsid w:val="0091364C"/>
    <w:rsid w:val="009149A9"/>
    <w:rsid w:val="009152A2"/>
    <w:rsid w:val="00915D80"/>
    <w:rsid w:val="0092040D"/>
    <w:rsid w:val="009205BD"/>
    <w:rsid w:val="00924E28"/>
    <w:rsid w:val="00925384"/>
    <w:rsid w:val="009258F5"/>
    <w:rsid w:val="00925EE3"/>
    <w:rsid w:val="00926ACD"/>
    <w:rsid w:val="00926F34"/>
    <w:rsid w:val="009301F1"/>
    <w:rsid w:val="00930D8F"/>
    <w:rsid w:val="00933311"/>
    <w:rsid w:val="00934A69"/>
    <w:rsid w:val="00935197"/>
    <w:rsid w:val="009356A4"/>
    <w:rsid w:val="00936722"/>
    <w:rsid w:val="009376A3"/>
    <w:rsid w:val="00937A0D"/>
    <w:rsid w:val="009405F0"/>
    <w:rsid w:val="00940F46"/>
    <w:rsid w:val="00943BBF"/>
    <w:rsid w:val="009451C2"/>
    <w:rsid w:val="009468FC"/>
    <w:rsid w:val="00946B49"/>
    <w:rsid w:val="0095018E"/>
    <w:rsid w:val="00950C28"/>
    <w:rsid w:val="009528ED"/>
    <w:rsid w:val="00952920"/>
    <w:rsid w:val="00954212"/>
    <w:rsid w:val="009546D8"/>
    <w:rsid w:val="009548FE"/>
    <w:rsid w:val="00954B36"/>
    <w:rsid w:val="009558F0"/>
    <w:rsid w:val="0096249F"/>
    <w:rsid w:val="00962BA0"/>
    <w:rsid w:val="009632D7"/>
    <w:rsid w:val="00963962"/>
    <w:rsid w:val="00964509"/>
    <w:rsid w:val="00965A62"/>
    <w:rsid w:val="00965A8D"/>
    <w:rsid w:val="00966C54"/>
    <w:rsid w:val="00966FB7"/>
    <w:rsid w:val="0096753A"/>
    <w:rsid w:val="009678FD"/>
    <w:rsid w:val="0097123A"/>
    <w:rsid w:val="00972789"/>
    <w:rsid w:val="00972CB3"/>
    <w:rsid w:val="0097416F"/>
    <w:rsid w:val="0097541B"/>
    <w:rsid w:val="00975828"/>
    <w:rsid w:val="00975DA4"/>
    <w:rsid w:val="0097649D"/>
    <w:rsid w:val="00977987"/>
    <w:rsid w:val="00983B47"/>
    <w:rsid w:val="00984598"/>
    <w:rsid w:val="00984F86"/>
    <w:rsid w:val="009853EE"/>
    <w:rsid w:val="00987D47"/>
    <w:rsid w:val="00990D29"/>
    <w:rsid w:val="00991129"/>
    <w:rsid w:val="009916C7"/>
    <w:rsid w:val="00991914"/>
    <w:rsid w:val="00992DFF"/>
    <w:rsid w:val="0099428E"/>
    <w:rsid w:val="009944E0"/>
    <w:rsid w:val="00994E8C"/>
    <w:rsid w:val="0099567E"/>
    <w:rsid w:val="00995CE5"/>
    <w:rsid w:val="009969FD"/>
    <w:rsid w:val="009A1C67"/>
    <w:rsid w:val="009A23E0"/>
    <w:rsid w:val="009A32F5"/>
    <w:rsid w:val="009A42A8"/>
    <w:rsid w:val="009A4397"/>
    <w:rsid w:val="009A5462"/>
    <w:rsid w:val="009A58EC"/>
    <w:rsid w:val="009A59B0"/>
    <w:rsid w:val="009A5BBB"/>
    <w:rsid w:val="009A6073"/>
    <w:rsid w:val="009A70D7"/>
    <w:rsid w:val="009A7DF7"/>
    <w:rsid w:val="009B09C6"/>
    <w:rsid w:val="009B0A53"/>
    <w:rsid w:val="009B1ACA"/>
    <w:rsid w:val="009B4A2A"/>
    <w:rsid w:val="009B5B0A"/>
    <w:rsid w:val="009B717A"/>
    <w:rsid w:val="009C0A02"/>
    <w:rsid w:val="009C0FC8"/>
    <w:rsid w:val="009C149E"/>
    <w:rsid w:val="009C2256"/>
    <w:rsid w:val="009C3479"/>
    <w:rsid w:val="009C3782"/>
    <w:rsid w:val="009C3E2A"/>
    <w:rsid w:val="009C4B02"/>
    <w:rsid w:val="009C53AF"/>
    <w:rsid w:val="009C5A69"/>
    <w:rsid w:val="009D0BFE"/>
    <w:rsid w:val="009D182C"/>
    <w:rsid w:val="009D41CA"/>
    <w:rsid w:val="009D46BE"/>
    <w:rsid w:val="009D4ED5"/>
    <w:rsid w:val="009D5001"/>
    <w:rsid w:val="009D5869"/>
    <w:rsid w:val="009D6688"/>
    <w:rsid w:val="009E26B9"/>
    <w:rsid w:val="009E3502"/>
    <w:rsid w:val="009E3B58"/>
    <w:rsid w:val="009E40DD"/>
    <w:rsid w:val="009E45C9"/>
    <w:rsid w:val="009E56B5"/>
    <w:rsid w:val="009E56F4"/>
    <w:rsid w:val="009E662A"/>
    <w:rsid w:val="009E6BFC"/>
    <w:rsid w:val="009E74C5"/>
    <w:rsid w:val="009E776F"/>
    <w:rsid w:val="009F0DB1"/>
    <w:rsid w:val="009F1936"/>
    <w:rsid w:val="009F2040"/>
    <w:rsid w:val="009F2104"/>
    <w:rsid w:val="009F2584"/>
    <w:rsid w:val="009F278F"/>
    <w:rsid w:val="009F2800"/>
    <w:rsid w:val="009F412B"/>
    <w:rsid w:val="009F4407"/>
    <w:rsid w:val="009F47A2"/>
    <w:rsid w:val="009F6808"/>
    <w:rsid w:val="009F6A0B"/>
    <w:rsid w:val="009F7BBD"/>
    <w:rsid w:val="009F7BF9"/>
    <w:rsid w:val="00A00951"/>
    <w:rsid w:val="00A009A2"/>
    <w:rsid w:val="00A02E8A"/>
    <w:rsid w:val="00A03446"/>
    <w:rsid w:val="00A03AF5"/>
    <w:rsid w:val="00A03BF8"/>
    <w:rsid w:val="00A049F9"/>
    <w:rsid w:val="00A051C8"/>
    <w:rsid w:val="00A061F5"/>
    <w:rsid w:val="00A06B44"/>
    <w:rsid w:val="00A10960"/>
    <w:rsid w:val="00A141B7"/>
    <w:rsid w:val="00A14D5E"/>
    <w:rsid w:val="00A152FE"/>
    <w:rsid w:val="00A17418"/>
    <w:rsid w:val="00A2594E"/>
    <w:rsid w:val="00A26BE5"/>
    <w:rsid w:val="00A26C1C"/>
    <w:rsid w:val="00A30F8F"/>
    <w:rsid w:val="00A323CC"/>
    <w:rsid w:val="00A32C0E"/>
    <w:rsid w:val="00A32EFD"/>
    <w:rsid w:val="00A33522"/>
    <w:rsid w:val="00A3358B"/>
    <w:rsid w:val="00A34916"/>
    <w:rsid w:val="00A34F62"/>
    <w:rsid w:val="00A35B95"/>
    <w:rsid w:val="00A35F40"/>
    <w:rsid w:val="00A360FE"/>
    <w:rsid w:val="00A363CB"/>
    <w:rsid w:val="00A37E06"/>
    <w:rsid w:val="00A37FA0"/>
    <w:rsid w:val="00A4131F"/>
    <w:rsid w:val="00A44252"/>
    <w:rsid w:val="00A4766A"/>
    <w:rsid w:val="00A50F48"/>
    <w:rsid w:val="00A527BC"/>
    <w:rsid w:val="00A52E90"/>
    <w:rsid w:val="00A53099"/>
    <w:rsid w:val="00A557C9"/>
    <w:rsid w:val="00A562C0"/>
    <w:rsid w:val="00A60D25"/>
    <w:rsid w:val="00A60FBC"/>
    <w:rsid w:val="00A61370"/>
    <w:rsid w:val="00A61F5D"/>
    <w:rsid w:val="00A6310F"/>
    <w:rsid w:val="00A636CF"/>
    <w:rsid w:val="00A6575E"/>
    <w:rsid w:val="00A65E12"/>
    <w:rsid w:val="00A66FC6"/>
    <w:rsid w:val="00A67467"/>
    <w:rsid w:val="00A712E2"/>
    <w:rsid w:val="00A722B9"/>
    <w:rsid w:val="00A74655"/>
    <w:rsid w:val="00A74B2E"/>
    <w:rsid w:val="00A758F4"/>
    <w:rsid w:val="00A75E9A"/>
    <w:rsid w:val="00A766A2"/>
    <w:rsid w:val="00A80C48"/>
    <w:rsid w:val="00A8122A"/>
    <w:rsid w:val="00A81916"/>
    <w:rsid w:val="00A82897"/>
    <w:rsid w:val="00A8399D"/>
    <w:rsid w:val="00A86084"/>
    <w:rsid w:val="00A91079"/>
    <w:rsid w:val="00A919AE"/>
    <w:rsid w:val="00A9310B"/>
    <w:rsid w:val="00A9411B"/>
    <w:rsid w:val="00A94213"/>
    <w:rsid w:val="00A94A12"/>
    <w:rsid w:val="00A96FC8"/>
    <w:rsid w:val="00A975AF"/>
    <w:rsid w:val="00AA0467"/>
    <w:rsid w:val="00AA0A0E"/>
    <w:rsid w:val="00AA19AA"/>
    <w:rsid w:val="00AA2110"/>
    <w:rsid w:val="00AA236A"/>
    <w:rsid w:val="00AA2E8C"/>
    <w:rsid w:val="00AA2EB8"/>
    <w:rsid w:val="00AA306A"/>
    <w:rsid w:val="00AA33E7"/>
    <w:rsid w:val="00AA347C"/>
    <w:rsid w:val="00AA4AFD"/>
    <w:rsid w:val="00AA51FF"/>
    <w:rsid w:val="00AA66A4"/>
    <w:rsid w:val="00AA6CAA"/>
    <w:rsid w:val="00AA7C31"/>
    <w:rsid w:val="00AB03EF"/>
    <w:rsid w:val="00AB0B01"/>
    <w:rsid w:val="00AB3041"/>
    <w:rsid w:val="00AB3D2E"/>
    <w:rsid w:val="00AB4415"/>
    <w:rsid w:val="00AB6C79"/>
    <w:rsid w:val="00AC01EA"/>
    <w:rsid w:val="00AC09DC"/>
    <w:rsid w:val="00AC298F"/>
    <w:rsid w:val="00AC5D36"/>
    <w:rsid w:val="00AC6D00"/>
    <w:rsid w:val="00AD067A"/>
    <w:rsid w:val="00AD50CA"/>
    <w:rsid w:val="00AD56A4"/>
    <w:rsid w:val="00AD5870"/>
    <w:rsid w:val="00AD5C4D"/>
    <w:rsid w:val="00AE1BD0"/>
    <w:rsid w:val="00AE317D"/>
    <w:rsid w:val="00AE35E2"/>
    <w:rsid w:val="00AE3BA1"/>
    <w:rsid w:val="00AE4B00"/>
    <w:rsid w:val="00AE5250"/>
    <w:rsid w:val="00AE5259"/>
    <w:rsid w:val="00AE5C8E"/>
    <w:rsid w:val="00AE6B15"/>
    <w:rsid w:val="00AE6FD6"/>
    <w:rsid w:val="00AE7253"/>
    <w:rsid w:val="00AF0B6C"/>
    <w:rsid w:val="00AF2763"/>
    <w:rsid w:val="00AF2881"/>
    <w:rsid w:val="00AF384E"/>
    <w:rsid w:val="00AF5647"/>
    <w:rsid w:val="00B029B7"/>
    <w:rsid w:val="00B0328B"/>
    <w:rsid w:val="00B03E26"/>
    <w:rsid w:val="00B04199"/>
    <w:rsid w:val="00B0583F"/>
    <w:rsid w:val="00B05932"/>
    <w:rsid w:val="00B065D2"/>
    <w:rsid w:val="00B0669C"/>
    <w:rsid w:val="00B11780"/>
    <w:rsid w:val="00B11E69"/>
    <w:rsid w:val="00B125E0"/>
    <w:rsid w:val="00B12E1D"/>
    <w:rsid w:val="00B134AB"/>
    <w:rsid w:val="00B14377"/>
    <w:rsid w:val="00B143ED"/>
    <w:rsid w:val="00B14C3D"/>
    <w:rsid w:val="00B15AE4"/>
    <w:rsid w:val="00B20054"/>
    <w:rsid w:val="00B206DA"/>
    <w:rsid w:val="00B24DAC"/>
    <w:rsid w:val="00B25C02"/>
    <w:rsid w:val="00B275F1"/>
    <w:rsid w:val="00B2764F"/>
    <w:rsid w:val="00B308A3"/>
    <w:rsid w:val="00B31F02"/>
    <w:rsid w:val="00B32E6F"/>
    <w:rsid w:val="00B33002"/>
    <w:rsid w:val="00B33815"/>
    <w:rsid w:val="00B342C1"/>
    <w:rsid w:val="00B35E7F"/>
    <w:rsid w:val="00B36561"/>
    <w:rsid w:val="00B400EA"/>
    <w:rsid w:val="00B40134"/>
    <w:rsid w:val="00B40A75"/>
    <w:rsid w:val="00B40D41"/>
    <w:rsid w:val="00B41904"/>
    <w:rsid w:val="00B42C54"/>
    <w:rsid w:val="00B434EE"/>
    <w:rsid w:val="00B46129"/>
    <w:rsid w:val="00B46A8B"/>
    <w:rsid w:val="00B46ADD"/>
    <w:rsid w:val="00B46C85"/>
    <w:rsid w:val="00B46CD8"/>
    <w:rsid w:val="00B47575"/>
    <w:rsid w:val="00B51253"/>
    <w:rsid w:val="00B535E8"/>
    <w:rsid w:val="00B54141"/>
    <w:rsid w:val="00B547C8"/>
    <w:rsid w:val="00B55839"/>
    <w:rsid w:val="00B57631"/>
    <w:rsid w:val="00B57C55"/>
    <w:rsid w:val="00B6146A"/>
    <w:rsid w:val="00B630CF"/>
    <w:rsid w:val="00B65358"/>
    <w:rsid w:val="00B65ACE"/>
    <w:rsid w:val="00B65C97"/>
    <w:rsid w:val="00B65EC2"/>
    <w:rsid w:val="00B66FE1"/>
    <w:rsid w:val="00B7007B"/>
    <w:rsid w:val="00B70732"/>
    <w:rsid w:val="00B71476"/>
    <w:rsid w:val="00B728F3"/>
    <w:rsid w:val="00B73982"/>
    <w:rsid w:val="00B73ECE"/>
    <w:rsid w:val="00B7485F"/>
    <w:rsid w:val="00B764F7"/>
    <w:rsid w:val="00B77029"/>
    <w:rsid w:val="00B77183"/>
    <w:rsid w:val="00B77648"/>
    <w:rsid w:val="00B817E0"/>
    <w:rsid w:val="00B83416"/>
    <w:rsid w:val="00B83455"/>
    <w:rsid w:val="00B83578"/>
    <w:rsid w:val="00B843CD"/>
    <w:rsid w:val="00B84BD5"/>
    <w:rsid w:val="00B85057"/>
    <w:rsid w:val="00B86B05"/>
    <w:rsid w:val="00B86B09"/>
    <w:rsid w:val="00B86B7A"/>
    <w:rsid w:val="00B87698"/>
    <w:rsid w:val="00B876EF"/>
    <w:rsid w:val="00B92014"/>
    <w:rsid w:val="00B93302"/>
    <w:rsid w:val="00B93713"/>
    <w:rsid w:val="00B94616"/>
    <w:rsid w:val="00B96979"/>
    <w:rsid w:val="00B96A9D"/>
    <w:rsid w:val="00BA1748"/>
    <w:rsid w:val="00BA19EC"/>
    <w:rsid w:val="00BA2225"/>
    <w:rsid w:val="00BA39C4"/>
    <w:rsid w:val="00BA3BB4"/>
    <w:rsid w:val="00BA474B"/>
    <w:rsid w:val="00BA7879"/>
    <w:rsid w:val="00BB3055"/>
    <w:rsid w:val="00BB3AEE"/>
    <w:rsid w:val="00BB417F"/>
    <w:rsid w:val="00BB444A"/>
    <w:rsid w:val="00BB6334"/>
    <w:rsid w:val="00BB64EA"/>
    <w:rsid w:val="00BB6C2F"/>
    <w:rsid w:val="00BC1E7E"/>
    <w:rsid w:val="00BC2AA4"/>
    <w:rsid w:val="00BC2C37"/>
    <w:rsid w:val="00BC375A"/>
    <w:rsid w:val="00BC4B4D"/>
    <w:rsid w:val="00BC55A1"/>
    <w:rsid w:val="00BC7D96"/>
    <w:rsid w:val="00BD2099"/>
    <w:rsid w:val="00BD25BF"/>
    <w:rsid w:val="00BD32FA"/>
    <w:rsid w:val="00BD5B01"/>
    <w:rsid w:val="00BD79D8"/>
    <w:rsid w:val="00BE0054"/>
    <w:rsid w:val="00BE0F2C"/>
    <w:rsid w:val="00BE0F82"/>
    <w:rsid w:val="00BE309E"/>
    <w:rsid w:val="00BE312A"/>
    <w:rsid w:val="00BE4694"/>
    <w:rsid w:val="00BE51FD"/>
    <w:rsid w:val="00BE5CD8"/>
    <w:rsid w:val="00BE5D49"/>
    <w:rsid w:val="00BE6642"/>
    <w:rsid w:val="00BE73F0"/>
    <w:rsid w:val="00BF00E3"/>
    <w:rsid w:val="00BF0778"/>
    <w:rsid w:val="00BF13A5"/>
    <w:rsid w:val="00BF16D5"/>
    <w:rsid w:val="00BF2689"/>
    <w:rsid w:val="00BF3213"/>
    <w:rsid w:val="00BF3DEE"/>
    <w:rsid w:val="00BF44BF"/>
    <w:rsid w:val="00BF45AE"/>
    <w:rsid w:val="00BF6DF7"/>
    <w:rsid w:val="00BF760E"/>
    <w:rsid w:val="00BF7F71"/>
    <w:rsid w:val="00C00872"/>
    <w:rsid w:val="00C00F07"/>
    <w:rsid w:val="00C02817"/>
    <w:rsid w:val="00C02826"/>
    <w:rsid w:val="00C029DF"/>
    <w:rsid w:val="00C04198"/>
    <w:rsid w:val="00C0489E"/>
    <w:rsid w:val="00C04E48"/>
    <w:rsid w:val="00C055C3"/>
    <w:rsid w:val="00C066DE"/>
    <w:rsid w:val="00C0725D"/>
    <w:rsid w:val="00C0742D"/>
    <w:rsid w:val="00C116D2"/>
    <w:rsid w:val="00C126FA"/>
    <w:rsid w:val="00C12952"/>
    <w:rsid w:val="00C14230"/>
    <w:rsid w:val="00C149E5"/>
    <w:rsid w:val="00C15A1F"/>
    <w:rsid w:val="00C167AC"/>
    <w:rsid w:val="00C16B96"/>
    <w:rsid w:val="00C17BF6"/>
    <w:rsid w:val="00C20E2F"/>
    <w:rsid w:val="00C21346"/>
    <w:rsid w:val="00C22776"/>
    <w:rsid w:val="00C2476B"/>
    <w:rsid w:val="00C250DA"/>
    <w:rsid w:val="00C25E5D"/>
    <w:rsid w:val="00C3000A"/>
    <w:rsid w:val="00C31CCC"/>
    <w:rsid w:val="00C32997"/>
    <w:rsid w:val="00C32FDE"/>
    <w:rsid w:val="00C335EC"/>
    <w:rsid w:val="00C34C50"/>
    <w:rsid w:val="00C35819"/>
    <w:rsid w:val="00C374B1"/>
    <w:rsid w:val="00C37A1C"/>
    <w:rsid w:val="00C42060"/>
    <w:rsid w:val="00C45049"/>
    <w:rsid w:val="00C45F57"/>
    <w:rsid w:val="00C46500"/>
    <w:rsid w:val="00C47957"/>
    <w:rsid w:val="00C47B96"/>
    <w:rsid w:val="00C50250"/>
    <w:rsid w:val="00C51A8A"/>
    <w:rsid w:val="00C51EDF"/>
    <w:rsid w:val="00C52165"/>
    <w:rsid w:val="00C5250C"/>
    <w:rsid w:val="00C529FC"/>
    <w:rsid w:val="00C56001"/>
    <w:rsid w:val="00C57D0B"/>
    <w:rsid w:val="00C62CB0"/>
    <w:rsid w:val="00C63D24"/>
    <w:rsid w:val="00C640CD"/>
    <w:rsid w:val="00C65CD9"/>
    <w:rsid w:val="00C65E89"/>
    <w:rsid w:val="00C671F1"/>
    <w:rsid w:val="00C700AE"/>
    <w:rsid w:val="00C712D1"/>
    <w:rsid w:val="00C72738"/>
    <w:rsid w:val="00C729BA"/>
    <w:rsid w:val="00C72A14"/>
    <w:rsid w:val="00C72DC4"/>
    <w:rsid w:val="00C72E5F"/>
    <w:rsid w:val="00C73520"/>
    <w:rsid w:val="00C73CA6"/>
    <w:rsid w:val="00C80937"/>
    <w:rsid w:val="00C8145D"/>
    <w:rsid w:val="00C8332F"/>
    <w:rsid w:val="00C8592B"/>
    <w:rsid w:val="00C8660A"/>
    <w:rsid w:val="00C91DD7"/>
    <w:rsid w:val="00C92F61"/>
    <w:rsid w:val="00C96F31"/>
    <w:rsid w:val="00C978AA"/>
    <w:rsid w:val="00CA2576"/>
    <w:rsid w:val="00CA279F"/>
    <w:rsid w:val="00CA49C2"/>
    <w:rsid w:val="00CA50BF"/>
    <w:rsid w:val="00CA569B"/>
    <w:rsid w:val="00CA652B"/>
    <w:rsid w:val="00CA6FFD"/>
    <w:rsid w:val="00CA7199"/>
    <w:rsid w:val="00CB120F"/>
    <w:rsid w:val="00CB3BE0"/>
    <w:rsid w:val="00CB407E"/>
    <w:rsid w:val="00CB5FD7"/>
    <w:rsid w:val="00CB68AF"/>
    <w:rsid w:val="00CB74C4"/>
    <w:rsid w:val="00CB7BB9"/>
    <w:rsid w:val="00CB7F74"/>
    <w:rsid w:val="00CC14C1"/>
    <w:rsid w:val="00CC157B"/>
    <w:rsid w:val="00CC25EB"/>
    <w:rsid w:val="00CC4269"/>
    <w:rsid w:val="00CC4885"/>
    <w:rsid w:val="00CC5A42"/>
    <w:rsid w:val="00CC6ED1"/>
    <w:rsid w:val="00CC7CE2"/>
    <w:rsid w:val="00CD05FD"/>
    <w:rsid w:val="00CD12D7"/>
    <w:rsid w:val="00CD160A"/>
    <w:rsid w:val="00CD1819"/>
    <w:rsid w:val="00CD1B8D"/>
    <w:rsid w:val="00CD2730"/>
    <w:rsid w:val="00CD2896"/>
    <w:rsid w:val="00CD44A9"/>
    <w:rsid w:val="00CD57D3"/>
    <w:rsid w:val="00CD6149"/>
    <w:rsid w:val="00CD69B2"/>
    <w:rsid w:val="00CD6FD1"/>
    <w:rsid w:val="00CD7D98"/>
    <w:rsid w:val="00CE3598"/>
    <w:rsid w:val="00CE4865"/>
    <w:rsid w:val="00CE5B3A"/>
    <w:rsid w:val="00CE6A45"/>
    <w:rsid w:val="00CE73E6"/>
    <w:rsid w:val="00CE79BB"/>
    <w:rsid w:val="00CF0A0F"/>
    <w:rsid w:val="00CF23E3"/>
    <w:rsid w:val="00CF2968"/>
    <w:rsid w:val="00CF328E"/>
    <w:rsid w:val="00CF605E"/>
    <w:rsid w:val="00D01398"/>
    <w:rsid w:val="00D01AA3"/>
    <w:rsid w:val="00D02C95"/>
    <w:rsid w:val="00D032D8"/>
    <w:rsid w:val="00D03688"/>
    <w:rsid w:val="00D067CA"/>
    <w:rsid w:val="00D06DA1"/>
    <w:rsid w:val="00D14E9B"/>
    <w:rsid w:val="00D1631D"/>
    <w:rsid w:val="00D17DC1"/>
    <w:rsid w:val="00D20263"/>
    <w:rsid w:val="00D21F09"/>
    <w:rsid w:val="00D22BD0"/>
    <w:rsid w:val="00D22EDD"/>
    <w:rsid w:val="00D2454F"/>
    <w:rsid w:val="00D30C94"/>
    <w:rsid w:val="00D3146C"/>
    <w:rsid w:val="00D31AD2"/>
    <w:rsid w:val="00D32503"/>
    <w:rsid w:val="00D32A20"/>
    <w:rsid w:val="00D32F52"/>
    <w:rsid w:val="00D34B0E"/>
    <w:rsid w:val="00D363F6"/>
    <w:rsid w:val="00D36D1E"/>
    <w:rsid w:val="00D37296"/>
    <w:rsid w:val="00D37B8E"/>
    <w:rsid w:val="00D4118C"/>
    <w:rsid w:val="00D43760"/>
    <w:rsid w:val="00D43C1D"/>
    <w:rsid w:val="00D43D85"/>
    <w:rsid w:val="00D44FF9"/>
    <w:rsid w:val="00D46527"/>
    <w:rsid w:val="00D4654C"/>
    <w:rsid w:val="00D46CDB"/>
    <w:rsid w:val="00D46DF1"/>
    <w:rsid w:val="00D50964"/>
    <w:rsid w:val="00D50FE7"/>
    <w:rsid w:val="00D51C9A"/>
    <w:rsid w:val="00D5414D"/>
    <w:rsid w:val="00D541DC"/>
    <w:rsid w:val="00D55412"/>
    <w:rsid w:val="00D56AFD"/>
    <w:rsid w:val="00D571D9"/>
    <w:rsid w:val="00D57F23"/>
    <w:rsid w:val="00D6227C"/>
    <w:rsid w:val="00D62645"/>
    <w:rsid w:val="00D631BC"/>
    <w:rsid w:val="00D6321D"/>
    <w:rsid w:val="00D63C60"/>
    <w:rsid w:val="00D64231"/>
    <w:rsid w:val="00D651DD"/>
    <w:rsid w:val="00D65269"/>
    <w:rsid w:val="00D664BD"/>
    <w:rsid w:val="00D70BC5"/>
    <w:rsid w:val="00D72099"/>
    <w:rsid w:val="00D741C4"/>
    <w:rsid w:val="00D749BA"/>
    <w:rsid w:val="00D75151"/>
    <w:rsid w:val="00D7649C"/>
    <w:rsid w:val="00D76DE3"/>
    <w:rsid w:val="00D77666"/>
    <w:rsid w:val="00D77691"/>
    <w:rsid w:val="00D810E8"/>
    <w:rsid w:val="00D82AD9"/>
    <w:rsid w:val="00D83165"/>
    <w:rsid w:val="00D8376F"/>
    <w:rsid w:val="00D86C21"/>
    <w:rsid w:val="00D87E6F"/>
    <w:rsid w:val="00D902DF"/>
    <w:rsid w:val="00D9082F"/>
    <w:rsid w:val="00D9279B"/>
    <w:rsid w:val="00D94630"/>
    <w:rsid w:val="00D94E6E"/>
    <w:rsid w:val="00D952BE"/>
    <w:rsid w:val="00D96227"/>
    <w:rsid w:val="00D96679"/>
    <w:rsid w:val="00D97347"/>
    <w:rsid w:val="00DA1BEE"/>
    <w:rsid w:val="00DA42EF"/>
    <w:rsid w:val="00DA43B9"/>
    <w:rsid w:val="00DA4B0E"/>
    <w:rsid w:val="00DA6ACF"/>
    <w:rsid w:val="00DA7DED"/>
    <w:rsid w:val="00DB026F"/>
    <w:rsid w:val="00DB0C79"/>
    <w:rsid w:val="00DB11F4"/>
    <w:rsid w:val="00DB2DC1"/>
    <w:rsid w:val="00DB3322"/>
    <w:rsid w:val="00DB45ED"/>
    <w:rsid w:val="00DB60D0"/>
    <w:rsid w:val="00DB6685"/>
    <w:rsid w:val="00DB6C15"/>
    <w:rsid w:val="00DB74DE"/>
    <w:rsid w:val="00DC13B7"/>
    <w:rsid w:val="00DC1CA3"/>
    <w:rsid w:val="00DC1FAF"/>
    <w:rsid w:val="00DC25CB"/>
    <w:rsid w:val="00DC393D"/>
    <w:rsid w:val="00DC4987"/>
    <w:rsid w:val="00DC4E08"/>
    <w:rsid w:val="00DC511E"/>
    <w:rsid w:val="00DC59C7"/>
    <w:rsid w:val="00DC6790"/>
    <w:rsid w:val="00DC7436"/>
    <w:rsid w:val="00DC7B2C"/>
    <w:rsid w:val="00DD091C"/>
    <w:rsid w:val="00DD418B"/>
    <w:rsid w:val="00DD427D"/>
    <w:rsid w:val="00DD45DA"/>
    <w:rsid w:val="00DD5A53"/>
    <w:rsid w:val="00DD72A0"/>
    <w:rsid w:val="00DE08F8"/>
    <w:rsid w:val="00DE1263"/>
    <w:rsid w:val="00DE15F4"/>
    <w:rsid w:val="00DE1A0A"/>
    <w:rsid w:val="00DE2088"/>
    <w:rsid w:val="00DE2698"/>
    <w:rsid w:val="00DE3DFD"/>
    <w:rsid w:val="00DE471B"/>
    <w:rsid w:val="00DE4A6B"/>
    <w:rsid w:val="00DE5089"/>
    <w:rsid w:val="00DE517F"/>
    <w:rsid w:val="00DE584B"/>
    <w:rsid w:val="00DF1BCB"/>
    <w:rsid w:val="00DF3462"/>
    <w:rsid w:val="00DF4A45"/>
    <w:rsid w:val="00DF4D6C"/>
    <w:rsid w:val="00DF57ED"/>
    <w:rsid w:val="00DF57F6"/>
    <w:rsid w:val="00DF6A98"/>
    <w:rsid w:val="00E03DFC"/>
    <w:rsid w:val="00E054BB"/>
    <w:rsid w:val="00E05876"/>
    <w:rsid w:val="00E05DE6"/>
    <w:rsid w:val="00E06B35"/>
    <w:rsid w:val="00E06CC8"/>
    <w:rsid w:val="00E071CC"/>
    <w:rsid w:val="00E107B3"/>
    <w:rsid w:val="00E10F19"/>
    <w:rsid w:val="00E1181B"/>
    <w:rsid w:val="00E11826"/>
    <w:rsid w:val="00E11AB5"/>
    <w:rsid w:val="00E11E49"/>
    <w:rsid w:val="00E14D21"/>
    <w:rsid w:val="00E15791"/>
    <w:rsid w:val="00E17330"/>
    <w:rsid w:val="00E1750C"/>
    <w:rsid w:val="00E200B1"/>
    <w:rsid w:val="00E20CA3"/>
    <w:rsid w:val="00E228EA"/>
    <w:rsid w:val="00E23D18"/>
    <w:rsid w:val="00E240A5"/>
    <w:rsid w:val="00E247F0"/>
    <w:rsid w:val="00E25817"/>
    <w:rsid w:val="00E266D4"/>
    <w:rsid w:val="00E27F56"/>
    <w:rsid w:val="00E300EC"/>
    <w:rsid w:val="00E36F26"/>
    <w:rsid w:val="00E37B70"/>
    <w:rsid w:val="00E4038B"/>
    <w:rsid w:val="00E449A7"/>
    <w:rsid w:val="00E459F7"/>
    <w:rsid w:val="00E45C76"/>
    <w:rsid w:val="00E465EC"/>
    <w:rsid w:val="00E46900"/>
    <w:rsid w:val="00E5153C"/>
    <w:rsid w:val="00E523EB"/>
    <w:rsid w:val="00E530DB"/>
    <w:rsid w:val="00E54499"/>
    <w:rsid w:val="00E57728"/>
    <w:rsid w:val="00E57A7F"/>
    <w:rsid w:val="00E6023C"/>
    <w:rsid w:val="00E602CC"/>
    <w:rsid w:val="00E63CFB"/>
    <w:rsid w:val="00E644E0"/>
    <w:rsid w:val="00E65E72"/>
    <w:rsid w:val="00E66159"/>
    <w:rsid w:val="00E677EB"/>
    <w:rsid w:val="00E679D7"/>
    <w:rsid w:val="00E70AF7"/>
    <w:rsid w:val="00E70F72"/>
    <w:rsid w:val="00E71F55"/>
    <w:rsid w:val="00E72EFB"/>
    <w:rsid w:val="00E758E8"/>
    <w:rsid w:val="00E77002"/>
    <w:rsid w:val="00E770A3"/>
    <w:rsid w:val="00E77246"/>
    <w:rsid w:val="00E80091"/>
    <w:rsid w:val="00E80344"/>
    <w:rsid w:val="00E80B46"/>
    <w:rsid w:val="00E818AD"/>
    <w:rsid w:val="00E84974"/>
    <w:rsid w:val="00E85EB4"/>
    <w:rsid w:val="00E86344"/>
    <w:rsid w:val="00E91358"/>
    <w:rsid w:val="00E917E6"/>
    <w:rsid w:val="00E91CB8"/>
    <w:rsid w:val="00E947B7"/>
    <w:rsid w:val="00E95B75"/>
    <w:rsid w:val="00E968CB"/>
    <w:rsid w:val="00EA1510"/>
    <w:rsid w:val="00EA499B"/>
    <w:rsid w:val="00EA4F20"/>
    <w:rsid w:val="00EA58BF"/>
    <w:rsid w:val="00EA6050"/>
    <w:rsid w:val="00EA6552"/>
    <w:rsid w:val="00EA70AD"/>
    <w:rsid w:val="00EA73DB"/>
    <w:rsid w:val="00EA77E5"/>
    <w:rsid w:val="00EB0C1A"/>
    <w:rsid w:val="00EB0C2C"/>
    <w:rsid w:val="00EB0E5E"/>
    <w:rsid w:val="00EB119F"/>
    <w:rsid w:val="00EB23AB"/>
    <w:rsid w:val="00EB2B1C"/>
    <w:rsid w:val="00EB6D1C"/>
    <w:rsid w:val="00EB7072"/>
    <w:rsid w:val="00EB7C31"/>
    <w:rsid w:val="00EC06E7"/>
    <w:rsid w:val="00EC2B31"/>
    <w:rsid w:val="00EC5B6B"/>
    <w:rsid w:val="00EC5BB3"/>
    <w:rsid w:val="00ED1122"/>
    <w:rsid w:val="00ED11C2"/>
    <w:rsid w:val="00ED1498"/>
    <w:rsid w:val="00ED1FF5"/>
    <w:rsid w:val="00ED2770"/>
    <w:rsid w:val="00ED4032"/>
    <w:rsid w:val="00ED4DC8"/>
    <w:rsid w:val="00ED6BB4"/>
    <w:rsid w:val="00EE01E6"/>
    <w:rsid w:val="00EE3505"/>
    <w:rsid w:val="00EE5CB2"/>
    <w:rsid w:val="00EE6E75"/>
    <w:rsid w:val="00EE749F"/>
    <w:rsid w:val="00EF183B"/>
    <w:rsid w:val="00EF1E03"/>
    <w:rsid w:val="00EF21EC"/>
    <w:rsid w:val="00EF38B4"/>
    <w:rsid w:val="00EF4C51"/>
    <w:rsid w:val="00EF7D5A"/>
    <w:rsid w:val="00EF7F19"/>
    <w:rsid w:val="00F013ED"/>
    <w:rsid w:val="00F03617"/>
    <w:rsid w:val="00F040ED"/>
    <w:rsid w:val="00F043E1"/>
    <w:rsid w:val="00F04AA0"/>
    <w:rsid w:val="00F04EF2"/>
    <w:rsid w:val="00F05110"/>
    <w:rsid w:val="00F05FA7"/>
    <w:rsid w:val="00F06EAB"/>
    <w:rsid w:val="00F0733C"/>
    <w:rsid w:val="00F1068F"/>
    <w:rsid w:val="00F112EA"/>
    <w:rsid w:val="00F114C9"/>
    <w:rsid w:val="00F11D35"/>
    <w:rsid w:val="00F13519"/>
    <w:rsid w:val="00F16C66"/>
    <w:rsid w:val="00F2010B"/>
    <w:rsid w:val="00F201B3"/>
    <w:rsid w:val="00F2061F"/>
    <w:rsid w:val="00F20C89"/>
    <w:rsid w:val="00F225DC"/>
    <w:rsid w:val="00F25C21"/>
    <w:rsid w:val="00F260BB"/>
    <w:rsid w:val="00F2626E"/>
    <w:rsid w:val="00F26B4C"/>
    <w:rsid w:val="00F275C1"/>
    <w:rsid w:val="00F31C39"/>
    <w:rsid w:val="00F3350B"/>
    <w:rsid w:val="00F33581"/>
    <w:rsid w:val="00F34DA5"/>
    <w:rsid w:val="00F34EF1"/>
    <w:rsid w:val="00F35EC8"/>
    <w:rsid w:val="00F36213"/>
    <w:rsid w:val="00F3777C"/>
    <w:rsid w:val="00F377A4"/>
    <w:rsid w:val="00F409AF"/>
    <w:rsid w:val="00F41368"/>
    <w:rsid w:val="00F41834"/>
    <w:rsid w:val="00F41A16"/>
    <w:rsid w:val="00F425F4"/>
    <w:rsid w:val="00F44420"/>
    <w:rsid w:val="00F45CFC"/>
    <w:rsid w:val="00F469BA"/>
    <w:rsid w:val="00F50BFB"/>
    <w:rsid w:val="00F52628"/>
    <w:rsid w:val="00F55FA6"/>
    <w:rsid w:val="00F56462"/>
    <w:rsid w:val="00F5774B"/>
    <w:rsid w:val="00F60480"/>
    <w:rsid w:val="00F62F11"/>
    <w:rsid w:val="00F635CC"/>
    <w:rsid w:val="00F646CF"/>
    <w:rsid w:val="00F64A08"/>
    <w:rsid w:val="00F64A51"/>
    <w:rsid w:val="00F672B8"/>
    <w:rsid w:val="00F67737"/>
    <w:rsid w:val="00F678E0"/>
    <w:rsid w:val="00F703CA"/>
    <w:rsid w:val="00F715E6"/>
    <w:rsid w:val="00F71A6D"/>
    <w:rsid w:val="00F7263B"/>
    <w:rsid w:val="00F73469"/>
    <w:rsid w:val="00F741D6"/>
    <w:rsid w:val="00F76B51"/>
    <w:rsid w:val="00F774B6"/>
    <w:rsid w:val="00F7795B"/>
    <w:rsid w:val="00F779CD"/>
    <w:rsid w:val="00F80A6A"/>
    <w:rsid w:val="00F8129F"/>
    <w:rsid w:val="00F82D21"/>
    <w:rsid w:val="00F837B8"/>
    <w:rsid w:val="00F84D96"/>
    <w:rsid w:val="00F85108"/>
    <w:rsid w:val="00F85A2E"/>
    <w:rsid w:val="00F86002"/>
    <w:rsid w:val="00F9007D"/>
    <w:rsid w:val="00F91422"/>
    <w:rsid w:val="00F9159D"/>
    <w:rsid w:val="00F9167A"/>
    <w:rsid w:val="00F91D1F"/>
    <w:rsid w:val="00F91DBB"/>
    <w:rsid w:val="00F92EFE"/>
    <w:rsid w:val="00F9344F"/>
    <w:rsid w:val="00F961B9"/>
    <w:rsid w:val="00F97856"/>
    <w:rsid w:val="00FA0367"/>
    <w:rsid w:val="00FA347E"/>
    <w:rsid w:val="00FA3EAA"/>
    <w:rsid w:val="00FA49E5"/>
    <w:rsid w:val="00FA5195"/>
    <w:rsid w:val="00FA7568"/>
    <w:rsid w:val="00FB2B62"/>
    <w:rsid w:val="00FB3398"/>
    <w:rsid w:val="00FB38B9"/>
    <w:rsid w:val="00FB3EF3"/>
    <w:rsid w:val="00FB4FC4"/>
    <w:rsid w:val="00FB50D6"/>
    <w:rsid w:val="00FB6240"/>
    <w:rsid w:val="00FB665C"/>
    <w:rsid w:val="00FB668B"/>
    <w:rsid w:val="00FB69A4"/>
    <w:rsid w:val="00FC072E"/>
    <w:rsid w:val="00FC16C3"/>
    <w:rsid w:val="00FC22C3"/>
    <w:rsid w:val="00FC368D"/>
    <w:rsid w:val="00FD094D"/>
    <w:rsid w:val="00FD1533"/>
    <w:rsid w:val="00FD258F"/>
    <w:rsid w:val="00FD4348"/>
    <w:rsid w:val="00FD5E24"/>
    <w:rsid w:val="00FD69D8"/>
    <w:rsid w:val="00FD7735"/>
    <w:rsid w:val="00FD7D5C"/>
    <w:rsid w:val="00FE0D99"/>
    <w:rsid w:val="00FE1080"/>
    <w:rsid w:val="00FE133D"/>
    <w:rsid w:val="00FE2E92"/>
    <w:rsid w:val="00FE4D17"/>
    <w:rsid w:val="00FE4F73"/>
    <w:rsid w:val="00FE5427"/>
    <w:rsid w:val="00FE63A1"/>
    <w:rsid w:val="00FE6A29"/>
    <w:rsid w:val="00FF23BD"/>
    <w:rsid w:val="00FF2B7F"/>
    <w:rsid w:val="00FF3E47"/>
    <w:rsid w:val="00FF536D"/>
    <w:rsid w:val="00FF623A"/>
    <w:rsid w:val="00FF6240"/>
    <w:rsid w:val="00FF680D"/>
    <w:rsid w:val="00FF680E"/>
    <w:rsid w:val="02550119"/>
    <w:rsid w:val="045A2047"/>
    <w:rsid w:val="0B186788"/>
    <w:rsid w:val="0E6B10C2"/>
    <w:rsid w:val="0FA87BB9"/>
    <w:rsid w:val="13CA5EFB"/>
    <w:rsid w:val="14C018C2"/>
    <w:rsid w:val="193667F5"/>
    <w:rsid w:val="19F57AF6"/>
    <w:rsid w:val="1AC13E11"/>
    <w:rsid w:val="1B807468"/>
    <w:rsid w:val="1E1D74CF"/>
    <w:rsid w:val="20543D34"/>
    <w:rsid w:val="216E2117"/>
    <w:rsid w:val="2234777A"/>
    <w:rsid w:val="22764A1C"/>
    <w:rsid w:val="2287603F"/>
    <w:rsid w:val="23CC4D92"/>
    <w:rsid w:val="24187101"/>
    <w:rsid w:val="2475605F"/>
    <w:rsid w:val="25640282"/>
    <w:rsid w:val="25E82906"/>
    <w:rsid w:val="27462763"/>
    <w:rsid w:val="28382C3A"/>
    <w:rsid w:val="297C1823"/>
    <w:rsid w:val="2D3C1C22"/>
    <w:rsid w:val="2ECB3AD2"/>
    <w:rsid w:val="2FD93C26"/>
    <w:rsid w:val="30F1442F"/>
    <w:rsid w:val="31695332"/>
    <w:rsid w:val="3583322E"/>
    <w:rsid w:val="35E10098"/>
    <w:rsid w:val="3623352B"/>
    <w:rsid w:val="387E529D"/>
    <w:rsid w:val="396F3A83"/>
    <w:rsid w:val="3984743C"/>
    <w:rsid w:val="3AEF5C9D"/>
    <w:rsid w:val="3C037CBB"/>
    <w:rsid w:val="3DFD3742"/>
    <w:rsid w:val="453827AF"/>
    <w:rsid w:val="46AD44B2"/>
    <w:rsid w:val="47B3762B"/>
    <w:rsid w:val="48194922"/>
    <w:rsid w:val="48A67DA9"/>
    <w:rsid w:val="48E04A75"/>
    <w:rsid w:val="4A104DDA"/>
    <w:rsid w:val="4BCC28C2"/>
    <w:rsid w:val="4BDD1FF5"/>
    <w:rsid w:val="4C2A049F"/>
    <w:rsid w:val="4C87303B"/>
    <w:rsid w:val="4D730EE3"/>
    <w:rsid w:val="4DA206A6"/>
    <w:rsid w:val="4F5E4CBF"/>
    <w:rsid w:val="4F747898"/>
    <w:rsid w:val="50B6195E"/>
    <w:rsid w:val="50DE50F1"/>
    <w:rsid w:val="51786E90"/>
    <w:rsid w:val="525C37D5"/>
    <w:rsid w:val="52C91512"/>
    <w:rsid w:val="550F232E"/>
    <w:rsid w:val="567B4229"/>
    <w:rsid w:val="56880DB3"/>
    <w:rsid w:val="56EF1FE3"/>
    <w:rsid w:val="56FB122C"/>
    <w:rsid w:val="581330A7"/>
    <w:rsid w:val="58AB6458"/>
    <w:rsid w:val="59A31EA9"/>
    <w:rsid w:val="5AA664F1"/>
    <w:rsid w:val="5AB67F96"/>
    <w:rsid w:val="5BD8483D"/>
    <w:rsid w:val="5EC93A80"/>
    <w:rsid w:val="5F213DCC"/>
    <w:rsid w:val="5F8C4929"/>
    <w:rsid w:val="62DB7F23"/>
    <w:rsid w:val="636D0703"/>
    <w:rsid w:val="64204838"/>
    <w:rsid w:val="651C0FAE"/>
    <w:rsid w:val="66126DD3"/>
    <w:rsid w:val="66A52D3E"/>
    <w:rsid w:val="66B70E51"/>
    <w:rsid w:val="68545A10"/>
    <w:rsid w:val="68636B44"/>
    <w:rsid w:val="68646F1F"/>
    <w:rsid w:val="6BBC7808"/>
    <w:rsid w:val="6CD10BF1"/>
    <w:rsid w:val="6EE252F2"/>
    <w:rsid w:val="710A3346"/>
    <w:rsid w:val="721530FE"/>
    <w:rsid w:val="73E90C96"/>
    <w:rsid w:val="75D601D8"/>
    <w:rsid w:val="77FA4C7A"/>
    <w:rsid w:val="79A11CF1"/>
    <w:rsid w:val="7A321FA6"/>
    <w:rsid w:val="7AD20954"/>
    <w:rsid w:val="7AF313DB"/>
    <w:rsid w:val="7E0B6632"/>
    <w:rsid w:val="7E436663"/>
    <w:rsid w:val="7E706F43"/>
    <w:rsid w:val="7E9335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5"/>
    <w:qFormat/>
    <w:uiPriority w:val="99"/>
    <w:pPr>
      <w:keepNext/>
      <w:keepLines/>
      <w:widowControl w:val="0"/>
      <w:spacing w:before="340" w:after="330" w:line="576" w:lineRule="auto"/>
      <w:textAlignment w:val="auto"/>
      <w:outlineLvl w:val="0"/>
    </w:pPr>
    <w:rPr>
      <w:b/>
      <w:bCs/>
      <w:kern w:val="44"/>
      <w:sz w:val="44"/>
      <w:szCs w:val="44"/>
    </w:rPr>
  </w:style>
  <w:style w:type="paragraph" w:styleId="3">
    <w:name w:val="heading 3"/>
    <w:basedOn w:val="1"/>
    <w:next w:val="1"/>
    <w:link w:val="26"/>
    <w:qFormat/>
    <w:uiPriority w:val="99"/>
    <w:pPr>
      <w:keepNext/>
      <w:keepLines/>
      <w:spacing w:before="260" w:after="260" w:line="416" w:lineRule="atLeast"/>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qFormat/>
    <w:locked/>
    <w:uiPriority w:val="99"/>
    <w:pPr>
      <w:jc w:val="left"/>
    </w:pPr>
  </w:style>
  <w:style w:type="paragraph" w:styleId="5">
    <w:name w:val="Body Text"/>
    <w:basedOn w:val="1"/>
    <w:link w:val="66"/>
    <w:semiHidden/>
    <w:unhideWhenUsed/>
    <w:qFormat/>
    <w:locked/>
    <w:uiPriority w:val="99"/>
    <w:pPr>
      <w:spacing w:after="120"/>
    </w:pPr>
  </w:style>
  <w:style w:type="paragraph" w:styleId="6">
    <w:name w:val="Body Text Indent"/>
    <w:basedOn w:val="1"/>
    <w:link w:val="29"/>
    <w:qFormat/>
    <w:uiPriority w:val="99"/>
    <w:pPr>
      <w:widowControl w:val="0"/>
      <w:snapToGrid w:val="0"/>
      <w:spacing w:before="283" w:line="560" w:lineRule="exact"/>
      <w:ind w:firstLine="510"/>
    </w:pPr>
    <w:rPr>
      <w:sz w:val="20"/>
    </w:rPr>
  </w:style>
  <w:style w:type="paragraph" w:styleId="7">
    <w:name w:val="Plain Text"/>
    <w:basedOn w:val="1"/>
    <w:link w:val="59"/>
    <w:qFormat/>
    <w:uiPriority w:val="99"/>
    <w:pPr>
      <w:widowControl w:val="0"/>
      <w:spacing w:line="240" w:lineRule="auto"/>
      <w:textAlignment w:val="auto"/>
    </w:pPr>
    <w:rPr>
      <w:rFonts w:ascii="宋体" w:hAnsi="Courier New"/>
    </w:rPr>
  </w:style>
  <w:style w:type="paragraph" w:styleId="8">
    <w:name w:val="Date"/>
    <w:basedOn w:val="1"/>
    <w:next w:val="1"/>
    <w:link w:val="31"/>
    <w:qFormat/>
    <w:uiPriority w:val="99"/>
    <w:pPr>
      <w:ind w:left="100" w:leftChars="2500"/>
    </w:pPr>
  </w:style>
  <w:style w:type="paragraph" w:styleId="9">
    <w:name w:val="Balloon Text"/>
    <w:basedOn w:val="1"/>
    <w:link w:val="32"/>
    <w:qFormat/>
    <w:uiPriority w:val="99"/>
    <w:pPr>
      <w:spacing w:line="240" w:lineRule="auto"/>
    </w:pPr>
    <w:rPr>
      <w:sz w:val="18"/>
      <w:szCs w:val="18"/>
    </w:rPr>
  </w:style>
  <w:style w:type="paragraph" w:styleId="10">
    <w:name w:val="footer"/>
    <w:basedOn w:val="1"/>
    <w:link w:val="33"/>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34"/>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Body Text 2"/>
    <w:basedOn w:val="1"/>
    <w:link w:val="35"/>
    <w:qFormat/>
    <w:uiPriority w:val="99"/>
    <w:pPr>
      <w:spacing w:after="120" w:line="480" w:lineRule="auto"/>
    </w:pPr>
    <w:rPr>
      <w:sz w:val="20"/>
    </w:rPr>
  </w:style>
  <w:style w:type="paragraph" w:styleId="15">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6">
    <w:name w:val="annotation subject"/>
    <w:basedOn w:val="4"/>
    <w:next w:val="4"/>
    <w:link w:val="28"/>
    <w:semiHidden/>
    <w:qFormat/>
    <w:locked/>
    <w:uiPriority w:val="99"/>
    <w:rPr>
      <w:b/>
      <w:bCs/>
    </w:rPr>
  </w:style>
  <w:style w:type="paragraph" w:styleId="17">
    <w:name w:val="Body Text First Indent"/>
    <w:basedOn w:val="5"/>
    <w:link w:val="67"/>
    <w:semiHidden/>
    <w:unhideWhenUsed/>
    <w:qFormat/>
    <w:locked/>
    <w:uiPriority w:val="99"/>
    <w:pPr>
      <w:ind w:firstLine="420" w:firstLineChars="100"/>
    </w:p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rPr>
  </w:style>
  <w:style w:type="character" w:styleId="22">
    <w:name w:val="page number"/>
    <w:basedOn w:val="20"/>
    <w:qFormat/>
    <w:uiPriority w:val="99"/>
    <w:rPr>
      <w:rFonts w:cs="Times New Roman"/>
    </w:rPr>
  </w:style>
  <w:style w:type="character" w:styleId="23">
    <w:name w:val="Hyperlink"/>
    <w:basedOn w:val="20"/>
    <w:qFormat/>
    <w:uiPriority w:val="99"/>
    <w:rPr>
      <w:rFonts w:cs="Times New Roman"/>
      <w:color w:val="0368A8"/>
      <w:u w:val="none"/>
    </w:rPr>
  </w:style>
  <w:style w:type="character" w:styleId="24">
    <w:name w:val="annotation reference"/>
    <w:basedOn w:val="20"/>
    <w:semiHidden/>
    <w:qFormat/>
    <w:locked/>
    <w:uiPriority w:val="99"/>
    <w:rPr>
      <w:rFonts w:cs="Times New Roman"/>
      <w:sz w:val="21"/>
      <w:szCs w:val="21"/>
    </w:rPr>
  </w:style>
  <w:style w:type="character" w:customStyle="1" w:styleId="25">
    <w:name w:val="标题 1 Char"/>
    <w:basedOn w:val="20"/>
    <w:link w:val="2"/>
    <w:qFormat/>
    <w:locked/>
    <w:uiPriority w:val="99"/>
    <w:rPr>
      <w:rFonts w:cs="Times New Roman"/>
      <w:b/>
      <w:color w:val="000000"/>
      <w:kern w:val="44"/>
      <w:sz w:val="44"/>
      <w:u w:val="none" w:color="000000"/>
    </w:rPr>
  </w:style>
  <w:style w:type="character" w:customStyle="1" w:styleId="26">
    <w:name w:val="标题 3 Char"/>
    <w:basedOn w:val="20"/>
    <w:link w:val="3"/>
    <w:semiHidden/>
    <w:qFormat/>
    <w:locked/>
    <w:uiPriority w:val="99"/>
    <w:rPr>
      <w:rFonts w:cs="Times New Roman"/>
      <w:b/>
      <w:color w:val="000000"/>
      <w:sz w:val="32"/>
      <w:u w:val="none" w:color="000000"/>
    </w:rPr>
  </w:style>
  <w:style w:type="character" w:customStyle="1" w:styleId="27">
    <w:name w:val="批注文字 Char"/>
    <w:basedOn w:val="20"/>
    <w:link w:val="4"/>
    <w:semiHidden/>
    <w:qFormat/>
    <w:locked/>
    <w:uiPriority w:val="99"/>
    <w:rPr>
      <w:rFonts w:cs="Times New Roman"/>
      <w:color w:val="000000"/>
      <w:sz w:val="21"/>
      <w:u w:color="000000"/>
    </w:rPr>
  </w:style>
  <w:style w:type="character" w:customStyle="1" w:styleId="28">
    <w:name w:val="批注主题 Char"/>
    <w:basedOn w:val="27"/>
    <w:link w:val="16"/>
    <w:semiHidden/>
    <w:qFormat/>
    <w:locked/>
    <w:uiPriority w:val="99"/>
    <w:rPr>
      <w:rFonts w:cs="Times New Roman"/>
      <w:b/>
      <w:bCs/>
      <w:color w:val="000000"/>
      <w:sz w:val="21"/>
      <w:u w:color="000000"/>
    </w:rPr>
  </w:style>
  <w:style w:type="character" w:customStyle="1" w:styleId="29">
    <w:name w:val="正文文本缩进 Char"/>
    <w:basedOn w:val="20"/>
    <w:link w:val="6"/>
    <w:semiHidden/>
    <w:qFormat/>
    <w:locked/>
    <w:uiPriority w:val="99"/>
    <w:rPr>
      <w:rFonts w:cs="Times New Roman"/>
      <w:color w:val="000000"/>
      <w:kern w:val="0"/>
      <w:sz w:val="20"/>
      <w:u w:val="none" w:color="000000"/>
    </w:rPr>
  </w:style>
  <w:style w:type="character" w:customStyle="1" w:styleId="30">
    <w:name w:val="Plain Text Char"/>
    <w:basedOn w:val="20"/>
    <w:qFormat/>
    <w:locked/>
    <w:uiPriority w:val="99"/>
    <w:rPr>
      <w:rFonts w:ascii="宋体" w:hAnsi="Courier New" w:eastAsia="宋体" w:cs="Times New Roman"/>
      <w:kern w:val="2"/>
      <w:sz w:val="21"/>
      <w:lang w:val="en-US" w:eastAsia="zh-CN"/>
    </w:rPr>
  </w:style>
  <w:style w:type="character" w:customStyle="1" w:styleId="31">
    <w:name w:val="日期 Char"/>
    <w:basedOn w:val="20"/>
    <w:link w:val="8"/>
    <w:qFormat/>
    <w:locked/>
    <w:uiPriority w:val="99"/>
    <w:rPr>
      <w:rFonts w:cs="Times New Roman"/>
      <w:color w:val="000000"/>
      <w:sz w:val="21"/>
      <w:u w:val="none" w:color="000000"/>
    </w:rPr>
  </w:style>
  <w:style w:type="character" w:customStyle="1" w:styleId="32">
    <w:name w:val="批注框文本 Char"/>
    <w:basedOn w:val="20"/>
    <w:link w:val="9"/>
    <w:qFormat/>
    <w:locked/>
    <w:uiPriority w:val="99"/>
    <w:rPr>
      <w:rFonts w:cs="Times New Roman"/>
      <w:color w:val="000000"/>
      <w:sz w:val="18"/>
      <w:u w:val="none" w:color="000000"/>
    </w:rPr>
  </w:style>
  <w:style w:type="character" w:customStyle="1" w:styleId="33">
    <w:name w:val="页脚 Char"/>
    <w:basedOn w:val="20"/>
    <w:link w:val="10"/>
    <w:semiHidden/>
    <w:qFormat/>
    <w:locked/>
    <w:uiPriority w:val="99"/>
    <w:rPr>
      <w:rFonts w:cs="Times New Roman"/>
      <w:color w:val="000000"/>
      <w:kern w:val="0"/>
      <w:sz w:val="18"/>
      <w:u w:val="none" w:color="000000"/>
    </w:rPr>
  </w:style>
  <w:style w:type="character" w:customStyle="1" w:styleId="34">
    <w:name w:val="页眉 Char"/>
    <w:basedOn w:val="20"/>
    <w:link w:val="11"/>
    <w:semiHidden/>
    <w:qFormat/>
    <w:locked/>
    <w:uiPriority w:val="99"/>
    <w:rPr>
      <w:rFonts w:cs="Times New Roman"/>
      <w:color w:val="000000"/>
      <w:kern w:val="0"/>
      <w:sz w:val="18"/>
      <w:u w:val="none" w:color="000000"/>
    </w:rPr>
  </w:style>
  <w:style w:type="character" w:customStyle="1" w:styleId="35">
    <w:name w:val="正文文本 2 Char"/>
    <w:basedOn w:val="20"/>
    <w:link w:val="14"/>
    <w:semiHidden/>
    <w:qFormat/>
    <w:locked/>
    <w:uiPriority w:val="99"/>
    <w:rPr>
      <w:rFonts w:cs="Times New Roman"/>
      <w:color w:val="000000"/>
      <w:kern w:val="0"/>
      <w:sz w:val="20"/>
      <w:u w:val="none" w:color="000000"/>
    </w:rPr>
  </w:style>
  <w:style w:type="paragraph" w:customStyle="1" w:styleId="36">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7">
    <w:name w:val="章标题"/>
    <w:basedOn w:val="1"/>
    <w:next w:val="38"/>
    <w:qFormat/>
    <w:uiPriority w:val="99"/>
    <w:pPr>
      <w:spacing w:before="158" w:after="153" w:line="323" w:lineRule="atLeast"/>
      <w:jc w:val="center"/>
    </w:pPr>
    <w:rPr>
      <w:rFonts w:ascii="Arial" w:eastAsia="黑体"/>
      <w:sz w:val="31"/>
    </w:rPr>
  </w:style>
  <w:style w:type="paragraph" w:customStyle="1" w:styleId="38">
    <w:name w:val="节标题"/>
    <w:basedOn w:val="1"/>
    <w:next w:val="39"/>
    <w:qFormat/>
    <w:uiPriority w:val="99"/>
    <w:pPr>
      <w:spacing w:line="289" w:lineRule="atLeast"/>
      <w:jc w:val="center"/>
    </w:pPr>
    <w:rPr>
      <w:sz w:val="28"/>
    </w:rPr>
  </w:style>
  <w:style w:type="paragraph" w:customStyle="1" w:styleId="39">
    <w:name w:val="小节标题"/>
    <w:basedOn w:val="1"/>
    <w:next w:val="1"/>
    <w:qFormat/>
    <w:uiPriority w:val="99"/>
    <w:pPr>
      <w:spacing w:before="175" w:after="102" w:line="351" w:lineRule="atLeast"/>
    </w:pPr>
    <w:rPr>
      <w:rFonts w:eastAsia="黑体"/>
    </w:rPr>
  </w:style>
  <w:style w:type="paragraph" w:customStyle="1" w:styleId="40">
    <w:name w:val="目录2"/>
    <w:basedOn w:val="1"/>
    <w:next w:val="1"/>
    <w:qFormat/>
    <w:uiPriority w:val="99"/>
    <w:pPr>
      <w:tabs>
        <w:tab w:val="left" w:leader="dot" w:pos="8503"/>
      </w:tabs>
      <w:spacing w:line="317" w:lineRule="atLeast"/>
      <w:ind w:firstLine="209"/>
    </w:pPr>
  </w:style>
  <w:style w:type="paragraph" w:customStyle="1" w:styleId="41">
    <w:name w:val="目录4"/>
    <w:basedOn w:val="1"/>
    <w:next w:val="1"/>
    <w:qFormat/>
    <w:uiPriority w:val="99"/>
    <w:pPr>
      <w:tabs>
        <w:tab w:val="left" w:leader="dot" w:pos="8503"/>
      </w:tabs>
      <w:spacing w:line="317" w:lineRule="atLeast"/>
      <w:ind w:firstLine="629"/>
    </w:pPr>
  </w:style>
  <w:style w:type="paragraph" w:customStyle="1" w:styleId="42">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43">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4">
    <w:name w:val="目录3"/>
    <w:basedOn w:val="1"/>
    <w:next w:val="1"/>
    <w:qFormat/>
    <w:uiPriority w:val="99"/>
    <w:pPr>
      <w:tabs>
        <w:tab w:val="left" w:leader="dot" w:pos="8503"/>
      </w:tabs>
      <w:spacing w:line="317" w:lineRule="atLeast"/>
      <w:ind w:firstLine="419"/>
    </w:pPr>
  </w:style>
  <w:style w:type="paragraph" w:customStyle="1" w:styleId="45">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6">
    <w:name w:val="文章总标题"/>
    <w:basedOn w:val="1"/>
    <w:next w:val="47"/>
    <w:qFormat/>
    <w:uiPriority w:val="99"/>
    <w:pPr>
      <w:spacing w:before="566" w:after="544" w:line="566" w:lineRule="atLeast"/>
      <w:jc w:val="center"/>
    </w:pPr>
    <w:rPr>
      <w:rFonts w:ascii="Arial" w:eastAsia="黑体"/>
      <w:sz w:val="54"/>
    </w:rPr>
  </w:style>
  <w:style w:type="paragraph" w:customStyle="1" w:styleId="47">
    <w:name w:val="文章附标题"/>
    <w:basedOn w:val="1"/>
    <w:next w:val="37"/>
    <w:qFormat/>
    <w:uiPriority w:val="99"/>
    <w:pPr>
      <w:spacing w:before="187" w:after="175" w:line="374" w:lineRule="atLeast"/>
      <w:jc w:val="center"/>
    </w:pPr>
    <w:rPr>
      <w:sz w:val="36"/>
    </w:rPr>
  </w:style>
  <w:style w:type="paragraph" w:customStyle="1" w:styleId="48">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49">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0">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1">
    <w:name w:val="WPS Plain"/>
    <w:qFormat/>
    <w:uiPriority w:val="99"/>
    <w:rPr>
      <w:rFonts w:ascii="Times New Roman" w:hAnsi="Times New Roman" w:eastAsia="宋体" w:cs="Times New Roman"/>
      <w:lang w:val="en-US" w:eastAsia="zh-CN" w:bidi="ar-SA"/>
    </w:rPr>
  </w:style>
  <w:style w:type="paragraph" w:customStyle="1" w:styleId="52">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53">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4">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5">
    <w:name w:val="List Paragraph1"/>
    <w:basedOn w:val="1"/>
    <w:qFormat/>
    <w:uiPriority w:val="99"/>
    <w:pPr>
      <w:ind w:firstLine="420" w:firstLineChars="200"/>
    </w:pPr>
  </w:style>
  <w:style w:type="character" w:customStyle="1" w:styleId="56">
    <w:name w:val="链接"/>
    <w:qFormat/>
    <w:uiPriority w:val="99"/>
    <w:rPr>
      <w:rFonts w:ascii="Times New Roman" w:eastAsia="宋体"/>
      <w:color w:val="0000FF"/>
      <w:sz w:val="21"/>
      <w:u w:val="single" w:color="0000FF"/>
      <w:lang w:val="en-US" w:eastAsia="zh-CN"/>
    </w:rPr>
  </w:style>
  <w:style w:type="character" w:customStyle="1" w:styleId="57">
    <w:name w:val="超级链接"/>
    <w:qFormat/>
    <w:uiPriority w:val="99"/>
    <w:rPr>
      <w:rFonts w:ascii="Times New Roman" w:eastAsia="宋体"/>
      <w:color w:val="0000FF"/>
      <w:sz w:val="21"/>
      <w:u w:val="single" w:color="0000FF"/>
      <w:lang w:val="en-US" w:eastAsia="zh-CN"/>
    </w:rPr>
  </w:style>
  <w:style w:type="character" w:customStyle="1" w:styleId="58">
    <w:name w:val="param_td12"/>
    <w:qFormat/>
    <w:uiPriority w:val="99"/>
  </w:style>
  <w:style w:type="character" w:customStyle="1" w:styleId="59">
    <w:name w:val="纯文本 Char"/>
    <w:link w:val="7"/>
    <w:semiHidden/>
    <w:qFormat/>
    <w:locked/>
    <w:uiPriority w:val="99"/>
    <w:rPr>
      <w:rFonts w:ascii="宋体" w:hAnsi="Courier New"/>
      <w:color w:val="000000"/>
      <w:kern w:val="0"/>
      <w:sz w:val="21"/>
      <w:u w:val="none" w:color="000000"/>
    </w:rPr>
  </w:style>
  <w:style w:type="character" w:customStyle="1" w:styleId="60">
    <w:name w:val="纯文本 Char Char"/>
    <w:qFormat/>
    <w:uiPriority w:val="99"/>
    <w:rPr>
      <w:rFonts w:ascii="宋体" w:hAnsi="Courier New" w:eastAsia="宋体"/>
      <w:kern w:val="2"/>
      <w:sz w:val="21"/>
      <w:lang w:val="en-US" w:eastAsia="zh-CN"/>
    </w:rPr>
  </w:style>
  <w:style w:type="character" w:customStyle="1" w:styleId="61">
    <w:name w:val="Char Char4"/>
    <w:qFormat/>
    <w:uiPriority w:val="99"/>
    <w:rPr>
      <w:rFonts w:ascii="宋体" w:eastAsia="宋体"/>
      <w:kern w:val="2"/>
      <w:sz w:val="28"/>
    </w:rPr>
  </w:style>
  <w:style w:type="character" w:customStyle="1" w:styleId="62">
    <w:name w:val="纯文本 Char1"/>
    <w:qFormat/>
    <w:locked/>
    <w:uiPriority w:val="99"/>
    <w:rPr>
      <w:rFonts w:ascii="宋体" w:hAnsi="Courier New"/>
      <w:kern w:val="2"/>
      <w:sz w:val="21"/>
      <w:u w:color="000000"/>
    </w:rPr>
  </w:style>
  <w:style w:type="character" w:customStyle="1" w:styleId="63">
    <w:name w:val="15"/>
    <w:basedOn w:val="20"/>
    <w:qFormat/>
    <w:uiPriority w:val="99"/>
    <w:rPr>
      <w:rFonts w:cs="Times New Roman"/>
    </w:rPr>
  </w:style>
  <w:style w:type="character" w:customStyle="1" w:styleId="64">
    <w:name w:val="样式 首行缩进:  0 字符 Char"/>
    <w:link w:val="65"/>
    <w:qFormat/>
    <w:locked/>
    <w:uiPriority w:val="0"/>
    <w:rPr>
      <w:sz w:val="24"/>
    </w:rPr>
  </w:style>
  <w:style w:type="paragraph" w:customStyle="1" w:styleId="65">
    <w:name w:val="样式 首行缩进:  0 字符"/>
    <w:basedOn w:val="1"/>
    <w:link w:val="64"/>
    <w:qFormat/>
    <w:uiPriority w:val="0"/>
    <w:pPr>
      <w:widowControl w:val="0"/>
      <w:spacing w:line="360" w:lineRule="auto"/>
      <w:ind w:firstLine="200" w:firstLineChars="200"/>
      <w:textAlignment w:val="auto"/>
    </w:pPr>
    <w:rPr>
      <w:color w:val="auto"/>
      <w:sz w:val="24"/>
    </w:rPr>
  </w:style>
  <w:style w:type="character" w:customStyle="1" w:styleId="66">
    <w:name w:val="正文文本 Char"/>
    <w:basedOn w:val="20"/>
    <w:link w:val="5"/>
    <w:semiHidden/>
    <w:qFormat/>
    <w:uiPriority w:val="99"/>
    <w:rPr>
      <w:color w:val="000000"/>
      <w:sz w:val="21"/>
      <w:u w:color="000000"/>
    </w:rPr>
  </w:style>
  <w:style w:type="character" w:customStyle="1" w:styleId="67">
    <w:name w:val="正文首行缩进 Char"/>
    <w:basedOn w:val="66"/>
    <w:link w:val="17"/>
    <w:semiHidden/>
    <w:qFormat/>
    <w:uiPriority w:val="99"/>
    <w:rPr>
      <w:color w:val="000000"/>
      <w:sz w:val="21"/>
      <w:u w:color="000000"/>
    </w:rPr>
  </w:style>
  <w:style w:type="paragraph" w:customStyle="1" w:styleId="68">
    <w:name w:val="正文文本 (2)"/>
    <w:basedOn w:val="1"/>
    <w:link w:val="72"/>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69">
    <w:name w:val="正文文本 (2) + 斜体"/>
    <w:qFormat/>
    <w:uiPriority w:val="0"/>
    <w:rPr>
      <w:rFonts w:ascii="MingLiU" w:hAnsi="MingLiU" w:eastAsia="MingLiU" w:cs="MingLiU"/>
      <w:i/>
      <w:iCs/>
      <w:color w:val="000000"/>
      <w:spacing w:val="0"/>
      <w:w w:val="100"/>
      <w:position w:val="0"/>
      <w:sz w:val="30"/>
      <w:szCs w:val="30"/>
      <w:u w:val="none"/>
      <w:lang w:val="zh-CN" w:eastAsia="zh-CN" w:bidi="zh-CN"/>
    </w:rPr>
  </w:style>
  <w:style w:type="character" w:customStyle="1" w:styleId="70">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71">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character" w:customStyle="1" w:styleId="72">
    <w:name w:val="正文文本 (2)_"/>
    <w:link w:val="68"/>
    <w:qFormat/>
    <w:uiPriority w:val="0"/>
    <w:rPr>
      <w:rFonts w:ascii="MingLiU" w:hAnsi="MingLiU" w:eastAsia="MingLiU" w:cs="MingLiU"/>
      <w:spacing w:val="30"/>
      <w:sz w:val="30"/>
      <w:szCs w:val="30"/>
      <w:u w:color="000000"/>
      <w:shd w:val="clear" w:color="auto" w:fill="FFFFFF"/>
    </w:rPr>
  </w:style>
  <w:style w:type="paragraph" w:styleId="73">
    <w:name w:val="List Paragraph"/>
    <w:basedOn w:val="1"/>
    <w:qFormat/>
    <w:uiPriority w:val="34"/>
    <w:pPr>
      <w:widowControl w:val="0"/>
      <w:spacing w:line="240" w:lineRule="auto"/>
      <w:ind w:firstLine="420" w:firstLineChars="200"/>
      <w:textAlignment w:val="auto"/>
    </w:pPr>
    <w:rPr>
      <w:color w:val="auto"/>
      <w:kern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C6CD4-F0B9-4C37-9F8E-B709D40650E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36367</Words>
  <Characters>38412</Characters>
  <Lines>61</Lines>
  <Paragraphs>88</Paragraphs>
  <TotalTime>13</TotalTime>
  <ScaleCrop>false</ScaleCrop>
  <LinksUpToDate>false</LinksUpToDate>
  <CharactersWithSpaces>39883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2015-09-13T11:01:00Z</dcterms:created>
  <dc:creator>ZM</dc:creator>
  <cp:lastModifiedBy>Administrator</cp:lastModifiedBy>
  <cp:lastPrinted>2024-08-01T06:54:00Z</cp:lastPrinted>
  <dcterms:modified xsi:type="dcterms:W3CDTF">2024-09-03T02:40:13Z</dcterms:modified>
  <dc:title>内黄县第一高级中学所需多媒体教室设备项目</dc:title>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1922ABD57F854DBF8A25C5E95EA2F83A_13</vt:lpwstr>
  </property>
</Properties>
</file>