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hint="eastAsia" w:ascii="宋体" w:hAnsi="宋体" w:eastAsia="宋体" w:cs="宋体"/>
          <w:b/>
          <w:color w:val="auto"/>
          <w:kern w:val="0"/>
          <w:sz w:val="40"/>
          <w:szCs w:val="22"/>
          <w:highlight w:val="none"/>
        </w:rPr>
      </w:pPr>
    </w:p>
    <w:p>
      <w:pPr>
        <w:adjustRightInd w:val="0"/>
        <w:snapToGrid w:val="0"/>
        <w:spacing w:line="312"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color w:val="auto"/>
          <w:kern w:val="0"/>
          <w:sz w:val="48"/>
          <w:szCs w:val="48"/>
          <w:highlight w:val="none"/>
          <w:lang w:eastAsia="zh-CN"/>
        </w:rPr>
        <w:t>信阳市羊山新区民政局2024年居家和社区基本养老服务提升行动项目</w:t>
      </w:r>
    </w:p>
    <w:p>
      <w:pPr>
        <w:adjustRightInd w:val="0"/>
        <w:snapToGrid w:val="0"/>
        <w:spacing w:line="312" w:lineRule="auto"/>
        <w:jc w:val="center"/>
        <w:rPr>
          <w:rFonts w:hint="eastAsia" w:ascii="宋体" w:hAnsi="宋体" w:eastAsia="宋体" w:cs="宋体"/>
          <w:b/>
          <w:color w:val="auto"/>
          <w:spacing w:val="28"/>
          <w:kern w:val="0"/>
          <w:sz w:val="36"/>
          <w:szCs w:val="36"/>
          <w:highlight w:val="none"/>
        </w:rPr>
      </w:pPr>
    </w:p>
    <w:p>
      <w:pPr>
        <w:pStyle w:val="18"/>
        <w:rPr>
          <w:rFonts w:hint="eastAsia"/>
          <w:color w:val="auto"/>
          <w:highlight w:val="none"/>
        </w:rPr>
      </w:pPr>
    </w:p>
    <w:p>
      <w:pPr>
        <w:adjustRightInd w:val="0"/>
        <w:snapToGrid w:val="0"/>
        <w:spacing w:line="312" w:lineRule="auto"/>
        <w:jc w:val="center"/>
        <w:rPr>
          <w:rFonts w:hint="eastAsia" w:ascii="宋体" w:hAnsi="宋体" w:eastAsia="宋体" w:cs="宋体"/>
          <w:b/>
          <w:color w:val="auto"/>
          <w:spacing w:val="28"/>
          <w:kern w:val="0"/>
          <w:sz w:val="84"/>
          <w:szCs w:val="84"/>
          <w:highlight w:val="none"/>
        </w:rPr>
      </w:pPr>
      <w:r>
        <w:rPr>
          <w:rFonts w:hint="eastAsia" w:ascii="宋体" w:hAnsi="宋体" w:eastAsia="宋体" w:cs="宋体"/>
          <w:b/>
          <w:color w:val="auto"/>
          <w:spacing w:val="28"/>
          <w:kern w:val="0"/>
          <w:sz w:val="84"/>
          <w:szCs w:val="84"/>
          <w:highlight w:val="none"/>
        </w:rPr>
        <w:t>招 标 文 件</w:t>
      </w:r>
    </w:p>
    <w:p>
      <w:pPr>
        <w:spacing w:before="312" w:beforeLines="100" w:after="312" w:afterLines="100" w:line="312" w:lineRule="auto"/>
        <w:ind w:firstLine="1606" w:firstLineChars="500"/>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采购编号：</w:t>
      </w:r>
      <w:r>
        <w:rPr>
          <w:rFonts w:hint="eastAsia" w:ascii="宋体" w:hAnsi="宋体" w:cs="宋体"/>
          <w:b/>
          <w:color w:val="auto"/>
          <w:sz w:val="32"/>
          <w:szCs w:val="32"/>
          <w:highlight w:val="none"/>
          <w:lang w:val="en-US" w:eastAsia="zh-CN"/>
        </w:rPr>
        <w:t>羊</w:t>
      </w:r>
      <w:r>
        <w:rPr>
          <w:rFonts w:hint="eastAsia" w:ascii="宋体" w:hAnsi="宋体" w:eastAsia="宋体" w:cs="宋体"/>
          <w:b/>
          <w:color w:val="auto"/>
          <w:sz w:val="32"/>
          <w:szCs w:val="32"/>
          <w:highlight w:val="none"/>
        </w:rPr>
        <w:t>财公开招标-202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25</w:t>
      </w:r>
    </w:p>
    <w:p>
      <w:pPr>
        <w:spacing w:line="312"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100"/>
          <w:szCs w:val="100"/>
          <w:highlight w:val="none"/>
        </w:rPr>
        <w:drawing>
          <wp:anchor distT="0" distB="0" distL="114300" distR="114300" simplePos="0" relativeHeight="251660288" behindDoc="0" locked="0" layoutInCell="1" allowOverlap="1">
            <wp:simplePos x="0" y="0"/>
            <wp:positionH relativeFrom="column">
              <wp:posOffset>1954530</wp:posOffset>
            </wp:positionH>
            <wp:positionV relativeFrom="paragraph">
              <wp:posOffset>15240</wp:posOffset>
            </wp:positionV>
            <wp:extent cx="1561465" cy="1561465"/>
            <wp:effectExtent l="0" t="0" r="635" b="635"/>
            <wp:wrapNone/>
            <wp:docPr id="1" name="图片 1" descr="明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祥"/>
                    <pic:cNvPicPr>
                      <a:picLocks noChangeAspect="1"/>
                    </pic:cNvPicPr>
                  </pic:nvPicPr>
                  <pic:blipFill>
                    <a:blip r:embed="rId9"/>
                    <a:stretch>
                      <a:fillRect/>
                    </a:stretch>
                  </pic:blipFill>
                  <pic:spPr>
                    <a:xfrm>
                      <a:off x="0" y="0"/>
                      <a:ext cx="1561465" cy="1561465"/>
                    </a:xfrm>
                    <a:prstGeom prst="rect">
                      <a:avLst/>
                    </a:prstGeom>
                    <a:noFill/>
                    <a:ln>
                      <a:noFill/>
                    </a:ln>
                  </pic:spPr>
                </pic:pic>
              </a:graphicData>
            </a:graphic>
          </wp:anchor>
        </w:drawing>
      </w:r>
    </w:p>
    <w:p>
      <w:pPr>
        <w:spacing w:line="312" w:lineRule="auto"/>
        <w:jc w:val="center"/>
        <w:rPr>
          <w:rFonts w:hint="eastAsia" w:ascii="宋体" w:hAnsi="宋体" w:eastAsia="宋体" w:cs="宋体"/>
          <w:color w:val="auto"/>
          <w:highlight w:val="none"/>
        </w:rPr>
      </w:pPr>
    </w:p>
    <w:p>
      <w:pPr>
        <w:adjustRightInd w:val="0"/>
        <w:snapToGrid w:val="0"/>
        <w:spacing w:line="312" w:lineRule="auto"/>
        <w:jc w:val="center"/>
        <w:rPr>
          <w:rFonts w:hint="eastAsia" w:ascii="宋体" w:hAnsi="宋体" w:eastAsia="宋体" w:cs="宋体"/>
          <w:b/>
          <w:color w:val="auto"/>
          <w:spacing w:val="28"/>
          <w:kern w:val="0"/>
          <w:sz w:val="100"/>
          <w:highlight w:val="none"/>
        </w:rPr>
      </w:pPr>
    </w:p>
    <w:p>
      <w:pPr>
        <w:pStyle w:val="2"/>
        <w:spacing w:line="312" w:lineRule="auto"/>
        <w:rPr>
          <w:rFonts w:hint="eastAsia" w:ascii="宋体" w:hAnsi="宋体" w:eastAsia="宋体" w:cs="宋体"/>
          <w:color w:val="auto"/>
          <w:highlight w:val="none"/>
        </w:rPr>
      </w:pPr>
    </w:p>
    <w:p>
      <w:pPr>
        <w:pStyle w:val="2"/>
        <w:spacing w:line="312" w:lineRule="auto"/>
        <w:rPr>
          <w:rFonts w:hint="eastAsia" w:ascii="宋体" w:hAnsi="宋体" w:eastAsia="宋体" w:cs="宋体"/>
          <w:color w:val="auto"/>
          <w:highlight w:val="none"/>
        </w:rPr>
      </w:pPr>
    </w:p>
    <w:p>
      <w:pPr>
        <w:pStyle w:val="23"/>
        <w:spacing w:line="312" w:lineRule="auto"/>
        <w:rPr>
          <w:rFonts w:hint="eastAsia" w:ascii="宋体" w:hAnsi="宋体" w:eastAsia="宋体" w:cs="宋体"/>
          <w:color w:val="auto"/>
          <w:highlight w:val="none"/>
        </w:rPr>
      </w:pPr>
    </w:p>
    <w:p>
      <w:pPr>
        <w:pStyle w:val="5"/>
        <w:spacing w:line="312" w:lineRule="auto"/>
        <w:ind w:left="0" w:leftChars="0" w:firstLine="0" w:firstLineChars="0"/>
        <w:rPr>
          <w:rFonts w:hint="eastAsia" w:ascii="宋体" w:hAnsi="宋体" w:eastAsia="宋体" w:cs="宋体"/>
          <w:color w:val="auto"/>
          <w:highlight w:val="none"/>
        </w:rPr>
      </w:pPr>
    </w:p>
    <w:p>
      <w:pPr>
        <w:pStyle w:val="27"/>
        <w:spacing w:line="312" w:lineRule="auto"/>
        <w:ind w:firstLine="560"/>
        <w:rPr>
          <w:rFonts w:hint="eastAsia" w:ascii="宋体" w:hAnsi="宋体" w:eastAsia="宋体" w:cs="宋体"/>
          <w:color w:val="auto"/>
          <w:highlight w:val="none"/>
        </w:rPr>
      </w:pPr>
    </w:p>
    <w:p>
      <w:pPr>
        <w:spacing w:line="312" w:lineRule="auto"/>
        <w:ind w:firstLine="1606" w:firstLineChars="5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 购 人：</w:t>
      </w:r>
      <w:bookmarkStart w:id="0" w:name="OLE_LINK13"/>
      <w:r>
        <w:rPr>
          <w:rFonts w:hint="eastAsia" w:ascii="宋体" w:hAnsi="宋体" w:eastAsia="宋体" w:cs="宋体"/>
          <w:b/>
          <w:color w:val="auto"/>
          <w:sz w:val="32"/>
          <w:highlight w:val="none"/>
          <w:lang w:eastAsia="zh-CN"/>
        </w:rPr>
        <w:t>信阳市羊山新区民政局</w:t>
      </w:r>
      <w:bookmarkEnd w:id="0"/>
    </w:p>
    <w:p>
      <w:pPr>
        <w:spacing w:line="312" w:lineRule="auto"/>
        <w:ind w:firstLine="1606" w:firstLineChars="5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采购代理：河南明祥工程咨询有限公司</w:t>
      </w:r>
    </w:p>
    <w:p>
      <w:pPr>
        <w:spacing w:line="312" w:lineRule="auto"/>
        <w:ind w:firstLine="1606" w:firstLineChars="5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日    期：</w:t>
      </w:r>
      <w:r>
        <w:rPr>
          <w:rFonts w:hint="eastAsia" w:ascii="宋体" w:hAnsi="宋体" w:eastAsia="宋体" w:cs="宋体"/>
          <w:b/>
          <w:color w:val="auto"/>
          <w:sz w:val="32"/>
          <w:highlight w:val="none"/>
          <w:lang w:eastAsia="zh-CN"/>
        </w:rPr>
        <w:t>二○</w:t>
      </w:r>
      <w:r>
        <w:rPr>
          <w:rFonts w:hint="eastAsia" w:ascii="宋体" w:hAnsi="宋体" w:eastAsia="宋体" w:cs="宋体"/>
          <w:b/>
          <w:color w:val="auto"/>
          <w:sz w:val="32"/>
          <w:highlight w:val="none"/>
        </w:rPr>
        <w:t>二</w:t>
      </w:r>
      <w:r>
        <w:rPr>
          <w:rFonts w:hint="eastAsia" w:ascii="宋体" w:hAnsi="宋体" w:cs="宋体"/>
          <w:b/>
          <w:color w:val="auto"/>
          <w:sz w:val="32"/>
          <w:highlight w:val="none"/>
          <w:lang w:val="en-US" w:eastAsia="zh-CN"/>
        </w:rPr>
        <w:t>四</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十二</w:t>
      </w:r>
      <w:r>
        <w:rPr>
          <w:rFonts w:hint="eastAsia" w:ascii="宋体" w:hAnsi="宋体" w:eastAsia="宋体" w:cs="宋体"/>
          <w:b/>
          <w:color w:val="auto"/>
          <w:sz w:val="32"/>
          <w:highlight w:val="none"/>
        </w:rPr>
        <w:t>月</w:t>
      </w:r>
    </w:p>
    <w:p>
      <w:pPr>
        <w:rPr>
          <w:rFonts w:hint="eastAsia" w:ascii="宋体" w:hAnsi="宋体" w:eastAsia="宋体" w:cs="宋体"/>
          <w:b/>
          <w:color w:val="auto"/>
          <w:sz w:val="44"/>
          <w:highlight w:val="none"/>
        </w:rPr>
      </w:pPr>
      <w:r>
        <w:rPr>
          <w:rFonts w:hint="eastAsia" w:ascii="宋体" w:hAnsi="宋体" w:eastAsia="宋体" w:cs="宋体"/>
          <w:b/>
          <w:color w:val="auto"/>
          <w:sz w:val="44"/>
          <w:highlight w:val="none"/>
        </w:rPr>
        <w:br w:type="page"/>
      </w:r>
    </w:p>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highlight w:val="none"/>
        </w:rPr>
        <w:sectPr>
          <w:headerReference r:id="rId4" w:type="first"/>
          <w:headerReference r:id="rId3" w:type="default"/>
          <w:pgSz w:w="11906" w:h="16838"/>
          <w:pgMar w:top="1388" w:right="1701" w:bottom="1418" w:left="1701" w:header="851" w:footer="851" w:gutter="0"/>
          <w:pgBorders>
            <w:top w:val="none" w:sz="0" w:space="0"/>
            <w:left w:val="none" w:sz="0" w:space="0"/>
            <w:bottom w:val="none" w:sz="0" w:space="0"/>
            <w:right w:val="none" w:sz="0" w:space="0"/>
          </w:pgBorders>
          <w:pgNumType w:start="1"/>
          <w:cols w:space="720" w:num="1"/>
          <w:titlePg/>
          <w:docGrid w:type="lines" w:linePitch="312" w:charSpace="0"/>
        </w:sectPr>
      </w:pPr>
    </w:p>
    <w:p>
      <w:pPr>
        <w:pStyle w:val="2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致政府采购供应商和代理机构的一封信</w:t>
      </w:r>
    </w:p>
    <w:p>
      <w:pPr>
        <w:pStyle w:val="2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尊敬的政府采购供应商、代理机构：</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您好！非常感谢您一直以来对信阳市政府采购活动的关心和支持！</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来，信阳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尽管做了一些工作，但我们深知，离贵公司的期望还有差距。恳请贵公司对我们的工作提出宝贵意见，并持续给予关注、支持和监督！</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涉及信阳市政府采购领域营商环境的任何问题，贵公司均可通过专线电话0376-6699123、电子邮箱czyszb228@163.com，与信阳市财政局优化营商环境办公室随时沟通交流，我们将竭诚为各位供应商服务，全力解决贵公司遇到的困难。</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再次感谢贵公司对信阳市政府采购工作的关心和支持！让我们携起手来为“美好生活看信阳”做出财政贡献！</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sz w:val="21"/>
          <w:szCs w:val="21"/>
          <w:highlight w:val="none"/>
        </w:rPr>
      </w:pP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信阳市财政局</w:t>
      </w:r>
    </w:p>
    <w:p>
      <w:pPr>
        <w:pStyle w:val="22"/>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color w:val="auto"/>
          <w:sz w:val="21"/>
          <w:szCs w:val="21"/>
          <w:highlight w:val="none"/>
        </w:rPr>
        <w:sectPr>
          <w:footerReference r:id="rId5" w:type="default"/>
          <w:pgSz w:w="11906" w:h="16838"/>
          <w:pgMar w:top="1388" w:right="1701" w:bottom="1418" w:left="170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sz w:val="21"/>
          <w:szCs w:val="21"/>
          <w:highlight w:val="none"/>
        </w:rPr>
        <w:t>2024年6月</w:t>
      </w:r>
    </w:p>
    <w:p>
      <w:pPr>
        <w:pStyle w:val="12"/>
        <w:spacing w:line="312"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第一章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第二章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8</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8</w:t>
      </w:r>
    </w:p>
    <w:p>
      <w:pPr>
        <w:pStyle w:val="20"/>
        <w:numPr>
          <w:ilvl w:val="0"/>
          <w:numId w:val="3"/>
        </w:numPr>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11</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12</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13</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投标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15</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开标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15</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16</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合同授予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16</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重新招标和不再招标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17</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纪律和监督</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17</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 需要补充的其他内容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18</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第三章 评标办法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19</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评标办法前附表（综合评估法）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19</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评标办法（综合评估法）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21</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第四章 合同主要条款及格式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24</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第五章 采购</w:t>
      </w:r>
      <w:r>
        <w:rPr>
          <w:rFonts w:hint="eastAsia" w:ascii="宋体" w:hAnsi="宋体" w:eastAsia="宋体" w:cs="宋体"/>
          <w:color w:val="auto"/>
          <w:sz w:val="22"/>
          <w:szCs w:val="22"/>
          <w:highlight w:val="none"/>
          <w:lang w:val="en-US" w:eastAsia="zh-CN"/>
        </w:rPr>
        <w:t>需求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25</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第六章 投标文件格式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37</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一、投标函及投标函附录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39</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二、法定代表人（单位负责人）身份证明（适用于无委托代理人的情况）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41</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二、授权委托书（适用于有委托代理人的情况）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42</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三、技术条款偏差表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43</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四、项目服务方案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44</w:t>
      </w:r>
    </w:p>
    <w:p>
      <w:pPr>
        <w:pStyle w:val="20"/>
        <w:tabs>
          <w:tab w:val="right" w:leader="dot" w:pos="8595"/>
        </w:tabs>
        <w:spacing w:line="31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五、资格审查资料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45</w:t>
      </w:r>
    </w:p>
    <w:p>
      <w:pPr>
        <w:pStyle w:val="20"/>
        <w:tabs>
          <w:tab w:val="right" w:leader="dot" w:pos="8595"/>
        </w:tabs>
        <w:spacing w:line="312" w:lineRule="auto"/>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t>六、其他材料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48</w:t>
      </w:r>
    </w:p>
    <w:p>
      <w:pPr>
        <w:pStyle w:val="57"/>
        <w:spacing w:line="312" w:lineRule="auto"/>
        <w:jc w:val="center"/>
        <w:rPr>
          <w:rFonts w:hint="eastAsia" w:ascii="宋体" w:hAnsi="宋体" w:eastAsia="宋体" w:cs="宋体"/>
          <w:b/>
          <w:bCs/>
          <w:color w:val="auto"/>
          <w:sz w:val="28"/>
          <w:szCs w:val="28"/>
          <w:highlight w:val="none"/>
        </w:rPr>
      </w:pPr>
    </w:p>
    <w:p>
      <w:pPr>
        <w:pStyle w:val="57"/>
        <w:spacing w:line="312" w:lineRule="auto"/>
        <w:jc w:val="center"/>
        <w:rPr>
          <w:rFonts w:hint="eastAsia" w:ascii="宋体" w:hAnsi="宋体" w:eastAsia="宋体" w:cs="宋体"/>
          <w:b/>
          <w:bCs/>
          <w:color w:val="auto"/>
          <w:sz w:val="28"/>
          <w:szCs w:val="28"/>
          <w:highlight w:val="none"/>
        </w:rPr>
      </w:pPr>
    </w:p>
    <w:p>
      <w:pPr>
        <w:pStyle w:val="57"/>
        <w:spacing w:line="312" w:lineRule="auto"/>
        <w:jc w:val="center"/>
        <w:rPr>
          <w:rFonts w:hint="eastAsia" w:ascii="宋体" w:hAnsi="宋体" w:eastAsia="宋体" w:cs="宋体"/>
          <w:b/>
          <w:bCs/>
          <w:color w:val="auto"/>
          <w:sz w:val="28"/>
          <w:szCs w:val="28"/>
          <w:highlight w:val="none"/>
        </w:rPr>
      </w:pPr>
    </w:p>
    <w:p>
      <w:pPr>
        <w:spacing w:line="312" w:lineRule="auto"/>
        <w:rPr>
          <w:rFonts w:hint="eastAsia" w:ascii="宋体" w:hAnsi="宋体" w:eastAsia="宋体" w:cs="宋体"/>
          <w:color w:val="auto"/>
          <w:highlight w:val="none"/>
        </w:rPr>
      </w:pPr>
    </w:p>
    <w:p>
      <w:pPr>
        <w:pStyle w:val="57"/>
        <w:spacing w:line="312" w:lineRule="auto"/>
        <w:jc w:val="center"/>
        <w:rPr>
          <w:rFonts w:hint="eastAsia" w:ascii="宋体" w:hAnsi="宋体" w:eastAsia="宋体" w:cs="宋体"/>
          <w:b/>
          <w:bCs/>
          <w:color w:val="auto"/>
          <w:sz w:val="28"/>
          <w:szCs w:val="28"/>
          <w:highlight w:val="none"/>
        </w:rPr>
      </w:pPr>
    </w:p>
    <w:p>
      <w:pPr>
        <w:pStyle w:val="57"/>
        <w:spacing w:line="312" w:lineRule="auto"/>
        <w:jc w:val="center"/>
        <w:rPr>
          <w:rFonts w:hint="eastAsia" w:ascii="宋体" w:hAnsi="宋体" w:eastAsia="宋体" w:cs="宋体"/>
          <w:b/>
          <w:color w:val="auto"/>
          <w:spacing w:val="14"/>
          <w:sz w:val="44"/>
          <w:szCs w:val="44"/>
          <w:highlight w:val="none"/>
        </w:rPr>
      </w:pPr>
      <w:r>
        <w:rPr>
          <w:rFonts w:hint="eastAsia" w:ascii="宋体" w:hAnsi="宋体" w:eastAsia="宋体" w:cs="宋体"/>
          <w:b/>
          <w:color w:val="auto"/>
          <w:spacing w:val="14"/>
          <w:sz w:val="44"/>
          <w:szCs w:val="44"/>
          <w:highlight w:val="none"/>
        </w:rPr>
        <w:t>电子招投标特别提示</w:t>
      </w:r>
    </w:p>
    <w:p>
      <w:pPr>
        <w:spacing w:line="312" w:lineRule="auto"/>
        <w:rPr>
          <w:rFonts w:hint="eastAsia" w:ascii="宋体" w:hAnsi="宋体" w:eastAsia="宋体" w:cs="宋体"/>
          <w:b/>
          <w:bCs/>
          <w:color w:val="auto"/>
          <w:sz w:val="24"/>
          <w:highlight w:val="none"/>
        </w:rPr>
      </w:pPr>
    </w:p>
    <w:p>
      <w:pPr>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一、投标人（供应商）注册</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凡有意参加本项目的投标人（供应商），</w:t>
      </w:r>
      <w:r>
        <w:rPr>
          <w:rFonts w:hint="eastAsia" w:ascii="宋体" w:hAnsi="宋体" w:eastAsia="宋体" w:cs="宋体"/>
          <w:color w:val="auto"/>
          <w:szCs w:val="21"/>
          <w:highlight w:val="none"/>
          <w:lang w:eastAsia="zh-CN"/>
        </w:rPr>
        <w:t>请登录</w:t>
      </w:r>
      <w:r>
        <w:rPr>
          <w:rFonts w:hint="eastAsia" w:ascii="宋体" w:hAnsi="宋体" w:eastAsia="宋体" w:cs="宋体"/>
          <w:color w:val="auto"/>
          <w:szCs w:val="21"/>
          <w:highlight w:val="none"/>
        </w:rPr>
        <w:t>“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二、办理CA数字证书</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pPr>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三、招标（采购）文件获取方式</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投标人（供应商）凭CA数字证书</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*.XYZF格式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下载后需使用“信阳市投标文件制作工具软件”打开（该工具软件可在“全国公共资源交易平台（河南省·信阳市）（https://ggzyjy.xinyang.gov.cn/）”网站下载中心栏目内下载或在招标文件领取页面下载）。</w:t>
      </w:r>
    </w:p>
    <w:p>
      <w:pPr>
        <w:tabs>
          <w:tab w:val="left" w:pos="0"/>
        </w:tabs>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四、投标（响应）文件制作</w:t>
      </w:r>
    </w:p>
    <w:p>
      <w:pPr>
        <w:tabs>
          <w:tab w:val="left" w:pos="0"/>
        </w:tabs>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投标（响应）文件应使用信阳市公共资源交易系统投标文件制作专用工具软件编制，投标（响应）文件格式为“*.XYTF”。</w:t>
      </w:r>
    </w:p>
    <w:p>
      <w:pPr>
        <w:tabs>
          <w:tab w:val="left" w:pos="0"/>
        </w:tabs>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投标人（供应商）须在投标（响应）文件递交截止时间前制作并提交。</w:t>
      </w:r>
    </w:p>
    <w:p>
      <w:pPr>
        <w:pStyle w:val="2"/>
        <w:spacing w:line="312"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double"/>
        </w:rPr>
        <w:t>五、投标（响应）文件的签字和盖章要求</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1、投标文件（响应）格式中所有要求投标人（供应商）加盖公章的地方都须加盖投标人（供应商）的 CA 印章。</w:t>
      </w:r>
    </w:p>
    <w:p>
      <w:pPr>
        <w:adjustRightInd w:val="0"/>
        <w:snapToGrid w:val="0"/>
        <w:spacing w:line="312" w:lineRule="auto"/>
        <w:ind w:left="-126" w:leftChars="-60" w:firstLine="525" w:firstLineChars="25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2、投标文件（响应）格式中所有要求法定代表人或其委托代理人签字或盖章的地方</w:t>
      </w:r>
      <w:r>
        <w:rPr>
          <w:rFonts w:hint="eastAsia" w:ascii="宋体" w:hAnsi="宋体" w:eastAsia="宋体" w:cs="宋体"/>
          <w:b/>
          <w:bCs/>
          <w:color w:val="auto"/>
          <w:szCs w:val="21"/>
          <w:highlight w:val="none"/>
        </w:rPr>
        <w:t>（不含授权委托书委托人签字）</w:t>
      </w:r>
      <w:r>
        <w:rPr>
          <w:rFonts w:hint="eastAsia" w:ascii="宋体" w:hAnsi="宋体" w:eastAsia="宋体" w:cs="宋体"/>
          <w:color w:val="auto"/>
          <w:szCs w:val="21"/>
          <w:highlight w:val="none"/>
        </w:rPr>
        <w:t>都须加盖法定代表人</w:t>
      </w:r>
      <w:r>
        <w:rPr>
          <w:rFonts w:hint="eastAsia" w:ascii="宋体" w:hAnsi="宋体" w:eastAsia="宋体" w:cs="宋体"/>
          <w:b/>
          <w:bCs/>
          <w:color w:val="auto"/>
          <w:szCs w:val="21"/>
          <w:highlight w:val="none"/>
        </w:rPr>
        <w:t>CA 印章。</w:t>
      </w:r>
    </w:p>
    <w:p>
      <w:pPr>
        <w:pStyle w:val="2"/>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六、投标文件份数</w:t>
      </w:r>
    </w:p>
    <w:p>
      <w:pPr>
        <w:adjustRightInd w:val="0"/>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加密的电子投标（响应）文件壹份（*.XYTF 格式，在会员系统指定位置上传）。</w:t>
      </w:r>
    </w:p>
    <w:p>
      <w:pPr>
        <w:pStyle w:val="2"/>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七、投标（响应）文件的递交</w:t>
      </w:r>
    </w:p>
    <w:p>
      <w:pPr>
        <w:adjustRightInd w:val="0"/>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1、电子投标（响应）文件的递交</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2、除电子投标（响应）文件外，不再接受任何纸质文件、资料原件等。</w:t>
      </w:r>
    </w:p>
    <w:p>
      <w:pPr>
        <w:spacing w:line="312" w:lineRule="auto"/>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八、澄清与变更</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 xml:space="preserve">九、其他注意事项 </w:t>
      </w:r>
    </w:p>
    <w:p>
      <w:pPr>
        <w:widowControl/>
        <w:spacing w:line="312"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u w:val="double"/>
        </w:rPr>
        <w:t xml:space="preserve">1、供应商编制投标文件时，涉及的营业执照、资质、获奖、社保、纳税等固定内容可在交易中心主体信用信息中录入。 </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3、中标企业认为投标文件中资料涉及商业秘密的，可以要求代理机构对相关信息模糊处理后公示（2021版添加修订）。</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十、特别提醒</w:t>
      </w:r>
    </w:p>
    <w:p>
      <w:pPr>
        <w:widowControl/>
        <w:spacing w:line="312" w:lineRule="auto"/>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5、投标文件中的扫描件，在确保清晰的前提下，每张最好控制在 500kb 内，生成的加密电子投标文件最好不要超过50MB。</w:t>
      </w:r>
    </w:p>
    <w:p>
      <w:pPr>
        <w:pStyle w:val="5"/>
        <w:spacing w:line="312" w:lineRule="auto"/>
        <w:ind w:firstLine="211"/>
        <w:rPr>
          <w:rFonts w:hint="eastAsia" w:ascii="宋体" w:hAnsi="宋体" w:eastAsia="宋体" w:cs="宋体"/>
          <w:b/>
          <w:bCs/>
          <w:color w:val="auto"/>
          <w:szCs w:val="21"/>
          <w:highlight w:val="none"/>
          <w:u w:val="double"/>
        </w:rPr>
      </w:pPr>
    </w:p>
    <w:p>
      <w:pPr>
        <w:pStyle w:val="27"/>
        <w:spacing w:line="312" w:lineRule="auto"/>
        <w:ind w:firstLine="422"/>
        <w:rPr>
          <w:rFonts w:hint="eastAsia" w:ascii="宋体" w:hAnsi="宋体" w:eastAsia="宋体" w:cs="宋体"/>
          <w:b/>
          <w:bCs/>
          <w:color w:val="auto"/>
          <w:sz w:val="21"/>
          <w:szCs w:val="21"/>
          <w:highlight w:val="none"/>
          <w:u w:val="double"/>
        </w:rPr>
      </w:pPr>
    </w:p>
    <w:p>
      <w:pPr>
        <w:pStyle w:val="56"/>
        <w:tabs>
          <w:tab w:val="right" w:leader="dot" w:pos="9240"/>
        </w:tabs>
        <w:spacing w:line="312" w:lineRule="auto"/>
        <w:ind w:firstLine="422" w:firstLineChars="200"/>
        <w:jc w:val="both"/>
        <w:rPr>
          <w:rFonts w:hint="eastAsia" w:ascii="宋体" w:hAnsi="宋体" w:eastAsia="宋体" w:cs="宋体"/>
          <w:b/>
          <w:bCs/>
          <w:color w:val="auto"/>
          <w:sz w:val="21"/>
          <w:szCs w:val="21"/>
          <w:highlight w:val="none"/>
        </w:rPr>
      </w:pPr>
    </w:p>
    <w:p>
      <w:pPr>
        <w:pStyle w:val="56"/>
        <w:tabs>
          <w:tab w:val="right" w:leader="dot" w:pos="9240"/>
        </w:tabs>
        <w:spacing w:line="312"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第一章 招标公告</w:t>
      </w:r>
    </w:p>
    <w:p>
      <w:pPr>
        <w:pStyle w:val="25"/>
        <w:spacing w:before="0" w:beforeAutospacing="0" w:after="0" w:afterAutospacing="0" w:line="312"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pPr>
        <w:pStyle w:val="25"/>
        <w:spacing w:before="0" w:beforeAutospacing="0" w:after="0" w:afterAutospacing="0"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信阳市羊山新区民政局2024年居家和社区基本养老服务提升行动项目</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潜在投标人“全国公共资源交易平台（河南省·信阳市）（https://ggzyjy.xinyang.gov.cn/）”网站，凭办理的企业身份认证锁（CA数字证书）登录会员系统进行网上投标。获取招标文件，并于202</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月</w:t>
      </w:r>
      <w:r>
        <w:rPr>
          <w:rFonts w:hint="eastAsia" w:cs="宋体"/>
          <w:bCs/>
          <w:color w:val="auto"/>
          <w:sz w:val="21"/>
          <w:szCs w:val="21"/>
          <w:highlight w:val="none"/>
          <w:lang w:val="en-US" w:eastAsia="zh-CN"/>
        </w:rPr>
        <w:t>15</w:t>
      </w:r>
      <w:r>
        <w:rPr>
          <w:rFonts w:hint="eastAsia" w:ascii="宋体" w:hAnsi="宋体" w:eastAsia="宋体" w:cs="宋体"/>
          <w:bCs/>
          <w:color w:val="auto"/>
          <w:sz w:val="21"/>
          <w:szCs w:val="21"/>
          <w:highlight w:val="none"/>
        </w:rPr>
        <w:t>日9时30分（北京时间）前递交投标文件。</w:t>
      </w:r>
    </w:p>
    <w:p>
      <w:pPr>
        <w:pStyle w:val="25"/>
        <w:spacing w:before="0" w:beforeAutospacing="0" w:after="0" w:afterAutospacing="0" w:line="312"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pStyle w:val="25"/>
        <w:spacing w:before="0" w:beforeAutospacing="0" w:after="0" w:afterAutospacing="0"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1、项目编号：</w:t>
      </w:r>
      <w:bookmarkStart w:id="1" w:name="OLE_LINK6"/>
      <w:r>
        <w:rPr>
          <w:rFonts w:hint="eastAsia" w:cs="宋体"/>
          <w:bCs/>
          <w:color w:val="auto"/>
          <w:sz w:val="21"/>
          <w:szCs w:val="21"/>
          <w:highlight w:val="none"/>
          <w:lang w:val="en-US" w:eastAsia="zh-CN"/>
        </w:rPr>
        <w:t>羊</w:t>
      </w:r>
      <w:r>
        <w:rPr>
          <w:rFonts w:hint="eastAsia" w:ascii="宋体" w:hAnsi="宋体" w:eastAsia="宋体" w:cs="宋体"/>
          <w:bCs/>
          <w:color w:val="auto"/>
          <w:sz w:val="21"/>
          <w:szCs w:val="21"/>
          <w:highlight w:val="none"/>
        </w:rPr>
        <w:t>财公开招标-202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25</w:t>
      </w:r>
      <w:bookmarkEnd w:id="1"/>
      <w:r>
        <w:rPr>
          <w:rFonts w:hint="eastAsia" w:ascii="宋体" w:hAnsi="宋体" w:eastAsia="宋体" w:cs="宋体"/>
          <w:bCs/>
          <w:color w:val="auto"/>
          <w:sz w:val="21"/>
          <w:szCs w:val="21"/>
          <w:highlight w:val="none"/>
        </w:rPr>
        <w:t>。</w:t>
      </w:r>
    </w:p>
    <w:p>
      <w:pPr>
        <w:pStyle w:val="25"/>
        <w:spacing w:before="0" w:beforeAutospacing="0" w:after="0" w:afterAutospacing="0" w:line="312"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w:t>
      </w:r>
      <w:r>
        <w:rPr>
          <w:rFonts w:hint="eastAsia" w:ascii="宋体" w:hAnsi="宋体" w:eastAsia="宋体" w:cs="宋体"/>
          <w:bCs/>
          <w:color w:val="auto"/>
          <w:sz w:val="21"/>
          <w:szCs w:val="21"/>
          <w:highlight w:val="none"/>
          <w:lang w:eastAsia="zh-CN"/>
        </w:rPr>
        <w:t>信阳市羊山新区民政局2024年居家和社区基本养老服务提升行动项目</w:t>
      </w:r>
      <w:r>
        <w:rPr>
          <w:rFonts w:hint="eastAsia" w:ascii="宋体" w:hAnsi="宋体" w:eastAsia="宋体" w:cs="宋体"/>
          <w:bCs/>
          <w:color w:val="auto"/>
          <w:sz w:val="21"/>
          <w:szCs w:val="21"/>
          <w:highlight w:val="none"/>
        </w:rPr>
        <w:t>。</w:t>
      </w:r>
    </w:p>
    <w:p>
      <w:pPr>
        <w:pStyle w:val="25"/>
        <w:spacing w:before="0" w:beforeAutospacing="0" w:after="0" w:afterAutospacing="0" w:line="312"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3、采购方式：公开招标。</w:t>
      </w:r>
    </w:p>
    <w:p>
      <w:pPr>
        <w:pStyle w:val="25"/>
        <w:spacing w:before="0" w:beforeAutospacing="0" w:after="0" w:afterAutospacing="0" w:line="312" w:lineRule="auto"/>
        <w:ind w:firstLine="420" w:firstLineChars="20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shd w:val="clear" w:color="auto" w:fill="auto"/>
        </w:rPr>
        <w:t>、预算金额：</w:t>
      </w:r>
      <w:r>
        <w:rPr>
          <w:rFonts w:hint="eastAsia" w:ascii="宋体" w:hAnsi="宋体" w:eastAsia="宋体" w:cs="宋体"/>
          <w:color w:val="auto"/>
          <w:sz w:val="21"/>
          <w:szCs w:val="21"/>
          <w:highlight w:val="none"/>
          <w:shd w:val="clear" w:color="auto" w:fill="auto"/>
          <w:vertAlign w:val="baseline"/>
          <w:lang w:val="en-US" w:eastAsia="zh-CN"/>
        </w:rPr>
        <w:t>302</w:t>
      </w:r>
      <w:r>
        <w:rPr>
          <w:rFonts w:hint="eastAsia" w:cs="宋体"/>
          <w:color w:val="auto"/>
          <w:sz w:val="21"/>
          <w:szCs w:val="21"/>
          <w:highlight w:val="none"/>
          <w:shd w:val="clear" w:color="auto" w:fill="auto"/>
          <w:vertAlign w:val="baseline"/>
          <w:lang w:val="en-US" w:eastAsia="zh-CN"/>
        </w:rPr>
        <w:t>0</w:t>
      </w:r>
      <w:r>
        <w:rPr>
          <w:rFonts w:hint="eastAsia" w:ascii="宋体" w:hAnsi="宋体" w:eastAsia="宋体" w:cs="宋体"/>
          <w:color w:val="auto"/>
          <w:sz w:val="21"/>
          <w:szCs w:val="21"/>
          <w:highlight w:val="none"/>
          <w:shd w:val="clear" w:color="auto" w:fill="auto"/>
          <w:vertAlign w:val="baseline"/>
          <w:lang w:val="en-US" w:eastAsia="zh-CN"/>
        </w:rPr>
        <w:t>000.00</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bCs/>
          <w:color w:val="auto"/>
          <w:sz w:val="21"/>
          <w:szCs w:val="21"/>
          <w:highlight w:val="none"/>
          <w:shd w:val="clear" w:color="auto" w:fill="auto"/>
        </w:rPr>
        <w:t>。</w:t>
      </w:r>
    </w:p>
    <w:p>
      <w:pPr>
        <w:pStyle w:val="25"/>
        <w:spacing w:before="0" w:beforeAutospacing="0" w:after="0" w:afterAutospacing="0" w:line="312" w:lineRule="auto"/>
        <w:ind w:firstLine="840" w:firstLineChars="400"/>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最高限价：</w:t>
      </w:r>
      <w:r>
        <w:rPr>
          <w:rFonts w:hint="eastAsia" w:ascii="宋体" w:hAnsi="宋体" w:eastAsia="宋体" w:cs="宋体"/>
          <w:color w:val="auto"/>
          <w:sz w:val="21"/>
          <w:szCs w:val="21"/>
          <w:highlight w:val="none"/>
          <w:shd w:val="clear" w:color="auto" w:fill="auto"/>
          <w:vertAlign w:val="baseline"/>
          <w:lang w:val="en-US" w:eastAsia="zh-CN"/>
        </w:rPr>
        <w:t>302</w:t>
      </w:r>
      <w:r>
        <w:rPr>
          <w:rFonts w:hint="eastAsia" w:cs="宋体"/>
          <w:color w:val="auto"/>
          <w:sz w:val="21"/>
          <w:szCs w:val="21"/>
          <w:highlight w:val="none"/>
          <w:shd w:val="clear" w:color="auto" w:fill="auto"/>
          <w:vertAlign w:val="baseline"/>
          <w:lang w:val="en-US" w:eastAsia="zh-CN"/>
        </w:rPr>
        <w:t>0</w:t>
      </w:r>
      <w:r>
        <w:rPr>
          <w:rFonts w:hint="eastAsia" w:ascii="宋体" w:hAnsi="宋体" w:eastAsia="宋体" w:cs="宋体"/>
          <w:color w:val="auto"/>
          <w:sz w:val="21"/>
          <w:szCs w:val="21"/>
          <w:highlight w:val="none"/>
          <w:shd w:val="clear" w:color="auto" w:fill="auto"/>
          <w:vertAlign w:val="baseline"/>
          <w:lang w:val="en-US" w:eastAsia="zh-CN"/>
        </w:rPr>
        <w:t>000.00</w:t>
      </w:r>
      <w:r>
        <w:rPr>
          <w:rFonts w:hint="eastAsia" w:ascii="宋体" w:hAnsi="宋体" w:eastAsia="宋体" w:cs="宋体"/>
          <w:color w:val="auto"/>
          <w:sz w:val="21"/>
          <w:szCs w:val="21"/>
          <w:highlight w:val="none"/>
          <w:shd w:val="clear" w:color="auto" w:fill="auto"/>
        </w:rPr>
        <w:t>元</w:t>
      </w:r>
      <w:r>
        <w:rPr>
          <w:rFonts w:hint="eastAsia" w:ascii="宋体" w:hAnsi="宋体" w:eastAsia="宋体" w:cs="宋体"/>
          <w:bCs/>
          <w:color w:val="auto"/>
          <w:sz w:val="21"/>
          <w:szCs w:val="21"/>
          <w:highlight w:val="none"/>
          <w:shd w:val="clear" w:color="auto" w:fill="auto"/>
        </w:rPr>
        <w:t>。</w:t>
      </w:r>
    </w:p>
    <w:tbl>
      <w:tblPr>
        <w:tblStyle w:val="30"/>
        <w:tblW w:w="9233"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85"/>
        <w:gridCol w:w="3651"/>
        <w:gridCol w:w="161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8" w:type="dxa"/>
          </w:tcPr>
          <w:p>
            <w:pPr>
              <w:pStyle w:val="25"/>
              <w:spacing w:before="0" w:beforeAutospacing="0" w:after="0" w:afterAutospacing="0"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5" w:type="dxa"/>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3651" w:type="dxa"/>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615" w:type="dxa"/>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包预算（元）</w:t>
            </w:r>
          </w:p>
        </w:tc>
        <w:tc>
          <w:tcPr>
            <w:tcW w:w="1704" w:type="dxa"/>
          </w:tcPr>
          <w:p>
            <w:pPr>
              <w:pStyle w:val="25"/>
              <w:spacing w:before="0" w:beforeAutospacing="0" w:after="0" w:afterAutospacing="0" w:line="312"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78" w:type="dxa"/>
            <w:vAlign w:val="center"/>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dxa"/>
            <w:vAlign w:val="center"/>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羊</w:t>
            </w:r>
            <w:r>
              <w:rPr>
                <w:rFonts w:hint="eastAsia" w:ascii="宋体" w:hAnsi="宋体" w:eastAsia="宋体" w:cs="宋体"/>
                <w:bCs/>
                <w:color w:val="auto"/>
                <w:sz w:val="21"/>
                <w:szCs w:val="21"/>
                <w:highlight w:val="none"/>
              </w:rPr>
              <w:t>财公开招标-202</w:t>
            </w:r>
            <w:r>
              <w:rPr>
                <w:rFonts w:hint="eastAsia" w:ascii="宋体" w:hAnsi="宋体" w:eastAsia="宋体" w:cs="宋体"/>
                <w:bCs/>
                <w:color w:val="auto"/>
                <w:sz w:val="21"/>
                <w:szCs w:val="21"/>
                <w:highlight w:val="none"/>
                <w:lang w:val="en-US" w:eastAsia="zh-CN"/>
              </w:rPr>
              <w:t>4</w:t>
            </w:r>
            <w:r>
              <w:rPr>
                <w:rFonts w:hint="eastAsia" w:cs="宋体"/>
                <w:bCs/>
                <w:color w:val="auto"/>
                <w:sz w:val="21"/>
                <w:szCs w:val="21"/>
                <w:highlight w:val="none"/>
                <w:lang w:val="en-US" w:eastAsia="zh-CN"/>
              </w:rPr>
              <w:t>-25</w:t>
            </w:r>
            <w:r>
              <w:rPr>
                <w:rFonts w:hint="eastAsia" w:ascii="宋体" w:hAnsi="宋体" w:eastAsia="宋体" w:cs="宋体"/>
                <w:bCs/>
                <w:color w:val="auto"/>
                <w:sz w:val="21"/>
                <w:szCs w:val="21"/>
                <w:highlight w:val="none"/>
              </w:rPr>
              <w:t>-1</w:t>
            </w:r>
          </w:p>
        </w:tc>
        <w:tc>
          <w:tcPr>
            <w:tcW w:w="3651" w:type="dxa"/>
            <w:vAlign w:val="center"/>
          </w:tcPr>
          <w:p>
            <w:pPr>
              <w:pStyle w:val="25"/>
              <w:spacing w:before="0" w:beforeAutospacing="0" w:after="0" w:afterAutospacing="0" w:line="312"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信阳市羊山新区民政局2024年居家和社区基本养老服务提升行动项目</w:t>
            </w:r>
          </w:p>
        </w:tc>
        <w:tc>
          <w:tcPr>
            <w:tcW w:w="1615" w:type="dxa"/>
            <w:vAlign w:val="center"/>
          </w:tcPr>
          <w:p>
            <w:pPr>
              <w:spacing w:line="312" w:lineRule="auto"/>
              <w:jc w:val="center"/>
              <w:rPr>
                <w:rFonts w:hint="eastAsia" w:ascii="宋体" w:hAnsi="宋体" w:eastAsia="宋体" w:cs="宋体"/>
                <w:color w:val="auto"/>
                <w:sz w:val="21"/>
                <w:szCs w:val="21"/>
                <w:highlight w:val="none"/>
                <w:lang w:val="en-US" w:eastAsia="zh-CN"/>
              </w:rPr>
            </w:pPr>
            <w:bookmarkStart w:id="2" w:name="OLE_LINK9"/>
            <w:r>
              <w:rPr>
                <w:rFonts w:hint="eastAsia" w:ascii="宋体" w:hAnsi="宋体" w:eastAsia="宋体" w:cs="宋体"/>
                <w:color w:val="auto"/>
                <w:sz w:val="21"/>
                <w:szCs w:val="21"/>
                <w:highlight w:val="none"/>
                <w:vertAlign w:val="baseline"/>
                <w:lang w:val="en-US" w:eastAsia="zh-CN"/>
              </w:rPr>
              <w:t>302</w:t>
            </w: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000.00</w:t>
            </w:r>
            <w:bookmarkEnd w:id="2"/>
          </w:p>
        </w:tc>
        <w:tc>
          <w:tcPr>
            <w:tcW w:w="1704" w:type="dxa"/>
            <w:vAlign w:val="center"/>
          </w:tcPr>
          <w:p>
            <w:pPr>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302</w:t>
            </w: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000.00</w:t>
            </w:r>
          </w:p>
        </w:tc>
      </w:tr>
    </w:tbl>
    <w:p>
      <w:pPr>
        <w:pStyle w:val="25"/>
        <w:numPr>
          <w:ilvl w:val="0"/>
          <w:numId w:val="4"/>
        </w:numPr>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采购需求：</w:t>
      </w:r>
    </w:p>
    <w:p>
      <w:pPr>
        <w:spacing w:line="312" w:lineRule="auto"/>
        <w:ind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采购范围：</w:t>
      </w:r>
      <w:bookmarkStart w:id="3" w:name="OLE_LINK7"/>
      <w:r>
        <w:rPr>
          <w:rFonts w:hint="eastAsia" w:ascii="宋体" w:hAnsi="宋体" w:eastAsia="宋体" w:cs="宋体"/>
          <w:color w:val="auto"/>
          <w:szCs w:val="21"/>
          <w:highlight w:val="none"/>
          <w:lang w:val="en-US" w:eastAsia="zh-CN"/>
        </w:rPr>
        <w:t>为经济困难的失能、部分失能老年人建设家庭养老床位、提供居家养老上门服务，</w:t>
      </w:r>
      <w:r>
        <w:rPr>
          <w:rFonts w:hint="eastAsia" w:ascii="宋体" w:hAnsi="宋体" w:cs="宋体"/>
          <w:color w:val="auto"/>
          <w:sz w:val="21"/>
          <w:szCs w:val="21"/>
          <w:highlight w:val="none"/>
          <w:lang w:val="en-US" w:eastAsia="zh-CN"/>
        </w:rPr>
        <w:t>包括建设家庭养老床位不少于</w:t>
      </w:r>
      <w:r>
        <w:rPr>
          <w:rFonts w:hint="eastAsia" w:ascii="宋体" w:hAnsi="宋体" w:eastAsia="宋体" w:cs="宋体"/>
          <w:color w:val="auto"/>
          <w:sz w:val="21"/>
          <w:szCs w:val="21"/>
          <w:highlight w:val="none"/>
          <w:vertAlign w:val="baseline"/>
          <w:lang w:val="en-US" w:eastAsia="zh-CN"/>
        </w:rPr>
        <w:t>268</w:t>
      </w:r>
      <w:r>
        <w:rPr>
          <w:rFonts w:hint="eastAsia" w:ascii="宋体" w:hAnsi="宋体" w:cs="宋体"/>
          <w:color w:val="auto"/>
          <w:sz w:val="21"/>
          <w:szCs w:val="21"/>
          <w:highlight w:val="none"/>
          <w:lang w:val="en-US" w:eastAsia="zh-CN"/>
        </w:rPr>
        <w:t>张，提供居家养老上门服务不少于</w:t>
      </w:r>
      <w:r>
        <w:rPr>
          <w:rFonts w:hint="eastAsia" w:ascii="宋体" w:hAnsi="宋体" w:eastAsia="宋体" w:cs="宋体"/>
          <w:color w:val="auto"/>
          <w:sz w:val="21"/>
          <w:szCs w:val="21"/>
          <w:highlight w:val="none"/>
          <w:vertAlign w:val="baseline"/>
          <w:lang w:val="en-US" w:eastAsia="zh-CN"/>
        </w:rPr>
        <w:t>50</w:t>
      </w:r>
      <w:r>
        <w:rPr>
          <w:rFonts w:hint="eastAsia" w:ascii="宋体" w:hAnsi="宋体" w:cs="宋体"/>
          <w:color w:val="auto"/>
          <w:sz w:val="21"/>
          <w:szCs w:val="21"/>
          <w:highlight w:val="none"/>
          <w:vertAlign w:val="baseline"/>
          <w:lang w:val="en-US" w:eastAsia="zh-CN"/>
        </w:rPr>
        <w:t>3</w:t>
      </w:r>
      <w:r>
        <w:rPr>
          <w:rFonts w:hint="eastAsia" w:ascii="宋体" w:hAnsi="宋体" w:cs="宋体"/>
          <w:color w:val="auto"/>
          <w:sz w:val="21"/>
          <w:szCs w:val="21"/>
          <w:highlight w:val="none"/>
          <w:lang w:val="en-US" w:eastAsia="zh-CN"/>
        </w:rPr>
        <w:t>人次</w:t>
      </w:r>
      <w:bookmarkEnd w:id="3"/>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具体内容详见招标文件“第五章 采购</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pPr>
        <w:spacing w:line="312" w:lineRule="auto"/>
        <w:ind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5.2服务期限：</w:t>
      </w:r>
      <w:r>
        <w:rPr>
          <w:rFonts w:hint="eastAsia" w:ascii="宋体" w:hAnsi="宋体" w:cs="宋体"/>
          <w:color w:val="auto"/>
          <w:sz w:val="21"/>
          <w:szCs w:val="21"/>
          <w:highlight w:val="none"/>
          <w:lang w:val="en-US" w:eastAsia="zh-CN"/>
        </w:rPr>
        <w:t>服务期不少于6个月；</w:t>
      </w:r>
    </w:p>
    <w:p>
      <w:pPr>
        <w:spacing w:line="312" w:lineRule="auto"/>
        <w:ind w:firstLine="630" w:firstLineChars="30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5.3质量要求：合格</w:t>
      </w:r>
      <w:r>
        <w:rPr>
          <w:rFonts w:hint="eastAsia" w:ascii="宋体" w:hAnsi="宋体" w:cs="宋体"/>
          <w:color w:val="auto"/>
          <w:szCs w:val="21"/>
          <w:highlight w:val="none"/>
          <w:lang w:val="en-US" w:eastAsia="zh-CN"/>
        </w:rPr>
        <w:t>；</w:t>
      </w:r>
    </w:p>
    <w:p>
      <w:pPr>
        <w:spacing w:line="312" w:lineRule="auto"/>
        <w:ind w:firstLine="630" w:firstLineChars="3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w:t>
      </w:r>
      <w:r>
        <w:rPr>
          <w:rFonts w:hint="eastAsia" w:ascii="宋体" w:hAnsi="宋体" w:cs="宋体"/>
          <w:color w:val="auto"/>
          <w:sz w:val="21"/>
          <w:szCs w:val="21"/>
          <w:highlight w:val="none"/>
          <w:lang w:val="en-US" w:eastAsia="zh-CN"/>
        </w:rPr>
        <w:t>建设家庭养老床位的质保维护期</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年；</w:t>
      </w:r>
    </w:p>
    <w:p>
      <w:pPr>
        <w:spacing w:line="312" w:lineRule="auto"/>
        <w:ind w:firstLine="630" w:firstLineChars="3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资金来源及</w:t>
      </w:r>
      <w:r>
        <w:rPr>
          <w:rFonts w:hint="eastAsia" w:ascii="宋体" w:hAnsi="宋体" w:eastAsia="宋体" w:cs="宋体"/>
          <w:color w:val="auto"/>
          <w:sz w:val="21"/>
          <w:szCs w:val="21"/>
          <w:highlight w:val="none"/>
          <w:lang w:val="en-US" w:eastAsia="zh-CN"/>
        </w:rPr>
        <w:t>落实情况：中央专项彩票公益金，已落实。</w:t>
      </w:r>
    </w:p>
    <w:p>
      <w:pPr>
        <w:pStyle w:val="25"/>
        <w:spacing w:before="0" w:beforeAutospacing="0" w:after="0" w:afterAutospacing="0" w:line="312"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6、合同履行期限：</w:t>
      </w:r>
      <w:r>
        <w:rPr>
          <w:rFonts w:hint="eastAsia" w:ascii="宋体" w:hAnsi="宋体" w:cs="宋体"/>
          <w:color w:val="auto"/>
          <w:sz w:val="21"/>
          <w:szCs w:val="21"/>
          <w:highlight w:val="none"/>
          <w:lang w:val="en-US" w:eastAsia="zh-CN"/>
        </w:rPr>
        <w:t>同服务周期</w:t>
      </w:r>
      <w:r>
        <w:rPr>
          <w:rFonts w:hint="eastAsia" w:ascii="宋体" w:hAnsi="宋体" w:eastAsia="宋体" w:cs="宋体"/>
          <w:color w:val="auto"/>
          <w:sz w:val="21"/>
          <w:szCs w:val="21"/>
          <w:highlight w:val="none"/>
        </w:rPr>
        <w:t>。</w:t>
      </w:r>
    </w:p>
    <w:p>
      <w:pPr>
        <w:pStyle w:val="25"/>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7、本项目是否接受联合体投标：否。</w:t>
      </w:r>
    </w:p>
    <w:p>
      <w:pPr>
        <w:pStyle w:val="25"/>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8、是否接受进口产品：否。</w:t>
      </w:r>
    </w:p>
    <w:p>
      <w:pPr>
        <w:pStyle w:val="25"/>
        <w:spacing w:before="0" w:beforeAutospacing="0" w:after="0" w:afterAutospacing="0"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9、是否专门面向中小企业：</w:t>
      </w:r>
      <w:r>
        <w:rPr>
          <w:rFonts w:hint="eastAsia" w:cs="宋体"/>
          <w:color w:val="auto"/>
          <w:sz w:val="21"/>
          <w:szCs w:val="21"/>
          <w:highlight w:val="none"/>
          <w:lang w:val="en-US" w:eastAsia="zh-CN"/>
        </w:rPr>
        <w:t>是</w:t>
      </w:r>
      <w:r>
        <w:rPr>
          <w:rFonts w:hint="eastAsia" w:cs="宋体"/>
          <w:color w:val="auto"/>
          <w:sz w:val="21"/>
          <w:szCs w:val="21"/>
          <w:highlight w:val="none"/>
          <w:lang w:eastAsia="zh-CN"/>
        </w:rPr>
        <w:t>。</w:t>
      </w:r>
    </w:p>
    <w:p>
      <w:pPr>
        <w:pStyle w:val="25"/>
        <w:spacing w:before="0" w:beforeAutospacing="0" w:after="0" w:afterAutospacing="0" w:line="312"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pPr>
        <w:pStyle w:val="25"/>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Style w:val="25"/>
        <w:spacing w:before="0" w:beforeAutospacing="0" w:after="0" w:afterAutospacing="0" w:line="312" w:lineRule="auto"/>
        <w:ind w:firstLine="420" w:firstLineChars="200"/>
        <w:rPr>
          <w:rFonts w:ascii="SourceHanSansCN-Regular" w:hAnsi="SourceHanSansCN-Regular" w:eastAsia="SourceHanSansCN-Regular" w:cs="SourceHanSansCN-Regular"/>
          <w:i w:val="0"/>
          <w:iCs w:val="0"/>
          <w:caps w:val="0"/>
          <w:color w:val="auto"/>
          <w:spacing w:val="0"/>
          <w:sz w:val="21"/>
          <w:szCs w:val="21"/>
          <w:highlight w:val="none"/>
          <w:shd w:val="clear" w:fill="FFFFFF"/>
        </w:rPr>
      </w:pPr>
      <w:r>
        <w:rPr>
          <w:rFonts w:hint="eastAsia" w:ascii="宋体" w:hAnsi="宋体" w:eastAsia="宋体" w:cs="宋体"/>
          <w:color w:val="auto"/>
          <w:sz w:val="21"/>
          <w:szCs w:val="21"/>
          <w:highlight w:val="none"/>
        </w:rPr>
        <w:t>2、落实政府采购政策满足的资格要求：</w:t>
      </w:r>
      <w:r>
        <w:rPr>
          <w:rFonts w:ascii="SourceHanSansCN-Regular" w:hAnsi="SourceHanSansCN-Regular" w:eastAsia="SourceHanSansCN-Regular" w:cs="SourceHanSansCN-Regular"/>
          <w:i w:val="0"/>
          <w:iCs w:val="0"/>
          <w:caps w:val="0"/>
          <w:color w:val="auto"/>
          <w:spacing w:val="0"/>
          <w:sz w:val="21"/>
          <w:szCs w:val="21"/>
          <w:highlight w:val="none"/>
          <w:shd w:val="clear" w:fill="FFFFFF"/>
        </w:rPr>
        <w:t>本项目专门面向中小企业采购。参加本项目的中小企业须提供《中小企业声明函》 （格式详见招标文件内《中小企业声明函》样本），不符合要求的声明函或未提供的将视为不符合资格要求。</w:t>
      </w:r>
    </w:p>
    <w:p>
      <w:pPr>
        <w:pStyle w:val="25"/>
        <w:spacing w:before="0" w:beforeAutospacing="0" w:after="0" w:afterAutospacing="0" w:line="312"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w:t>
      </w:r>
    </w:p>
    <w:p>
      <w:pPr>
        <w:spacing w:line="312"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u w:val="single"/>
        </w:rPr>
        <w:t xml:space="preserve"> 适用 </w:t>
      </w:r>
      <w:r>
        <w:rPr>
          <w:rFonts w:hint="eastAsia" w:ascii="宋体" w:hAnsi="宋体" w:eastAsia="宋体" w:cs="宋体"/>
          <w:color w:val="auto"/>
          <w:kern w:val="0"/>
          <w:szCs w:val="21"/>
          <w:highlight w:val="none"/>
        </w:rPr>
        <w:t>信用承诺（详见下述要求）。</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（一）在本项目政府采购活动中，供应商在投标（响应）时，可对照资格要求进行自主核对，</w:t>
      </w:r>
      <w:r>
        <w:rPr>
          <w:rFonts w:hint="eastAsia" w:ascii="宋体" w:hAnsi="宋体" w:eastAsia="宋体" w:cs="宋体"/>
          <w:b/>
          <w:bCs/>
          <w:color w:val="auto"/>
          <w:szCs w:val="21"/>
          <w:highlight w:val="none"/>
        </w:rPr>
        <w:t>确定符合资格要求的，可按照规定提供相关承诺函（详见招标文件格式“资格审查资料”附件）</w:t>
      </w:r>
      <w:r>
        <w:rPr>
          <w:rFonts w:hint="eastAsia" w:ascii="宋体" w:hAnsi="宋体" w:eastAsia="宋体" w:cs="宋体"/>
          <w:color w:val="auto"/>
          <w:szCs w:val="21"/>
          <w:highlight w:val="none"/>
        </w:rPr>
        <w:t>，供应商只需在资格审查环节提供满足相应条件的书面承诺书，不再需要提供以下证明材料：</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①符合国家相关规定的财务状况报告（202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年度财务审计报告或其基本开户银行出具的资信证明）；</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②依法缴纳税收的证明材料（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开标前12个月内任意6个月纳税证明，新成立公司不足一年的，按已缴纳月份提供）；</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③依法缴纳社会保障资金的证明材料（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开标前12个月内任意6个月缴纳社会保障证明，新成立公司不足一年的，按已缴纳月份提供）；</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④具备履行政府采购合同所必需的设备和专业技术能力的证明材料（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履行合同的法定营业执照）；</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⑤参加政府采购活动前三年内在经营活动中没有重大违法记录的证明材料；</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⑥未被列入失信被执行人、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政府采购严重违法失信行为记录名单的证明材料</w:t>
      </w:r>
      <w:r>
        <w:rPr>
          <w:rFonts w:hint="eastAsia" w:ascii="宋体" w:hAnsi="宋体" w:eastAsia="宋体" w:cs="宋体"/>
          <w:color w:val="auto"/>
          <w:szCs w:val="21"/>
          <w:highlight w:val="none"/>
          <w:lang w:eastAsia="zh-CN"/>
        </w:rPr>
        <w:t>(投标人应通过“信用中国”网站（www.creditchina.gov.cn） 查询“失信被执行人”(跳转至中国执行信息公开网)、“重大税收违法失信主体”，中国政府采购网（www.ccgp.gov.cn）查询“政府采购严重违法失信行为记录名单”渠道查询自身信用记录，提供查询网页截图)。</w:t>
      </w:r>
    </w:p>
    <w:p>
      <w:pPr>
        <w:numPr>
          <w:ilvl w:val="0"/>
          <w:numId w:val="5"/>
        </w:num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单位负责人为同一人或者存在直接控股、管理关系的不同单位，不得同时参加同一合同项下的政府采购活动。</w:t>
      </w:r>
    </w:p>
    <w:p>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本项目不接受联合体投标。</w:t>
      </w:r>
    </w:p>
    <w:p>
      <w:pPr>
        <w:pStyle w:val="53"/>
        <w:spacing w:line="312" w:lineRule="auto"/>
        <w:ind w:left="0" w:leftChars="0" w:firstLine="422"/>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pPr>
        <w:pStyle w:val="25"/>
        <w:tabs>
          <w:tab w:val="left" w:pos="2400"/>
          <w:tab w:val="left" w:pos="3460"/>
          <w:tab w:val="left" w:pos="7689"/>
          <w:tab w:val="left" w:pos="7737"/>
        </w:tabs>
        <w:wordWrap w:val="0"/>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26</w:t>
      </w:r>
      <w:r>
        <w:rPr>
          <w:rFonts w:hint="eastAsia" w:ascii="宋体" w:hAnsi="宋体" w:eastAsia="宋体" w:cs="宋体"/>
          <w:color w:val="auto"/>
          <w:sz w:val="21"/>
          <w:szCs w:val="21"/>
          <w:highlight w:val="none"/>
        </w:rPr>
        <w:t>日00时00分至202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日23时59分（北京时间）；</w:t>
      </w:r>
    </w:p>
    <w:p>
      <w:pPr>
        <w:pStyle w:val="25"/>
        <w:tabs>
          <w:tab w:val="left" w:pos="2400"/>
          <w:tab w:val="left" w:pos="3460"/>
          <w:tab w:val="left" w:pos="7689"/>
          <w:tab w:val="left" w:pos="7737"/>
        </w:tabs>
        <w:wordWrap w:val="0"/>
        <w:spacing w:before="0" w:beforeAutospacing="0" w:after="0" w:afterAutospacing="0"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地点：登录“全国公共资源交易平台（河南省·信阳市）（https://ggzyjy.xinyang.gov.cn/）”网站，凭办理的企业身份认证锁（CA数字证书）登录会员系统获取招标文件</w:t>
      </w:r>
      <w:r>
        <w:rPr>
          <w:rFonts w:hint="eastAsia" w:cs="宋体"/>
          <w:color w:val="auto"/>
          <w:sz w:val="21"/>
          <w:szCs w:val="21"/>
          <w:highlight w:val="none"/>
          <w:lang w:eastAsia="zh-CN"/>
        </w:rPr>
        <w:t>。</w:t>
      </w:r>
    </w:p>
    <w:p>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投标企业登录“全国公共资源交易平台（河南省·信阳市）（https://ggzyjy.xinyang.gov.cn）”网站进行交易主体注册。自行选择CA数字证书服务商，线上、线下办理CA数字证书。供应商凭CA数字证书登录会员系统后下载招标文件(*.XYZF格式)，下载后需使用“信阳市投标文件制作工具软件”打开。</w:t>
      </w:r>
    </w:p>
    <w:p>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4、售价：招标文件售价0元。</w:t>
      </w:r>
    </w:p>
    <w:p>
      <w:pPr>
        <w:spacing w:line="312"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四、投标文件提交：</w:t>
      </w:r>
    </w:p>
    <w:p>
      <w:pPr>
        <w:pStyle w:val="25"/>
        <w:tabs>
          <w:tab w:val="left" w:pos="2400"/>
          <w:tab w:val="left" w:pos="3460"/>
          <w:tab w:val="left" w:pos="7689"/>
          <w:tab w:val="left" w:pos="7737"/>
        </w:tabs>
        <w:wordWrap w:val="0"/>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日9时30分（北京时间）；</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地点：</w:t>
      </w:r>
      <w:r>
        <w:rPr>
          <w:rFonts w:hint="eastAsia" w:ascii="宋体" w:hAnsi="宋体" w:eastAsia="宋体" w:cs="宋体"/>
          <w:color w:val="auto"/>
          <w:kern w:val="0"/>
          <w:szCs w:val="21"/>
          <w:highlight w:val="none"/>
        </w:rPr>
        <w:t>投标人必须在投标截止时间前通过信阳市公共资源交易中心电子招投标系统上传加密的电子投标文件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*.XYTF格式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。注：加密电子投标文件逾期上传采购人不予受理。</w:t>
      </w:r>
    </w:p>
    <w:p>
      <w:pPr>
        <w:spacing w:line="312"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五、投标文件的开启：</w:t>
      </w:r>
    </w:p>
    <w:p>
      <w:pPr>
        <w:pStyle w:val="25"/>
        <w:tabs>
          <w:tab w:val="left" w:pos="2400"/>
          <w:tab w:val="left" w:pos="3460"/>
          <w:tab w:val="left" w:pos="7689"/>
          <w:tab w:val="left" w:pos="7737"/>
        </w:tabs>
        <w:wordWrap w:val="0"/>
        <w:spacing w:before="0" w:beforeAutospacing="0" w:after="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bookmarkStart w:id="4" w:name="OLE_LINK8"/>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日9时30分</w:t>
      </w:r>
      <w:bookmarkEnd w:id="4"/>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12"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2、地点：信阳市公共资源交易中心第</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开标厅</w:t>
      </w:r>
      <w:r>
        <w:rPr>
          <w:rFonts w:hint="eastAsia" w:ascii="宋体" w:hAnsi="宋体" w:eastAsia="宋体" w:cs="宋体"/>
          <w:color w:val="auto"/>
          <w:kern w:val="0"/>
          <w:szCs w:val="21"/>
          <w:highlight w:val="none"/>
          <w:lang w:eastAsia="zh-CN"/>
        </w:rPr>
        <w:t>。</w:t>
      </w:r>
    </w:p>
    <w:p>
      <w:pPr>
        <w:spacing w:line="312"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六、发布公告的媒介及招标公告期限：</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本次招标公告在</w:t>
      </w:r>
      <w:bookmarkStart w:id="5" w:name="OLE_LINK10"/>
      <w:r>
        <w:rPr>
          <w:rFonts w:hint="eastAsia" w:ascii="宋体" w:hAnsi="宋体" w:eastAsia="宋体" w:cs="宋体"/>
          <w:color w:val="auto"/>
          <w:kern w:val="0"/>
          <w:szCs w:val="21"/>
          <w:highlight w:val="none"/>
        </w:rPr>
        <w:t>《河南省政府采购网》《中国招标投标公共服务平台》</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《全国公共资源交易平台（河南省·信阳市）》</w:t>
      </w:r>
      <w:bookmarkEnd w:id="5"/>
      <w:r>
        <w:rPr>
          <w:rFonts w:hint="eastAsia" w:ascii="宋体" w:hAnsi="宋体" w:eastAsia="宋体" w:cs="宋体"/>
          <w:color w:val="auto"/>
          <w:kern w:val="0"/>
          <w:szCs w:val="21"/>
          <w:highlight w:val="none"/>
        </w:rPr>
        <w:t>网上发布，招标公告期限为五个工作日。</w:t>
      </w:r>
    </w:p>
    <w:p>
      <w:pPr>
        <w:pStyle w:val="2"/>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七、其他补充事宜：</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1、本项目采用“不见面开标”交易方式，不见面开标大厅网址为 https://ggzyjy.xinyang.gov.cn/BidOpening，投标人无需寄送和递交非加密的电子投标文件，无需到现场参加开标会议，无需到达现场提交原件资料。</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2、投标人应当在投标截止时间前，使用投标人CA数字证书登录不见面开标大厅，在线签到并准时参加开标活动，并在规定时间内完成投标文件解密、答疑澄清等。</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3、逾期解密或者没有准时在线参加开标活动导致的一切后果投标人自行承担。</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4、不见面开标服务的具体事宜，请查阅信阳市公共资源交易中心网站首页—下载中心—信阳市不见面开标大厅系统操作手册。</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5.监督部门：</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监督单位：信阳市羊山新区财政金融局 </w:t>
      </w:r>
    </w:p>
    <w:p>
      <w:pPr>
        <w:pStyle w:val="58"/>
        <w:spacing w:line="312" w:lineRule="auto"/>
        <w:ind w:firstLine="48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联系电话：0376-6651556</w:t>
      </w:r>
    </w:p>
    <w:p>
      <w:pPr>
        <w:pStyle w:val="58"/>
        <w:numPr>
          <w:ilvl w:val="0"/>
          <w:numId w:val="6"/>
        </w:numPr>
        <w:spacing w:line="312" w:lineRule="auto"/>
        <w:ind w:firstLine="482"/>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采购代理服务费：</w:t>
      </w:r>
    </w:p>
    <w:p>
      <w:pPr>
        <w:pStyle w:val="58"/>
        <w:numPr>
          <w:ilvl w:val="0"/>
          <w:numId w:val="0"/>
        </w:numPr>
        <w:spacing w:line="312"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本项目采购代理服务费金额为：</w:t>
      </w:r>
      <w:bookmarkStart w:id="6" w:name="OLE_LINK2"/>
      <w:r>
        <w:rPr>
          <w:rFonts w:hint="eastAsia" w:ascii="宋体" w:hAnsi="宋体" w:cs="宋体"/>
          <w:color w:val="auto"/>
          <w:kern w:val="0"/>
          <w:szCs w:val="21"/>
          <w:highlight w:val="none"/>
          <w:lang w:val="en-US" w:eastAsia="zh-CN"/>
        </w:rPr>
        <w:t>41240.00</w:t>
      </w:r>
      <w:r>
        <w:rPr>
          <w:rFonts w:hint="eastAsia" w:ascii="宋体" w:hAnsi="宋体" w:eastAsia="宋体" w:cs="宋体"/>
          <w:color w:val="auto"/>
          <w:kern w:val="0"/>
          <w:szCs w:val="21"/>
          <w:highlight w:val="none"/>
          <w:lang w:val="en-US" w:eastAsia="zh-CN"/>
        </w:rPr>
        <w:t>元</w:t>
      </w:r>
      <w:bookmarkEnd w:id="6"/>
      <w:r>
        <w:rPr>
          <w:rFonts w:hint="eastAsia" w:ascii="宋体" w:hAnsi="宋体" w:cs="宋体"/>
          <w:color w:val="auto"/>
          <w:kern w:val="0"/>
          <w:szCs w:val="21"/>
          <w:highlight w:val="none"/>
          <w:lang w:val="en-US" w:eastAsia="zh-CN"/>
        </w:rPr>
        <w:t>。</w:t>
      </w:r>
    </w:p>
    <w:p>
      <w:pPr>
        <w:pStyle w:val="58"/>
        <w:spacing w:line="312" w:lineRule="auto"/>
        <w:ind w:firstLine="48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特别提示：投标人在线签到时，应如实</w:t>
      </w:r>
      <w:r>
        <w:rPr>
          <w:rFonts w:hint="eastAsia" w:ascii="宋体" w:hAnsi="宋体" w:eastAsia="宋体" w:cs="宋体"/>
          <w:b/>
          <w:bCs/>
          <w:color w:val="auto"/>
          <w:kern w:val="0"/>
          <w:szCs w:val="21"/>
          <w:highlight w:val="none"/>
          <w:lang w:eastAsia="zh-CN"/>
        </w:rPr>
        <w:t>准确地填写</w:t>
      </w:r>
      <w:r>
        <w:rPr>
          <w:rFonts w:hint="eastAsia" w:ascii="宋体" w:hAnsi="宋体" w:eastAsia="宋体" w:cs="宋体"/>
          <w:b/>
          <w:bCs/>
          <w:color w:val="auto"/>
          <w:kern w:val="0"/>
          <w:szCs w:val="21"/>
          <w:highlight w:val="none"/>
        </w:rPr>
        <w:t>授权委托人的联系电话，开标当天请务必保证电话保持畅通。</w:t>
      </w:r>
    </w:p>
    <w:p>
      <w:pPr>
        <w:spacing w:line="312"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八、凡对本次招标提出询问，请按照以下方式联系：</w:t>
      </w:r>
    </w:p>
    <w:p>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1.采购人</w:t>
      </w:r>
    </w:p>
    <w:p>
      <w:pPr>
        <w:widowControl/>
        <w:spacing w:line="312" w:lineRule="auto"/>
        <w:ind w:firstLine="688" w:firstLineChars="3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bookmarkStart w:id="7" w:name="OLE_LINK5"/>
      <w:r>
        <w:rPr>
          <w:rFonts w:hint="eastAsia" w:ascii="宋体" w:hAnsi="宋体" w:eastAsia="宋体" w:cs="宋体"/>
          <w:color w:val="auto"/>
          <w:kern w:val="0"/>
          <w:szCs w:val="21"/>
          <w:highlight w:val="none"/>
          <w:lang w:eastAsia="zh-CN"/>
        </w:rPr>
        <w:t>信阳市羊山新区民政局</w:t>
      </w:r>
      <w:bookmarkEnd w:id="7"/>
    </w:p>
    <w:p>
      <w:pPr>
        <w:widowControl/>
        <w:spacing w:line="312" w:lineRule="auto"/>
        <w:ind w:firstLine="688" w:firstLineChars="328"/>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  址：河南省信阳市羊山新区二十四大街招商大厦</w:t>
      </w:r>
      <w:r>
        <w:rPr>
          <w:rFonts w:hint="eastAsia" w:ascii="宋体" w:hAnsi="宋体" w:cs="宋体"/>
          <w:color w:val="auto"/>
          <w:kern w:val="0"/>
          <w:szCs w:val="21"/>
          <w:highlight w:val="none"/>
          <w:lang w:val="en-US" w:eastAsia="zh-CN"/>
        </w:rPr>
        <w:t>10楼1005室</w:t>
      </w:r>
    </w:p>
    <w:p>
      <w:pPr>
        <w:widowControl/>
        <w:spacing w:line="312" w:lineRule="auto"/>
        <w:ind w:firstLine="688" w:firstLineChars="328"/>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徐涛</w:t>
      </w:r>
    </w:p>
    <w:p>
      <w:pPr>
        <w:widowControl/>
        <w:spacing w:line="312" w:lineRule="auto"/>
        <w:ind w:firstLine="688" w:firstLineChars="328"/>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15737642929</w:t>
      </w:r>
    </w:p>
    <w:p>
      <w:pPr>
        <w:widowControl/>
        <w:spacing w:line="312"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w:t>
      </w:r>
    </w:p>
    <w:p>
      <w:pPr>
        <w:widowControl/>
        <w:spacing w:line="312" w:lineRule="auto"/>
        <w:ind w:firstLine="688" w:firstLineChars="3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采购代理机构：河南明祥工程咨询有限公司</w:t>
      </w:r>
    </w:p>
    <w:p>
      <w:pPr>
        <w:widowControl/>
        <w:spacing w:line="312" w:lineRule="auto"/>
        <w:ind w:firstLine="688" w:firstLineChars="3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地址：河南省信阳市羊山新区前进街道办事处建业壹号城邦1幢16层1603室</w:t>
      </w:r>
    </w:p>
    <w:p>
      <w:pPr>
        <w:widowControl/>
        <w:spacing w:line="312" w:lineRule="auto"/>
        <w:ind w:firstLine="688" w:firstLineChars="328"/>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楚潇杰</w:t>
      </w:r>
    </w:p>
    <w:p>
      <w:pPr>
        <w:widowControl/>
        <w:spacing w:line="312" w:lineRule="auto"/>
        <w:ind w:firstLine="688" w:firstLineChars="3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联系电话：18737693532</w:t>
      </w:r>
    </w:p>
    <w:p>
      <w:pPr>
        <w:widowControl/>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3.项目联系人</w:t>
      </w:r>
    </w:p>
    <w:p>
      <w:pPr>
        <w:widowControl/>
        <w:spacing w:line="312" w:lineRule="auto"/>
        <w:ind w:firstLine="688" w:firstLineChars="328"/>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楚潇杰</w:t>
      </w:r>
    </w:p>
    <w:p>
      <w:pPr>
        <w:widowControl/>
        <w:spacing w:line="312" w:lineRule="auto"/>
        <w:ind w:firstLine="688" w:firstLineChars="3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联系电话：18737693532</w:t>
      </w:r>
    </w:p>
    <w:p>
      <w:pPr>
        <w:pStyle w:val="58"/>
        <w:spacing w:line="312" w:lineRule="auto"/>
        <w:ind w:firstLine="482"/>
        <w:jc w:val="center"/>
        <w:outlineLvl w:val="0"/>
        <w:rPr>
          <w:rFonts w:hint="eastAsia" w:ascii="宋体" w:hAnsi="宋体" w:eastAsia="宋体" w:cs="宋体"/>
          <w:b/>
          <w:color w:val="auto"/>
          <w:sz w:val="32"/>
          <w:szCs w:val="32"/>
          <w:highlight w:val="none"/>
        </w:rPr>
      </w:pPr>
      <w:r>
        <w:rPr>
          <w:rFonts w:hint="eastAsia" w:ascii="宋体" w:hAnsi="宋体" w:eastAsia="宋体" w:cs="宋体"/>
          <w:bCs/>
          <w:color w:val="auto"/>
          <w:kern w:val="0"/>
          <w:szCs w:val="21"/>
          <w:highlight w:val="none"/>
          <w:shd w:val="clear" w:color="auto" w:fill="FFFFFF"/>
        </w:rPr>
        <w:br w:type="page"/>
      </w:r>
      <w:r>
        <w:rPr>
          <w:rFonts w:hint="eastAsia" w:ascii="宋体" w:hAnsi="宋体" w:eastAsia="宋体" w:cs="宋体"/>
          <w:b/>
          <w:color w:val="auto"/>
          <w:kern w:val="0"/>
          <w:sz w:val="32"/>
          <w:szCs w:val="32"/>
          <w:highlight w:val="none"/>
          <w:lang w:val="zh-CN"/>
        </w:rPr>
        <w:t>第二章</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sz w:val="32"/>
          <w:szCs w:val="32"/>
          <w:highlight w:val="none"/>
        </w:rPr>
        <w:t>投标人须知</w:t>
      </w:r>
    </w:p>
    <w:p>
      <w:pPr>
        <w:pStyle w:val="58"/>
        <w:spacing w:line="312" w:lineRule="auto"/>
        <w:ind w:firstLine="482"/>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投标人须知前附表</w:t>
      </w:r>
    </w:p>
    <w:tbl>
      <w:tblPr>
        <w:tblStyle w:val="29"/>
        <w:tblW w:w="96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2"/>
        <w:gridCol w:w="1981"/>
        <w:gridCol w:w="6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  款  名  称</w:t>
            </w:r>
          </w:p>
        </w:tc>
        <w:tc>
          <w:tcPr>
            <w:tcW w:w="6797"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797" w:type="dxa"/>
            <w:vAlign w:val="center"/>
          </w:tcPr>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信阳市羊山新区民政局</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址：河南省信阳市羊山新区二十四大街招商大厦</w:t>
            </w:r>
            <w:r>
              <w:rPr>
                <w:rFonts w:hint="eastAsia" w:ascii="宋体" w:hAnsi="宋体" w:eastAsia="宋体" w:cs="宋体"/>
                <w:color w:val="auto"/>
                <w:kern w:val="0"/>
                <w:szCs w:val="21"/>
                <w:highlight w:val="none"/>
                <w:lang w:val="en-US" w:eastAsia="zh-CN"/>
              </w:rPr>
              <w:t>10楼1005室</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徐涛</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val="en-US" w:eastAsia="zh-CN"/>
              </w:rPr>
              <w:t>15737642929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797" w:type="dxa"/>
            <w:vAlign w:val="center"/>
          </w:tcPr>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采购代理机构：河南明祥工程咨询有限公司</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地址：河南省信阳市羊山新区前进街道办事处建业壹号城邦1幢16层1603室</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楚潇杰</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联系电话：18737693532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信阳市羊山新区民政局2024年居家和社区基本养老服务提升行动项目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项目地点</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信阳市</w:t>
            </w:r>
            <w:r>
              <w:rPr>
                <w:rFonts w:hint="eastAsia" w:ascii="宋体" w:hAnsi="宋体" w:eastAsia="宋体" w:cs="宋体"/>
                <w:color w:val="auto"/>
                <w:kern w:val="0"/>
                <w:szCs w:val="21"/>
                <w:highlight w:val="none"/>
                <w:lang w:val="en-US" w:eastAsia="zh-CN"/>
              </w:rPr>
              <w:t>羊山新区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中央专项彩票公益金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1.2.3</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采购范围</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为经济困难的失能、部分失能老年人建设家庭养老床位、提供居家养老上门服务，</w:t>
            </w:r>
            <w:r>
              <w:rPr>
                <w:rFonts w:hint="eastAsia" w:ascii="宋体" w:hAnsi="宋体" w:cs="宋体"/>
                <w:color w:val="auto"/>
                <w:sz w:val="21"/>
                <w:szCs w:val="21"/>
                <w:highlight w:val="none"/>
                <w:lang w:val="en-US" w:eastAsia="zh-CN"/>
              </w:rPr>
              <w:t>包括建设家庭养老床位不少于</w:t>
            </w:r>
            <w:r>
              <w:rPr>
                <w:rFonts w:hint="eastAsia" w:ascii="宋体" w:hAnsi="宋体" w:eastAsia="宋体" w:cs="宋体"/>
                <w:color w:val="auto"/>
                <w:sz w:val="21"/>
                <w:szCs w:val="21"/>
                <w:highlight w:val="none"/>
                <w:vertAlign w:val="baseline"/>
                <w:lang w:val="en-US" w:eastAsia="zh-CN"/>
              </w:rPr>
              <w:t>268</w:t>
            </w:r>
            <w:r>
              <w:rPr>
                <w:rFonts w:hint="eastAsia" w:ascii="宋体" w:hAnsi="宋体" w:cs="宋体"/>
                <w:color w:val="auto"/>
                <w:sz w:val="21"/>
                <w:szCs w:val="21"/>
                <w:highlight w:val="none"/>
                <w:lang w:val="en-US" w:eastAsia="zh-CN"/>
              </w:rPr>
              <w:t>张，提供居家养老上门服务不少于</w:t>
            </w:r>
            <w:r>
              <w:rPr>
                <w:rFonts w:hint="eastAsia" w:ascii="宋体" w:hAnsi="宋体" w:eastAsia="宋体" w:cs="宋体"/>
                <w:color w:val="auto"/>
                <w:sz w:val="21"/>
                <w:szCs w:val="21"/>
                <w:highlight w:val="none"/>
                <w:vertAlign w:val="baseline"/>
                <w:lang w:val="en-US" w:eastAsia="zh-CN"/>
              </w:rPr>
              <w:t>50</w:t>
            </w:r>
            <w:r>
              <w:rPr>
                <w:rFonts w:hint="eastAsia" w:ascii="宋体" w:hAnsi="宋体" w:cs="宋体"/>
                <w:color w:val="auto"/>
                <w:sz w:val="21"/>
                <w:szCs w:val="21"/>
                <w:highlight w:val="none"/>
                <w:vertAlign w:val="baseline"/>
                <w:lang w:val="en-US" w:eastAsia="zh-CN"/>
              </w:rPr>
              <w:t>3</w:t>
            </w:r>
            <w:r>
              <w:rPr>
                <w:rFonts w:hint="eastAsia" w:ascii="宋体" w:hAnsi="宋体" w:cs="宋体"/>
                <w:color w:val="auto"/>
                <w:sz w:val="21"/>
                <w:szCs w:val="21"/>
                <w:highlight w:val="none"/>
                <w:lang w:val="en-US" w:eastAsia="zh-CN"/>
              </w:rPr>
              <w:t>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服务期不少于6个月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1.3.4</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质量要求</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1.3.5</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建设家庭养老床位的质保维护期</w:t>
            </w:r>
          </w:p>
        </w:tc>
        <w:tc>
          <w:tcPr>
            <w:tcW w:w="6797" w:type="dxa"/>
            <w:vAlign w:val="center"/>
          </w:tcPr>
          <w:p>
            <w:pPr>
              <w:keepNext w:val="0"/>
              <w:keepLines w:val="0"/>
              <w:pageBreakBefore w:val="0"/>
              <w:widowControl w:val="0"/>
              <w:kinsoku/>
              <w:wordWrap/>
              <w:overflowPunct/>
              <w:bidi w:val="0"/>
              <w:snapToGrid/>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pStyle w:val="5"/>
              <w:keepNext w:val="0"/>
              <w:keepLines w:val="0"/>
              <w:pageBreakBefore w:val="0"/>
              <w:widowControl w:val="0"/>
              <w:kinsoku/>
              <w:wordWrap/>
              <w:overflowPunct/>
              <w:bidi w:val="0"/>
              <w:snapToGrid/>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797" w:type="dxa"/>
            <w:vAlign w:val="center"/>
          </w:tcPr>
          <w:p>
            <w:pPr>
              <w:pStyle w:val="13"/>
              <w:keepNext w:val="0"/>
              <w:keepLines w:val="0"/>
              <w:pageBreakBefore w:val="0"/>
              <w:widowControl w:val="0"/>
              <w:kinsoku/>
              <w:wordWrap/>
              <w:overflowPunct/>
              <w:topLinePunct/>
              <w:bidi w:val="0"/>
              <w:adjustRightInd w:val="0"/>
              <w:snapToGrid/>
              <w:spacing w:after="0" w:line="400" w:lineRule="exact"/>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1、符合《中华人民共和国政府采购法》第二十二条规定（需提供下列证明材料）：</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rPr>
              <w:t>①符合国家相关规定的财务状况报告（202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年度财务审计报告或其基本开户银行出具的资信证明）；</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②依法缴纳税收的证明材料（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开标前12个月内任意6个月纳税证明，新成立公司不足一年的，按已缴纳月份提供）；</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③依法缴纳社会保障资金的证明材料（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开标前12个月内任意6个月缴纳社会保障证明，新成立公司不足一年的，按已缴纳月份提供）；</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④具备履行政府采购合同所必需的设备和专业技术能力的证明材料（</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履行合同的法定营业执照）；</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⑤参加政府采购活动前三年内在经营活动中没有重大违法记录的证明材料；</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⑥未被列入失信被执行人、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政府采购严重违法失信行为记录名单的证明材料(投标人应通过“信用中国”网站（www.creditchina.gov.cn） 查询“失信被执行人”(跳转至中国执行信息公开网)、“重大税收违法失信主体”，中国政府采购网（www.ccgp.gov.cn）查询“政府采购严重违法失信行为记录名单”渠道查询自身信用记录，提供查询网页截图)。</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注：在本项目政府采购活动中，</w:t>
            </w:r>
            <w:r>
              <w:rPr>
                <w:rFonts w:hint="eastAsia" w:ascii="宋体" w:hAnsi="宋体" w:eastAsia="宋体" w:cs="宋体"/>
                <w:color w:val="auto"/>
                <w:szCs w:val="21"/>
                <w:highlight w:val="none"/>
              </w:rPr>
              <w:t>供应商在投标（响应）时，可对照资格要求进行自主核对，</w:t>
            </w:r>
            <w:r>
              <w:rPr>
                <w:rFonts w:hint="eastAsia" w:ascii="宋体" w:hAnsi="宋体" w:eastAsia="宋体" w:cs="宋体"/>
                <w:b/>
                <w:bCs/>
                <w:color w:val="auto"/>
                <w:szCs w:val="21"/>
                <w:highlight w:val="none"/>
              </w:rPr>
              <w:t>确定符合资格要求的，可按照规定提供相关承诺函（详见招标文件格式“ 资格审查资料”附件），</w:t>
            </w:r>
            <w:r>
              <w:rPr>
                <w:rFonts w:hint="eastAsia" w:ascii="宋体" w:hAnsi="宋体" w:eastAsia="宋体" w:cs="宋体"/>
                <w:color w:val="auto"/>
                <w:kern w:val="0"/>
                <w:szCs w:val="21"/>
                <w:highlight w:val="none"/>
                <w:lang w:bidi="ar"/>
              </w:rPr>
              <w:t>供应商只需在资格审查环节提供满足相应条件的书面承诺书，投标文件中不再需要提供以上证明材料</w:t>
            </w:r>
            <w:r>
              <w:rPr>
                <w:rFonts w:hint="eastAsia" w:ascii="宋体" w:hAnsi="宋体" w:cs="宋体"/>
                <w:color w:val="auto"/>
                <w:kern w:val="0"/>
                <w:szCs w:val="21"/>
                <w:highlight w:val="none"/>
                <w:lang w:eastAsia="zh-CN" w:bidi="ar"/>
              </w:rPr>
              <w:t>；</w:t>
            </w:r>
          </w:p>
          <w:p>
            <w:pPr>
              <w:keepNext w:val="0"/>
              <w:keepLines w:val="0"/>
              <w:pageBreakBefore w:val="0"/>
              <w:widowControl w:val="0"/>
              <w:numPr>
                <w:ilvl w:val="0"/>
                <w:numId w:val="7"/>
              </w:numPr>
              <w:kinsoku/>
              <w:wordWrap/>
              <w:overflowPunct/>
              <w:bidi w:val="0"/>
              <w:snapToGri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落实政府采购政策满足的资格要求：</w:t>
            </w:r>
            <w:r>
              <w:rPr>
                <w:rFonts w:ascii="SourceHanSansCN-Regular" w:hAnsi="SourceHanSansCN-Regular" w:eastAsia="SourceHanSansCN-Regular" w:cs="SourceHanSansCN-Regular"/>
                <w:i w:val="0"/>
                <w:iCs w:val="0"/>
                <w:caps w:val="0"/>
                <w:color w:val="auto"/>
                <w:spacing w:val="0"/>
                <w:sz w:val="21"/>
                <w:szCs w:val="21"/>
                <w:highlight w:val="none"/>
                <w:shd w:val="clear" w:fill="FFFFFF"/>
              </w:rPr>
              <w:t>本项目专门面向中小企业采购。参加本项目的中小企业须提供《中小企业声明函》 （格式详见招标文件内《中小企业声明函》样本），不符合要求的声明函或未提供的将视为不符合资格要求</w:t>
            </w:r>
            <w:r>
              <w:rPr>
                <w:rFonts w:hint="eastAsia" w:ascii="SourceHanSansCN-Regular" w:hAnsi="SourceHanSansCN-Regular" w:eastAsia="宋体" w:cs="SourceHanSansCN-Regular"/>
                <w:i w:val="0"/>
                <w:iCs w:val="0"/>
                <w:caps w:val="0"/>
                <w:color w:val="auto"/>
                <w:spacing w:val="0"/>
                <w:sz w:val="21"/>
                <w:szCs w:val="21"/>
                <w:highlight w:val="none"/>
                <w:shd w:val="clear" w:fill="FFFFFF"/>
                <w:lang w:eastAsia="zh-CN"/>
              </w:rPr>
              <w:t>；</w:t>
            </w:r>
          </w:p>
          <w:p>
            <w:pPr>
              <w:keepNext w:val="0"/>
              <w:keepLines w:val="0"/>
              <w:pageBreakBefore w:val="0"/>
              <w:widowControl w:val="0"/>
              <w:numPr>
                <w:ilvl w:val="0"/>
                <w:numId w:val="7"/>
              </w:numPr>
              <w:kinsoku/>
              <w:wordWrap/>
              <w:overflowPunct/>
              <w:bidi w:val="0"/>
              <w:snapToGrid/>
              <w:spacing w:line="400" w:lineRule="exact"/>
              <w:rPr>
                <w:rFonts w:hint="eastAsia"/>
                <w:b/>
                <w:bCs/>
              </w:rPr>
            </w:pPr>
            <w:r>
              <w:rPr>
                <w:rFonts w:hint="eastAsia"/>
                <w:b/>
                <w:bCs/>
              </w:rPr>
              <w:t>其他要求：</w:t>
            </w:r>
          </w:p>
          <w:p>
            <w:pPr>
              <w:keepNext w:val="0"/>
              <w:keepLines w:val="0"/>
              <w:pageBreakBefore w:val="0"/>
              <w:widowControl w:val="0"/>
              <w:kinsoku/>
              <w:wordWrap/>
              <w:overflowPunct/>
              <w:bidi w:val="0"/>
              <w:snapToGrid/>
              <w:spacing w:line="400" w:lineRule="exact"/>
              <w:rPr>
                <w:rFonts w:hint="eastAsia"/>
              </w:rPr>
            </w:pPr>
            <w:r>
              <w:rPr>
                <w:rFonts w:hint="eastAsia"/>
              </w:rPr>
              <w:t>单位负责人为同一人或者存在直接控股、管理关系的不同单位，不得同时参加同一合同项下的政府采购活动（提供加盖供应商公章的“国家企业信用信息公示系统”中公示的公司基础信息）。</w:t>
            </w:r>
          </w:p>
          <w:p>
            <w:pPr>
              <w:keepNext w:val="0"/>
              <w:keepLines w:val="0"/>
              <w:pageBreakBefore w:val="0"/>
              <w:widowControl w:val="0"/>
              <w:kinsoku/>
              <w:wordWrap/>
              <w:overflowPunct/>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注：以上所示资格审查资料必须按照要求提供，未提供或提供资料不符合要求的视为不满足资格要求。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003" w:type="dxa"/>
            <w:gridSpan w:val="2"/>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eq \o\ac(□,</w:instrText>
            </w:r>
            <w:r>
              <w:rPr>
                <w:rFonts w:hint="eastAsia" w:ascii="宋体" w:hAnsi="宋体" w:eastAsia="宋体" w:cs="宋体"/>
                <w:color w:val="auto"/>
                <w:position w:val="2"/>
                <w:sz w:val="13"/>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不接受</w:t>
            </w:r>
            <w:r>
              <w:rPr>
                <w:rFonts w:hint="eastAsia" w:ascii="宋体" w:hAnsi="宋体" w:cs="宋体"/>
                <w:color w:val="auto"/>
                <w:szCs w:val="21"/>
                <w:highlight w:val="none"/>
                <w:lang w:eastAsia="zh-CN"/>
              </w:rPr>
              <w:t>：本项目不接受联合体投标。</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eq \o\ac(□,√)</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不召开</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  包</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eq \o\ac(□,√)</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不允许</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构成招标文件的其他材料</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有关补遗书等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要求澄清招标文件的截止时间</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日9时30分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确认收到招标文件澄清的时间</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在收到相应澄清文件后</w:t>
            </w:r>
            <w:r>
              <w:rPr>
                <w:rFonts w:hint="eastAsia" w:ascii="宋体" w:hAnsi="宋体" w:eastAsia="宋体" w:cs="宋体"/>
                <w:color w:val="auto"/>
                <w:highlight w:val="none"/>
                <w:u w:val="single"/>
              </w:rPr>
              <w:t>24</w:t>
            </w:r>
            <w:r>
              <w:rPr>
                <w:rFonts w:hint="eastAsia" w:ascii="宋体" w:hAnsi="宋体" w:eastAsia="宋体" w:cs="宋体"/>
                <w:color w:val="auto"/>
                <w:highlight w:val="none"/>
              </w:rPr>
              <w:t>小时内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确认收到招标文件修改的时间</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在收到相应修改文件后</w:t>
            </w:r>
            <w:r>
              <w:rPr>
                <w:rFonts w:hint="eastAsia" w:ascii="宋体" w:hAnsi="宋体" w:eastAsia="宋体" w:cs="宋体"/>
                <w:color w:val="auto"/>
                <w:highlight w:val="none"/>
                <w:u w:val="single"/>
              </w:rPr>
              <w:t>24</w:t>
            </w:r>
            <w:r>
              <w:rPr>
                <w:rFonts w:hint="eastAsia" w:ascii="宋体" w:hAnsi="宋体" w:eastAsia="宋体" w:cs="宋体"/>
                <w:color w:val="auto"/>
                <w:highlight w:val="none"/>
              </w:rPr>
              <w:t>小时内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构成投标文件的其他材料</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投标人认为</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所需要补充的内容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3.3.1</w:t>
            </w:r>
          </w:p>
        </w:tc>
        <w:tc>
          <w:tcPr>
            <w:tcW w:w="2003" w:type="dxa"/>
            <w:gridSpan w:val="2"/>
            <w:vAlign w:val="center"/>
          </w:tcPr>
          <w:p>
            <w:pPr>
              <w:keepNext w:val="0"/>
              <w:keepLines w:val="0"/>
              <w:pageBreakBefore w:val="0"/>
              <w:widowControl w:val="0"/>
              <w:kinsoku/>
              <w:wordWrap/>
              <w:overflowPunct/>
              <w:autoSpaceDE w:val="0"/>
              <w:autoSpaceDN w:val="0"/>
              <w:bidi w:val="0"/>
              <w:adjustRightInd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本项目对应的中小企业划分标准所属行业</w:t>
            </w:r>
          </w:p>
        </w:tc>
        <w:tc>
          <w:tcPr>
            <w:tcW w:w="6797" w:type="dxa"/>
            <w:vAlign w:val="center"/>
          </w:tcPr>
          <w:p>
            <w:pPr>
              <w:keepNext w:val="0"/>
              <w:keepLines w:val="0"/>
              <w:pageBreakBefore w:val="0"/>
              <w:widowControl w:val="0"/>
              <w:kinsoku/>
              <w:wordWrap/>
              <w:overflowPunct/>
              <w:autoSpaceDE w:val="0"/>
              <w:autoSpaceDN w:val="0"/>
              <w:bidi w:val="0"/>
              <w:adjustRightInd w:val="0"/>
              <w:snapToGrid/>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自投标截止之日起60日历天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不允许</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签字和（或）盖章要求</w:t>
            </w:r>
          </w:p>
        </w:tc>
        <w:tc>
          <w:tcPr>
            <w:tcW w:w="6797" w:type="dxa"/>
            <w:vAlign w:val="center"/>
          </w:tcPr>
          <w:p>
            <w:pPr>
              <w:keepNext w:val="0"/>
              <w:keepLines w:val="0"/>
              <w:pageBreakBefore w:val="0"/>
              <w:widowControl w:val="0"/>
              <w:kinsoku/>
              <w:wordWrap/>
              <w:overflowPunct/>
              <w:bidi w:val="0"/>
              <w:snapToGrid/>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签字和盖章的要求应符合第六章响应文件格式相应要求。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投标文件份数及其他要求</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加密的电子投标文件壹份（*.XYTF 格式，在会员系统指定位置上传）。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开标地点：</w:t>
            </w:r>
            <w:r>
              <w:rPr>
                <w:rFonts w:hint="eastAsia" w:ascii="宋体" w:hAnsi="宋体" w:eastAsia="宋体" w:cs="宋体"/>
                <w:color w:val="auto"/>
                <w:szCs w:val="21"/>
                <w:highlight w:val="none"/>
              </w:rPr>
              <w:t>信阳市公共资源交易中心第</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开标厅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人，其中业主评委1人，技术、经济类专家4人；</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评标专家确定方式：</w:t>
            </w:r>
            <w:r>
              <w:rPr>
                <w:rFonts w:hint="eastAsia" w:ascii="宋体" w:hAnsi="宋体" w:eastAsia="宋体" w:cs="宋体"/>
                <w:color w:val="auto"/>
                <w:highlight w:val="none"/>
                <w:u w:val="single"/>
              </w:rPr>
              <w:t>从信阳市政府采购专家库中随机抽取</w:t>
            </w:r>
            <w:r>
              <w:rPr>
                <w:rFonts w:hint="eastAsia" w:ascii="宋体" w:hAnsi="宋体" w:eastAsia="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003"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6797" w:type="dxa"/>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□是</w:t>
            </w:r>
          </w:p>
          <w:p>
            <w:pPr>
              <w:keepNext w:val="0"/>
              <w:keepLines w:val="0"/>
              <w:pageBreakBefore w:val="0"/>
              <w:widowControl w:val="0"/>
              <w:kinsoku/>
              <w:wordWrap/>
              <w:overflowPunct/>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否，推荐的中标候选人数：3名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0"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7.3</w:t>
            </w:r>
          </w:p>
        </w:tc>
        <w:tc>
          <w:tcPr>
            <w:tcW w:w="2003" w:type="dxa"/>
            <w:gridSpan w:val="2"/>
            <w:vAlign w:val="center"/>
          </w:tcPr>
          <w:p>
            <w:pPr>
              <w:keepNext w:val="0"/>
              <w:keepLines w:val="0"/>
              <w:pageBreakBefore w:val="0"/>
              <w:widowControl w:val="0"/>
              <w:kinsoku/>
              <w:wordWrap/>
              <w:overflowPunct/>
              <w:autoSpaceDE w:val="0"/>
              <w:autoSpaceDN w:val="0"/>
              <w:bidi w:val="0"/>
              <w:adjustRightInd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履约担保</w:t>
            </w:r>
          </w:p>
        </w:tc>
        <w:tc>
          <w:tcPr>
            <w:tcW w:w="6797" w:type="dxa"/>
            <w:vAlign w:val="center"/>
          </w:tcPr>
          <w:p>
            <w:pPr>
              <w:keepNext w:val="0"/>
              <w:keepLines w:val="0"/>
              <w:pageBreakBefore w:val="0"/>
              <w:widowControl w:val="0"/>
              <w:kinsoku/>
              <w:wordWrap/>
              <w:overflowPunct/>
              <w:autoSpaceDE w:val="0"/>
              <w:autoSpaceDN w:val="0"/>
              <w:bidi w:val="0"/>
              <w:adjustRightInd w:val="0"/>
              <w:snapToGrid/>
              <w:spacing w:line="400" w:lineRule="exact"/>
              <w:rPr>
                <w:rFonts w:hint="eastAsia" w:ascii="宋体" w:hAnsi="宋体" w:eastAsia="宋体" w:cs="宋体"/>
                <w:color w:val="auto"/>
                <w:highlight w:val="none"/>
              </w:rPr>
            </w:pPr>
            <w:r>
              <w:rPr>
                <w:rFonts w:hint="eastAsia" w:ascii="宋体" w:hAnsi="宋体" w:eastAsia="宋体" w:cs="宋体"/>
                <w:color w:val="auto"/>
                <w:kern w:val="0"/>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650" w:type="dxa"/>
            <w:gridSpan w:val="4"/>
            <w:vAlign w:val="center"/>
          </w:tcPr>
          <w:p>
            <w:pPr>
              <w:keepNext w:val="0"/>
              <w:keepLines w:val="0"/>
              <w:pageBreakBefore w:val="0"/>
              <w:widowControl w:val="0"/>
              <w:kinsoku/>
              <w:wordWrap/>
              <w:overflowPunct/>
              <w:bidi w:val="0"/>
              <w:snapToGrid/>
              <w:spacing w:line="40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t>10.  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2"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81"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代理服务费</w:t>
            </w:r>
          </w:p>
        </w:tc>
        <w:tc>
          <w:tcPr>
            <w:tcW w:w="6797" w:type="dxa"/>
            <w:vAlign w:val="center"/>
          </w:tcPr>
          <w:p>
            <w:pPr>
              <w:pStyle w:val="58"/>
              <w:keepNext w:val="0"/>
              <w:keepLines w:val="0"/>
              <w:pageBreakBefore w:val="0"/>
              <w:widowControl w:val="0"/>
              <w:numPr>
                <w:ilvl w:val="0"/>
                <w:numId w:val="0"/>
              </w:numPr>
              <w:kinsoku/>
              <w:wordWrap/>
              <w:overflowPunct/>
              <w:bidi w:val="0"/>
              <w:snapToGrid/>
              <w:spacing w:line="40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代理费收费约定:本项目采购代理服务费为：41240.00元</w:t>
            </w:r>
            <w:r>
              <w:rPr>
                <w:rFonts w:hint="eastAsia" w:ascii="宋体" w:hAnsi="宋体" w:cs="宋体"/>
                <w:color w:val="auto"/>
                <w:kern w:val="0"/>
                <w:szCs w:val="21"/>
                <w:highlight w:val="none"/>
                <w:lang w:val="en-US" w:eastAsia="zh-CN"/>
              </w:rPr>
              <w:t>，由中标人在领取中标通知书前向采购代理机构支付</w:t>
            </w:r>
            <w:r>
              <w:rPr>
                <w:rFonts w:hint="eastAsia" w:ascii="宋体" w:hAnsi="宋体" w:eastAsia="宋体" w:cs="宋体"/>
                <w:color w:val="auto"/>
                <w:kern w:val="0"/>
                <w:szCs w:val="21"/>
                <w:highlight w:val="none"/>
                <w:lang w:val="en-US" w:eastAsia="zh-CN"/>
              </w:rPr>
              <w:t>；</w:t>
            </w:r>
          </w:p>
          <w:p>
            <w:pPr>
              <w:pStyle w:val="58"/>
              <w:keepNext w:val="0"/>
              <w:keepLines w:val="0"/>
              <w:pageBreakBefore w:val="0"/>
              <w:widowControl w:val="0"/>
              <w:numPr>
                <w:ilvl w:val="0"/>
                <w:numId w:val="0"/>
              </w:numPr>
              <w:kinsoku/>
              <w:wordWrap/>
              <w:overflowPunct/>
              <w:bidi w:val="0"/>
              <w:snapToGrid/>
              <w:spacing w:line="40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本项目代理服务费按不高于“豫招协[2023]002号”规定的收费标准收取，代理服务费的收取按差额定率累进法计算，单标段合计上限不得超过10万元；</w:t>
            </w:r>
          </w:p>
          <w:p>
            <w:pPr>
              <w:pStyle w:val="58"/>
              <w:keepNext w:val="0"/>
              <w:keepLines w:val="0"/>
              <w:pageBreakBefore w:val="0"/>
              <w:widowControl w:val="0"/>
              <w:numPr>
                <w:ilvl w:val="0"/>
                <w:numId w:val="0"/>
              </w:numPr>
              <w:kinsoku/>
              <w:wordWrap/>
              <w:overflowPunct/>
              <w:bidi w:val="0"/>
              <w:snapToGrid/>
              <w:spacing w:line="40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收费标准:</w:t>
            </w:r>
          </w:p>
          <w:p>
            <w:pPr>
              <w:pStyle w:val="58"/>
              <w:keepNext w:val="0"/>
              <w:keepLines w:val="0"/>
              <w:pageBreakBefore w:val="0"/>
              <w:widowControl w:val="0"/>
              <w:numPr>
                <w:ilvl w:val="0"/>
                <w:numId w:val="0"/>
              </w:numPr>
              <w:kinsoku/>
              <w:wordWrap/>
              <w:overflowPunct/>
              <w:bidi w:val="0"/>
              <w:snapToGrid/>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①预算金额的100万(含)以下部分费率为1.7%；</w:t>
            </w:r>
          </w:p>
          <w:p>
            <w:pPr>
              <w:pStyle w:val="58"/>
              <w:keepNext w:val="0"/>
              <w:keepLines w:val="0"/>
              <w:pageBreakBefore w:val="0"/>
              <w:widowControl w:val="0"/>
              <w:numPr>
                <w:ilvl w:val="0"/>
                <w:numId w:val="0"/>
              </w:numPr>
              <w:kinsoku/>
              <w:wordWrap/>
              <w:overflowPunct/>
              <w:bidi w:val="0"/>
              <w:snapToGrid/>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②预算金额的100万-500万（含）部分费率为1.2%；</w:t>
            </w:r>
          </w:p>
          <w:p>
            <w:pPr>
              <w:pStyle w:val="58"/>
              <w:keepNext w:val="0"/>
              <w:keepLines w:val="0"/>
              <w:pageBreakBefore w:val="0"/>
              <w:widowControl w:val="0"/>
              <w:numPr>
                <w:ilvl w:val="0"/>
                <w:numId w:val="0"/>
              </w:numPr>
              <w:kinsoku/>
              <w:wordWrap/>
              <w:overflowPunct/>
              <w:bidi w:val="0"/>
              <w:snapToGrid/>
              <w:spacing w:line="400" w:lineRule="exact"/>
              <w:rPr>
                <w:rFonts w:hint="default" w:ascii="宋体" w:hAnsi="宋体" w:eastAsia="宋体" w:cs="宋体"/>
                <w:color w:val="auto"/>
                <w:szCs w:val="21"/>
                <w:highlight w:val="none"/>
                <w:lang w:val="en-US" w:bidi="zh-CN"/>
              </w:rPr>
            </w:pPr>
            <w:r>
              <w:rPr>
                <w:rFonts w:hint="eastAsia" w:ascii="宋体" w:hAnsi="宋体" w:eastAsia="宋体" w:cs="宋体"/>
                <w:color w:val="auto"/>
                <w:kern w:val="0"/>
                <w:szCs w:val="21"/>
                <w:highlight w:val="none"/>
                <w:lang w:val="en-US" w:eastAsia="zh-CN"/>
              </w:rPr>
              <w:t>③预算金额的500-1000万（含）部分费率为0.8%。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2"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10.2</w:t>
            </w:r>
          </w:p>
        </w:tc>
        <w:tc>
          <w:tcPr>
            <w:tcW w:w="1981"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6797" w:type="dxa"/>
            <w:vAlign w:val="center"/>
          </w:tcPr>
          <w:p>
            <w:pPr>
              <w:keepNext w:val="0"/>
              <w:keepLines w:val="0"/>
              <w:pageBreakBefore w:val="0"/>
              <w:widowControl w:val="0"/>
              <w:numPr>
                <w:ilvl w:val="0"/>
                <w:numId w:val="8"/>
              </w:numPr>
              <w:kinsoku/>
              <w:wordWrap/>
              <w:overflowPunct/>
              <w:bidi w:val="0"/>
              <w:snapToGrid/>
              <w:spacing w:line="400" w:lineRule="exact"/>
              <w:rPr>
                <w:rFonts w:hint="eastAsia"/>
                <w:lang w:val="en-US" w:eastAsia="zh-CN"/>
              </w:rPr>
            </w:pPr>
            <w:r>
              <w:rPr>
                <w:rFonts w:hint="eastAsia"/>
              </w:rPr>
              <w:t>本项目招标控制价（即最高限价</w:t>
            </w:r>
            <w:r>
              <w:rPr>
                <w:rFonts w:hint="eastAsia"/>
                <w:lang w:val="en-US" w:eastAsia="zh-CN"/>
              </w:rPr>
              <w:t>）为：①居家上门服务；②适老化改造；③智能化改造；④购置老年用品，以上4项最高限价（折扣率）均为100%，参与本次投标的投标人须按折扣率形式进行投标报价，且各投标人的投标报价均不得超过最高限价（折扣率），否则为无效响应文件。</w:t>
            </w:r>
          </w:p>
          <w:p>
            <w:pPr>
              <w:keepNext w:val="0"/>
              <w:keepLines w:val="0"/>
              <w:pageBreakBefore w:val="0"/>
              <w:widowControl w:val="0"/>
              <w:numPr>
                <w:ilvl w:val="0"/>
                <w:numId w:val="0"/>
              </w:numPr>
              <w:kinsoku/>
              <w:wordWrap/>
              <w:overflowPunct/>
              <w:bidi w:val="0"/>
              <w:snapToGrid/>
              <w:spacing w:line="400" w:lineRule="exact"/>
              <w:rPr>
                <w:rFonts w:hint="eastAsia"/>
                <w:lang w:val="en-US" w:eastAsia="zh-CN"/>
              </w:rPr>
            </w:pPr>
            <w:r>
              <w:rPr>
                <w:rFonts w:hint="eastAsia"/>
                <w:lang w:val="en-US" w:eastAsia="zh-CN"/>
              </w:rPr>
              <w:t>2.投标报价方式：本项目的预算金额属于采购人付费的最高上限。本项目按折扣率进行报价，平均折扣率为</w:t>
            </w:r>
            <w:r>
              <w:rPr>
                <w:rFonts w:hint="eastAsia"/>
                <w:u w:val="single"/>
                <w:lang w:val="en-US" w:eastAsia="zh-CN"/>
              </w:rPr>
              <w:t xml:space="preserve">   </w:t>
            </w:r>
            <w:r>
              <w:rPr>
                <w:rFonts w:hint="eastAsia"/>
                <w:lang w:val="en-US" w:eastAsia="zh-CN"/>
              </w:rPr>
              <w:t>%。平均折扣率=（①居家上门服务分项折扣率+②适老化改造分项折扣率+③智能化改造分项折扣率+④购置老年用品分项折扣率）/4（百分数后小数点最多保留两位小数，否则第三位将不计取）。</w:t>
            </w:r>
          </w:p>
          <w:p>
            <w:pPr>
              <w:keepNext w:val="0"/>
              <w:keepLines w:val="0"/>
              <w:pageBreakBefore w:val="0"/>
              <w:widowControl w:val="0"/>
              <w:numPr>
                <w:ilvl w:val="0"/>
                <w:numId w:val="0"/>
              </w:numPr>
              <w:kinsoku/>
              <w:wordWrap/>
              <w:overflowPunct/>
              <w:bidi w:val="0"/>
              <w:snapToGrid/>
              <w:spacing w:line="400" w:lineRule="exact"/>
              <w:rPr>
                <w:rFonts w:hint="eastAsia"/>
                <w:lang w:val="en-US" w:eastAsia="zh-CN"/>
              </w:rPr>
            </w:pPr>
            <w:r>
              <w:rPr>
                <w:rFonts w:hint="eastAsia"/>
                <w:lang w:val="en-US" w:eastAsia="zh-CN"/>
              </w:rPr>
              <w:t>合同金额=以采购人审定的预算书结果×投标人所报折扣率；</w:t>
            </w:r>
          </w:p>
          <w:p>
            <w:pPr>
              <w:pStyle w:val="2"/>
              <w:rPr>
                <w:rFonts w:hint="default"/>
                <w:lang w:val="en-US" w:eastAsia="zh-CN"/>
              </w:rPr>
            </w:pPr>
            <w:r>
              <w:rPr>
                <w:rFonts w:hint="eastAsia" w:ascii="宋体" w:hAnsi="宋体" w:cs="宋体" w:eastAsiaTheme="minorEastAsia"/>
                <w:b/>
                <w:bCs/>
                <w:color w:val="auto"/>
                <w:kern w:val="2"/>
                <w:sz w:val="21"/>
                <w:szCs w:val="21"/>
                <w:highlight w:val="none"/>
                <w:lang w:val="en-US" w:eastAsia="zh-CN" w:bidi="ar-SA"/>
              </w:rPr>
              <w:t>注：由于系统原因无法增加“开标一览表—投标报价”格式，投标人填写系统内“开标一览表—投标报价”时，统一填写“投标报价平均折扣率”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2" w:type="dxa"/>
            <w:gridSpan w:val="2"/>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highlight w:val="none"/>
              </w:rPr>
            </w:pPr>
            <w:bookmarkStart w:id="8" w:name="_Toc472337627"/>
            <w:bookmarkStart w:id="9" w:name="_Toc472429272"/>
            <w:r>
              <w:rPr>
                <w:rFonts w:hint="eastAsia" w:ascii="宋体" w:hAnsi="宋体" w:eastAsia="宋体" w:cs="宋体"/>
                <w:color w:val="auto"/>
                <w:highlight w:val="none"/>
              </w:rPr>
              <w:t>10.3</w:t>
            </w:r>
          </w:p>
        </w:tc>
        <w:tc>
          <w:tcPr>
            <w:tcW w:w="1981" w:type="dxa"/>
            <w:vAlign w:val="center"/>
          </w:tcPr>
          <w:p>
            <w:pPr>
              <w:keepNext w:val="0"/>
              <w:keepLines w:val="0"/>
              <w:pageBreakBefore w:val="0"/>
              <w:widowControl w:val="0"/>
              <w:kinsoku/>
              <w:wordWrap/>
              <w:overflowPunct/>
              <w:bidi w:val="0"/>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797" w:type="dxa"/>
            <w:vAlign w:val="center"/>
          </w:tcPr>
          <w:p>
            <w:pPr>
              <w:pStyle w:val="5"/>
              <w:keepNext w:val="0"/>
              <w:keepLines w:val="0"/>
              <w:pageBreakBefore w:val="0"/>
              <w:widowControl w:val="0"/>
              <w:kinsoku/>
              <w:wordWrap/>
              <w:overflowPunct/>
              <w:bidi w:val="0"/>
              <w:snapToGrid/>
              <w:spacing w:line="40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详见合同格式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72" w:type="dxa"/>
            <w:gridSpan w:val="2"/>
            <w:vAlign w:val="center"/>
          </w:tcPr>
          <w:p>
            <w:pPr>
              <w:keepNext w:val="0"/>
              <w:keepLines w:val="0"/>
              <w:pageBreakBefore w:val="0"/>
              <w:widowControl w:val="0"/>
              <w:kinsoku/>
              <w:wordWrap/>
              <w:overflowPunct/>
              <w:autoSpaceDE w:val="0"/>
              <w:autoSpaceDN w:val="0"/>
              <w:bidi w:val="0"/>
              <w:adjustRightInd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其他补充内容</w:t>
            </w:r>
          </w:p>
        </w:tc>
        <w:tc>
          <w:tcPr>
            <w:tcW w:w="1981" w:type="dxa"/>
            <w:vAlign w:val="center"/>
          </w:tcPr>
          <w:p>
            <w:pPr>
              <w:keepNext w:val="0"/>
              <w:keepLines w:val="0"/>
              <w:pageBreakBefore w:val="0"/>
              <w:widowControl w:val="0"/>
              <w:kinsoku/>
              <w:wordWrap/>
              <w:overflowPunct/>
              <w:autoSpaceDE w:val="0"/>
              <w:autoSpaceDN w:val="0"/>
              <w:bidi w:val="0"/>
              <w:adjustRightInd w:val="0"/>
              <w:snapToGrid/>
              <w:spacing w:line="400" w:lineRule="exact"/>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标书雷同性分析</w:t>
            </w:r>
          </w:p>
        </w:tc>
        <w:tc>
          <w:tcPr>
            <w:tcW w:w="6797" w:type="dxa"/>
            <w:vAlign w:val="center"/>
          </w:tcPr>
          <w:p>
            <w:pPr>
              <w:keepNext w:val="0"/>
              <w:keepLines w:val="0"/>
              <w:pageBreakBefore w:val="0"/>
              <w:widowControl w:val="0"/>
              <w:kinsoku/>
              <w:wordWrap/>
              <w:overflowPunct/>
              <w:autoSpaceDE w:val="0"/>
              <w:autoSpaceDN w:val="0"/>
              <w:bidi w:val="0"/>
              <w:adjustRightInd w:val="0"/>
              <w:snapToGrid/>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文件制作机器码、文件创建标识码有相同的按废标处理。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853" w:type="dxa"/>
            <w:gridSpan w:val="3"/>
            <w:vAlign w:val="center"/>
          </w:tcPr>
          <w:p>
            <w:pPr>
              <w:keepNext w:val="0"/>
              <w:keepLines w:val="0"/>
              <w:pageBreakBefore w:val="0"/>
              <w:widowControl w:val="0"/>
              <w:kinsoku/>
              <w:wordWrap/>
              <w:overflowPunct/>
              <w:autoSpaceDE w:val="0"/>
              <w:autoSpaceDN w:val="0"/>
              <w:bidi w:val="0"/>
              <w:adjustRightInd w:val="0"/>
              <w:snapToGrid/>
              <w:spacing w:line="400" w:lineRule="exact"/>
              <w:jc w:val="center"/>
              <w:rPr>
                <w:rFonts w:hint="eastAsia" w:ascii="宋体" w:hAnsi="宋体" w:eastAsia="宋体" w:cs="宋体"/>
                <w:color w:val="auto"/>
                <w:kern w:val="0"/>
                <w:szCs w:val="21"/>
                <w:highlight w:val="none"/>
              </w:rPr>
            </w:pPr>
            <w:r>
              <w:rPr>
                <w:rFonts w:hint="eastAsia" w:ascii="宋体" w:hAnsi="宋体" w:cs="宋体"/>
                <w:b/>
                <w:bCs/>
                <w:color w:val="auto"/>
                <w:kern w:val="0"/>
                <w:sz w:val="21"/>
                <w:szCs w:val="21"/>
                <w:highlight w:val="none"/>
              </w:rPr>
              <w:t>特别提示：</w:t>
            </w:r>
          </w:p>
        </w:tc>
        <w:tc>
          <w:tcPr>
            <w:tcW w:w="6797" w:type="dxa"/>
            <w:vAlign w:val="center"/>
          </w:tcPr>
          <w:p>
            <w:pPr>
              <w:keepNext w:val="0"/>
              <w:keepLines w:val="0"/>
              <w:pageBreakBefore w:val="0"/>
              <w:widowControl w:val="0"/>
              <w:kinsoku/>
              <w:wordWrap/>
              <w:overflowPunct/>
              <w:autoSpaceDE w:val="0"/>
              <w:autoSpaceDN w:val="0"/>
              <w:bidi w:val="0"/>
              <w:adjustRightInd w:val="0"/>
              <w:snapToGrid/>
              <w:spacing w:line="400" w:lineRule="exact"/>
              <w:rPr>
                <w:rFonts w:hint="eastAsia" w:ascii="宋体" w:hAnsi="宋体" w:eastAsia="宋体" w:cs="宋体"/>
                <w:color w:val="auto"/>
                <w:kern w:val="0"/>
                <w:szCs w:val="21"/>
                <w:highlight w:val="none"/>
              </w:rPr>
            </w:pPr>
            <w:r>
              <w:rPr>
                <w:rFonts w:hint="eastAsia" w:ascii="宋体" w:hAnsi="宋体" w:cs="宋体"/>
                <w:b/>
                <w:bCs/>
                <w:color w:val="auto"/>
                <w:kern w:val="0"/>
                <w:sz w:val="21"/>
                <w:szCs w:val="21"/>
                <w:highlight w:val="none"/>
              </w:rPr>
              <w:t>中标（成交）单位中标（成交）后需提供同电子投标（响应）文件完全一致的纸质版投标（响应）文件</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套。</w:t>
            </w:r>
          </w:p>
        </w:tc>
      </w:tr>
      <w:bookmarkEnd w:id="8"/>
      <w:bookmarkEnd w:id="9"/>
    </w:tbl>
    <w:p>
      <w:pPr>
        <w:pStyle w:val="7"/>
        <w:numPr>
          <w:ilvl w:val="0"/>
          <w:numId w:val="0"/>
        </w:numPr>
        <w:spacing w:line="312" w:lineRule="auto"/>
        <w:ind w:right="210"/>
        <w:rPr>
          <w:rFonts w:hint="eastAsia" w:ascii="宋体" w:hAnsi="宋体" w:eastAsia="宋体" w:cs="宋体"/>
          <w:color w:val="auto"/>
          <w:highlight w:val="none"/>
        </w:rPr>
      </w:pPr>
      <w:r>
        <w:rPr>
          <w:rFonts w:hint="eastAsia" w:ascii="宋体" w:hAnsi="宋体" w:eastAsia="宋体" w:cs="宋体"/>
          <w:color w:val="auto"/>
          <w:highlight w:val="none"/>
        </w:rPr>
        <w:t>1. 总则</w:t>
      </w:r>
    </w:p>
    <w:p>
      <w:pPr>
        <w:pStyle w:val="21"/>
        <w:spacing w:line="312" w:lineRule="auto"/>
        <w:rPr>
          <w:rFonts w:hint="eastAsia" w:ascii="宋体" w:hAnsi="宋体" w:eastAsia="宋体" w:cs="宋体"/>
          <w:color w:val="auto"/>
          <w:highlight w:val="none"/>
        </w:rPr>
      </w:pPr>
      <w:bookmarkStart w:id="10" w:name="_Toc472337628"/>
      <w:bookmarkEnd w:id="10"/>
      <w:bookmarkStart w:id="11" w:name="_Toc472429273"/>
      <w:bookmarkEnd w:id="11"/>
      <w:r>
        <w:rPr>
          <w:rFonts w:hint="eastAsia" w:ascii="宋体" w:hAnsi="宋体" w:eastAsia="宋体" w:cs="宋体"/>
          <w:color w:val="auto"/>
          <w:highlight w:val="none"/>
        </w:rPr>
        <w:t>1.1  项目概况</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1.1.1  根据《中华人民共和国政府采购法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中华人民共和国政府采购法实施条例》等有关法律、法规和规章的规定，本招标项目已具备招标条件，现对本项目进行招标。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1.1.2  本招标项目采购人：见投标人须知前附表。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1.1.3  本招标项目采购代理机构：见投标人须知前附表。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1.1.4  本招标项目名称：见投标人须知前附表。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1.1.5  本招标项目地点：见投标人须知前附表。</w:t>
      </w:r>
    </w:p>
    <w:p>
      <w:pPr>
        <w:pStyle w:val="21"/>
        <w:spacing w:line="312" w:lineRule="auto"/>
        <w:rPr>
          <w:rFonts w:hint="eastAsia" w:ascii="宋体" w:hAnsi="宋体" w:eastAsia="宋体" w:cs="宋体"/>
          <w:color w:val="auto"/>
          <w:highlight w:val="none"/>
        </w:rPr>
      </w:pPr>
      <w:bookmarkStart w:id="12" w:name="_Toc472337629"/>
      <w:bookmarkEnd w:id="12"/>
      <w:bookmarkStart w:id="13" w:name="_Toc472429274"/>
      <w:bookmarkEnd w:id="13"/>
      <w:r>
        <w:rPr>
          <w:rFonts w:hint="eastAsia" w:ascii="宋体" w:hAnsi="宋体" w:eastAsia="宋体" w:cs="宋体"/>
          <w:color w:val="auto"/>
          <w:highlight w:val="none"/>
        </w:rPr>
        <w:t>1.2  资金来源和落实情况</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1.2.l  本招标项目的资金来源：见投标人须知前附表。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1.2.2  本招标项目的出资比例：见投标人须知前附表。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1.2.3  本招标项目的资金落实情况：见投标人须知前附表。</w:t>
      </w:r>
    </w:p>
    <w:p>
      <w:pPr>
        <w:pStyle w:val="21"/>
        <w:spacing w:line="312" w:lineRule="auto"/>
        <w:rPr>
          <w:rFonts w:hint="eastAsia" w:ascii="宋体" w:hAnsi="宋体" w:eastAsia="宋体" w:cs="宋体"/>
          <w:color w:val="auto"/>
          <w:highlight w:val="none"/>
        </w:rPr>
      </w:pPr>
      <w:bookmarkStart w:id="14" w:name="_Toc472429275"/>
      <w:bookmarkEnd w:id="14"/>
      <w:bookmarkStart w:id="15" w:name="_Toc472337630"/>
      <w:bookmarkEnd w:id="15"/>
      <w:r>
        <w:rPr>
          <w:rFonts w:hint="eastAsia" w:ascii="宋体" w:hAnsi="宋体" w:eastAsia="宋体" w:cs="宋体"/>
          <w:color w:val="auto"/>
          <w:highlight w:val="none"/>
        </w:rPr>
        <w:t>1.3  采购范围、服务期限、服务地点</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质量要求、</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1.3.1  本次采购范围：见投标人须知前附表。</w:t>
      </w:r>
    </w:p>
    <w:p>
      <w:pPr>
        <w:spacing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本项目的服务期限：见投标人须知前附表。</w:t>
      </w:r>
    </w:p>
    <w:p>
      <w:pPr>
        <w:spacing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本项目的服务地点：见投标人须知前附表。</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1.3.4  本项目的</w:t>
      </w:r>
      <w:r>
        <w:rPr>
          <w:rFonts w:hint="eastAsia" w:ascii="宋体" w:hAnsi="宋体" w:cs="宋体"/>
          <w:color w:val="auto"/>
          <w:highlight w:val="none"/>
          <w:lang w:val="en-US" w:eastAsia="zh-CN"/>
        </w:rPr>
        <w:t>质量要求</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见投标人须知前附表。</w:t>
      </w:r>
    </w:p>
    <w:p>
      <w:pPr>
        <w:spacing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1.3.5本项目的建设家庭养老床位的质保维护期：见投标人须知前附表。</w:t>
      </w:r>
    </w:p>
    <w:p>
      <w:pPr>
        <w:pStyle w:val="21"/>
        <w:spacing w:line="312" w:lineRule="auto"/>
        <w:rPr>
          <w:rFonts w:hint="eastAsia" w:ascii="宋体" w:hAnsi="宋体" w:eastAsia="宋体" w:cs="宋体"/>
          <w:color w:val="auto"/>
          <w:highlight w:val="none"/>
        </w:rPr>
      </w:pPr>
      <w:bookmarkStart w:id="16" w:name="_Toc472429276"/>
      <w:bookmarkEnd w:id="16"/>
      <w:bookmarkStart w:id="17" w:name="_Toc472337631"/>
      <w:bookmarkEnd w:id="17"/>
      <w:r>
        <w:rPr>
          <w:rFonts w:hint="eastAsia" w:ascii="宋体" w:hAnsi="宋体" w:eastAsia="宋体" w:cs="宋体"/>
          <w:color w:val="auto"/>
          <w:highlight w:val="none"/>
        </w:rPr>
        <w:t>1.4  投标人资格要求</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1.4.1 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l.4.2 本项目不接受联合体投标。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1.4.3 投标人不得存在下列情形之一：</w:t>
      </w:r>
    </w:p>
    <w:p>
      <w:pPr>
        <w:spacing w:line="312" w:lineRule="auto"/>
        <w:rPr>
          <w:rFonts w:hint="eastAsia" w:ascii="宋体" w:hAnsi="宋体" w:eastAsia="宋体" w:cs="宋体"/>
          <w:color w:val="auto"/>
          <w:szCs w:val="21"/>
          <w:highlight w:val="none"/>
        </w:rPr>
      </w:pPr>
      <w:bookmarkStart w:id="18" w:name="_Toc472337632"/>
      <w:bookmarkStart w:id="19" w:name="_Toc472429277"/>
      <w:r>
        <w:rPr>
          <w:rFonts w:hint="eastAsia" w:ascii="宋体" w:hAnsi="宋体" w:eastAsia="宋体" w:cs="宋体"/>
          <w:color w:val="auto"/>
          <w:szCs w:val="21"/>
          <w:highlight w:val="none"/>
        </w:rPr>
        <w:t xml:space="preserve">  （1）与采购人存在利害关系且可能影响招标公正性；</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（2）与本招标项目的其他投标人为同一个单位负责人；</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（3）与本招标项目的其他投标人存在控股、管理关系；</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（4）为本招标项目的代建人；</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（5）为本招标项目的采购代理机构；</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（6）与本招标项目的代建人或采购代理机构同为一个法定代表人；</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（7）与本招标项目的代建人或采购代理机构存在控股或参股关系；</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（8）被依法暂停或者取消投标资格；</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（9）被责令停产停业、暂扣或者吊销许可证、暂扣或吊销执照；</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（10）进入清算程序，或被宣告破产，或其他丧失履约能力的情形；</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（11）发生过数据造假违规违法问题；</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（12）法律法规或投标人须知前附表规定的其他情形。</w:t>
      </w:r>
    </w:p>
    <w:bookmarkEnd w:id="18"/>
    <w:bookmarkEnd w:id="19"/>
    <w:p>
      <w:pPr>
        <w:spacing w:line="312" w:lineRule="auto"/>
        <w:rPr>
          <w:rFonts w:hint="eastAsia" w:ascii="宋体" w:hAnsi="宋体" w:eastAsia="宋体" w:cs="宋体"/>
          <w:b/>
          <w:color w:val="auto"/>
          <w:highlight w:val="none"/>
        </w:rPr>
      </w:pPr>
      <w:r>
        <w:rPr>
          <w:rFonts w:hint="eastAsia" w:ascii="宋体" w:hAnsi="宋体" w:eastAsia="宋体" w:cs="宋体"/>
          <w:b/>
          <w:color w:val="auto"/>
          <w:highlight w:val="none"/>
        </w:rPr>
        <w:t>1.5  费用承担</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投标人准备和参加投标活动发生的费用自理。</w:t>
      </w:r>
    </w:p>
    <w:p>
      <w:pPr>
        <w:pStyle w:val="21"/>
        <w:spacing w:line="312" w:lineRule="auto"/>
        <w:rPr>
          <w:rFonts w:hint="eastAsia" w:ascii="宋体" w:hAnsi="宋体" w:eastAsia="宋体" w:cs="宋体"/>
          <w:color w:val="auto"/>
          <w:highlight w:val="none"/>
        </w:rPr>
      </w:pPr>
      <w:bookmarkStart w:id="20" w:name="_Toc472429278"/>
      <w:bookmarkEnd w:id="20"/>
      <w:bookmarkStart w:id="21" w:name="_Toc472337633"/>
      <w:bookmarkEnd w:id="21"/>
      <w:r>
        <w:rPr>
          <w:rFonts w:hint="eastAsia" w:ascii="宋体" w:hAnsi="宋体" w:eastAsia="宋体" w:cs="宋体"/>
          <w:color w:val="auto"/>
          <w:highlight w:val="none"/>
        </w:rPr>
        <w:t>1.6  保密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参与招标投标活动的各方应对招标文件和投标文件中的商业和技术等秘密保密，违者应</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对由此造成的后果承担法律责任。</w:t>
      </w:r>
    </w:p>
    <w:p>
      <w:pPr>
        <w:pStyle w:val="21"/>
        <w:spacing w:line="312" w:lineRule="auto"/>
        <w:rPr>
          <w:rFonts w:hint="eastAsia" w:ascii="宋体" w:hAnsi="宋体" w:eastAsia="宋体" w:cs="宋体"/>
          <w:color w:val="auto"/>
          <w:highlight w:val="none"/>
        </w:rPr>
      </w:pPr>
      <w:bookmarkStart w:id="22" w:name="_Toc472337634"/>
      <w:bookmarkEnd w:id="22"/>
      <w:bookmarkStart w:id="23" w:name="_Toc472429279"/>
      <w:bookmarkEnd w:id="23"/>
      <w:r>
        <w:rPr>
          <w:rFonts w:hint="eastAsia" w:ascii="宋体" w:hAnsi="宋体" w:eastAsia="宋体" w:cs="宋体"/>
          <w:color w:val="auto"/>
          <w:highlight w:val="none"/>
        </w:rPr>
        <w:t>1.7  语言文字</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除专用术语外，与招标投标有关的语言均使用中文。必要时专用术语应附有中文注释。</w:t>
      </w:r>
    </w:p>
    <w:p>
      <w:pPr>
        <w:pStyle w:val="21"/>
        <w:spacing w:line="312" w:lineRule="auto"/>
        <w:rPr>
          <w:rFonts w:hint="eastAsia" w:ascii="宋体" w:hAnsi="宋体" w:eastAsia="宋体" w:cs="宋体"/>
          <w:color w:val="auto"/>
          <w:highlight w:val="none"/>
        </w:rPr>
      </w:pPr>
      <w:bookmarkStart w:id="24" w:name="_Toc472337635"/>
      <w:bookmarkEnd w:id="24"/>
      <w:bookmarkStart w:id="25" w:name="_Toc472429280"/>
      <w:bookmarkEnd w:id="25"/>
      <w:r>
        <w:rPr>
          <w:rFonts w:hint="eastAsia" w:ascii="宋体" w:hAnsi="宋体" w:eastAsia="宋体" w:cs="宋体"/>
          <w:color w:val="auto"/>
          <w:highlight w:val="none"/>
        </w:rPr>
        <w:t>1.8  计量单位</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所有计量均采用中华人民共和国法定计量单位。</w:t>
      </w:r>
    </w:p>
    <w:p>
      <w:pPr>
        <w:pStyle w:val="21"/>
        <w:spacing w:line="312" w:lineRule="auto"/>
        <w:rPr>
          <w:rFonts w:hint="eastAsia" w:ascii="宋体" w:hAnsi="宋体" w:eastAsia="宋体" w:cs="宋体"/>
          <w:color w:val="auto"/>
          <w:highlight w:val="none"/>
        </w:rPr>
      </w:pPr>
      <w:bookmarkStart w:id="26" w:name="_Toc472429282"/>
      <w:bookmarkEnd w:id="26"/>
      <w:bookmarkStart w:id="27" w:name="_Toc472337637"/>
      <w:bookmarkEnd w:id="27"/>
      <w:r>
        <w:rPr>
          <w:rFonts w:hint="eastAsia" w:ascii="宋体" w:hAnsi="宋体" w:eastAsia="宋体" w:cs="宋体"/>
          <w:color w:val="auto"/>
          <w:highlight w:val="none"/>
        </w:rPr>
        <w:t>1.9 投标预备会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不召开</w:t>
      </w:r>
    </w:p>
    <w:p>
      <w:pPr>
        <w:pStyle w:val="21"/>
        <w:spacing w:line="312" w:lineRule="auto"/>
        <w:rPr>
          <w:rFonts w:hint="eastAsia" w:ascii="宋体" w:hAnsi="宋体" w:eastAsia="宋体" w:cs="宋体"/>
          <w:color w:val="auto"/>
          <w:highlight w:val="none"/>
        </w:rPr>
      </w:pPr>
      <w:bookmarkStart w:id="28" w:name="_Toc472337638"/>
      <w:bookmarkEnd w:id="28"/>
      <w:bookmarkStart w:id="29" w:name="_Toc472429283"/>
      <w:bookmarkEnd w:id="29"/>
      <w:r>
        <w:rPr>
          <w:rFonts w:hint="eastAsia" w:ascii="宋体" w:hAnsi="宋体" w:eastAsia="宋体" w:cs="宋体"/>
          <w:color w:val="auto"/>
          <w:highlight w:val="none"/>
        </w:rPr>
        <w:t>1.10 分包</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投标人在中标后不得将中标项目进行分包。</w:t>
      </w:r>
    </w:p>
    <w:p>
      <w:pPr>
        <w:pStyle w:val="7"/>
        <w:numPr>
          <w:ilvl w:val="0"/>
          <w:numId w:val="0"/>
        </w:numPr>
        <w:spacing w:line="312" w:lineRule="auto"/>
        <w:ind w:left="425" w:right="210" w:hanging="425"/>
        <w:rPr>
          <w:rFonts w:hint="eastAsia" w:ascii="宋体" w:hAnsi="宋体" w:eastAsia="宋体" w:cs="宋体"/>
          <w:b/>
          <w:bCs/>
          <w:color w:val="auto"/>
          <w:highlight w:val="none"/>
        </w:rPr>
      </w:pPr>
      <w:bookmarkStart w:id="30" w:name="_Toc472429285"/>
      <w:bookmarkEnd w:id="30"/>
      <w:bookmarkStart w:id="31" w:name="_Toc472337640"/>
      <w:bookmarkEnd w:id="31"/>
      <w:r>
        <w:rPr>
          <w:rFonts w:hint="eastAsia" w:ascii="宋体" w:hAnsi="宋体" w:eastAsia="宋体" w:cs="宋体"/>
          <w:b/>
          <w:bCs/>
          <w:color w:val="auto"/>
          <w:highlight w:val="none"/>
        </w:rPr>
        <w:t>2.招标文件</w:t>
      </w:r>
    </w:p>
    <w:p>
      <w:pPr>
        <w:pStyle w:val="21"/>
        <w:spacing w:line="312" w:lineRule="auto"/>
        <w:rPr>
          <w:rFonts w:hint="eastAsia" w:ascii="宋体" w:hAnsi="宋体" w:eastAsia="宋体" w:cs="宋体"/>
          <w:color w:val="auto"/>
          <w:highlight w:val="none"/>
        </w:rPr>
      </w:pPr>
      <w:bookmarkStart w:id="32" w:name="_Toc472337641"/>
      <w:bookmarkEnd w:id="32"/>
      <w:bookmarkStart w:id="33" w:name="_Toc472429286"/>
      <w:bookmarkEnd w:id="33"/>
      <w:r>
        <w:rPr>
          <w:rFonts w:hint="eastAsia" w:ascii="宋体" w:hAnsi="宋体" w:eastAsia="宋体" w:cs="宋体"/>
          <w:color w:val="auto"/>
          <w:highlight w:val="none"/>
        </w:rPr>
        <w:t>2.1  招标文件的组成</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本招标文件包括：</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招标公告；</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投标人须知：</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合同主要条款及格式；</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需求</w:t>
      </w:r>
      <w:r>
        <w:rPr>
          <w:rFonts w:hint="eastAsia" w:ascii="宋体" w:hAnsi="宋体" w:eastAsia="宋体" w:cs="宋体"/>
          <w:color w:val="auto"/>
          <w:szCs w:val="21"/>
          <w:highlight w:val="none"/>
        </w:rPr>
        <w:t>；</w:t>
      </w:r>
    </w:p>
    <w:p>
      <w:pPr>
        <w:spacing w:line="312" w:lineRule="auto"/>
        <w:ind w:firstLine="105" w:firstLine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r>
        <w:rPr>
          <w:rFonts w:hint="eastAsia" w:ascii="宋体" w:hAnsi="宋体" w:eastAsia="宋体" w:cs="宋体"/>
          <w:color w:val="auto"/>
          <w:szCs w:val="21"/>
          <w:highlight w:val="none"/>
          <w:lang w:eastAsia="zh-CN"/>
        </w:rPr>
        <w:t>；</w:t>
      </w:r>
    </w:p>
    <w:p>
      <w:pPr>
        <w:spacing w:line="312"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投标人须知前附表规定的其他材料。</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根据本章第l.10款、第2.2款和第2.3款对招标文件所作的澄清、修改，构成招标文件的组成部分。</w:t>
      </w:r>
    </w:p>
    <w:p>
      <w:pPr>
        <w:pStyle w:val="21"/>
        <w:spacing w:line="312" w:lineRule="auto"/>
        <w:rPr>
          <w:rFonts w:hint="eastAsia" w:ascii="宋体" w:hAnsi="宋体" w:eastAsia="宋体" w:cs="宋体"/>
          <w:color w:val="auto"/>
          <w:highlight w:val="none"/>
        </w:rPr>
      </w:pPr>
      <w:bookmarkStart w:id="34" w:name="_Toc472337642"/>
      <w:bookmarkEnd w:id="34"/>
      <w:bookmarkStart w:id="35" w:name="_Toc472429287"/>
      <w:bookmarkEnd w:id="35"/>
      <w:r>
        <w:rPr>
          <w:rFonts w:hint="eastAsia" w:ascii="宋体" w:hAnsi="宋体" w:eastAsia="宋体" w:cs="宋体"/>
          <w:color w:val="auto"/>
          <w:highlight w:val="none"/>
        </w:rPr>
        <w:t>2.2  招标文件的澄清</w:t>
      </w:r>
    </w:p>
    <w:p>
      <w:pPr>
        <w:spacing w:line="312" w:lineRule="auto"/>
        <w:jc w:val="distribut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2.2.1投标人应仔细阅读和检查招标文件的全部内容。如发现缺页或附件不全，应及时向采购人提出，以便补齐。如有疑问，应在投标人须知前附表规定的时间前以书面形式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括信函、电报、传真等可以有形地表现所载内容的形式，下同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，要求采购人对招标文件予以澄清。</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2.2.2 招标文件的澄清将在投标人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Style w:val="5"/>
        <w:spacing w:after="0" w:line="312"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投标人应在投标文件递交截止时间前及时查看澄清内容，因投标人未及时查看而造成的后果自负。</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2.2.4 除非采购人认为确有必要答复，否则，采购人有权拒绝回复投标人在本章第2.2.1项规定的时间后的任何澄清要求。</w:t>
      </w:r>
    </w:p>
    <w:p>
      <w:pPr>
        <w:pStyle w:val="21"/>
        <w:spacing w:line="312" w:lineRule="auto"/>
        <w:rPr>
          <w:rFonts w:hint="eastAsia" w:ascii="宋体" w:hAnsi="宋体" w:eastAsia="宋体" w:cs="宋体"/>
          <w:color w:val="auto"/>
          <w:highlight w:val="none"/>
        </w:rPr>
      </w:pPr>
      <w:bookmarkStart w:id="36" w:name="_Toc472337643"/>
      <w:bookmarkEnd w:id="36"/>
      <w:bookmarkStart w:id="37" w:name="_Toc472429288"/>
      <w:bookmarkEnd w:id="37"/>
      <w:r>
        <w:rPr>
          <w:rFonts w:hint="eastAsia" w:ascii="宋体" w:hAnsi="宋体" w:eastAsia="宋体" w:cs="宋体"/>
          <w:color w:val="auto"/>
          <w:highlight w:val="none"/>
        </w:rPr>
        <w:t>2.3  招标文件的修改</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2.3.1在投标截止时间15天前，招标人可以修改招标文件。如有修改，应在信阳市公共资源交易系统“变更公告”或“答疑文件”将修改内容予以发布。如果修改的内容可能影响投标文件编制且发出的时间距投标截止时间不足15天，相应延长投标截止时间。</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2.3.2当招标文件的澄清、修改、补充等在同一内容的表述上不一致时，以最后在信阳市公共资源交易系统发出的文件为准。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2.3.3投标人应在投标文件递交截止时间前及时查看修改内容，因投标人未及时查看而造成的后果自负。</w:t>
      </w:r>
    </w:p>
    <w:p>
      <w:pPr>
        <w:pStyle w:val="7"/>
        <w:numPr>
          <w:ilvl w:val="0"/>
          <w:numId w:val="0"/>
        </w:numPr>
        <w:spacing w:line="312" w:lineRule="auto"/>
        <w:ind w:right="210"/>
        <w:rPr>
          <w:rFonts w:hint="eastAsia" w:ascii="宋体" w:hAnsi="宋体" w:eastAsia="宋体" w:cs="宋体"/>
          <w:b/>
          <w:bCs/>
          <w:color w:val="auto"/>
          <w:highlight w:val="none"/>
        </w:rPr>
      </w:pPr>
      <w:bookmarkStart w:id="38" w:name="_Toc472337644"/>
      <w:bookmarkEnd w:id="38"/>
      <w:bookmarkStart w:id="39" w:name="_Toc472429289"/>
      <w:bookmarkEnd w:id="39"/>
      <w:r>
        <w:rPr>
          <w:rFonts w:hint="eastAsia" w:ascii="宋体" w:hAnsi="宋体" w:eastAsia="宋体" w:cs="宋体"/>
          <w:b/>
          <w:bCs/>
          <w:color w:val="auto"/>
          <w:highlight w:val="none"/>
        </w:rPr>
        <w:t>3.投标文件</w:t>
      </w:r>
    </w:p>
    <w:p>
      <w:pPr>
        <w:pStyle w:val="21"/>
        <w:spacing w:line="312" w:lineRule="auto"/>
        <w:rPr>
          <w:rFonts w:hint="eastAsia" w:ascii="宋体" w:hAnsi="宋体" w:eastAsia="宋体" w:cs="宋体"/>
          <w:color w:val="auto"/>
          <w:highlight w:val="none"/>
        </w:rPr>
      </w:pPr>
      <w:bookmarkStart w:id="40" w:name="_Toc472429290"/>
      <w:bookmarkEnd w:id="40"/>
      <w:bookmarkStart w:id="41" w:name="_Toc472337645"/>
      <w:bookmarkEnd w:id="41"/>
      <w:r>
        <w:rPr>
          <w:rFonts w:hint="eastAsia" w:ascii="宋体" w:hAnsi="宋体" w:eastAsia="宋体" w:cs="宋体"/>
          <w:color w:val="auto"/>
          <w:highlight w:val="none"/>
        </w:rPr>
        <w:t>3.1  投标文件的组成</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3.1.1  投标文件应包括下列内容：</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 xml:space="preserve">）投标函及投标函附录 </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）法定代表人（单位负责人）身份证明（适用于无委托代理人的情况）</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 xml:space="preserve">）授权委托书（适用于有委托代理人的情况） </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）分项报价表</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技术条款偏差表</w:t>
      </w:r>
    </w:p>
    <w:p>
      <w:pPr>
        <w:spacing w:line="312"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（5）技术方案</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（6）项目组</w:t>
      </w:r>
      <w:r>
        <w:rPr>
          <w:rFonts w:hint="eastAsia" w:ascii="宋体" w:hAnsi="宋体" w:cs="宋体"/>
          <w:color w:val="auto"/>
          <w:szCs w:val="21"/>
          <w:highlight w:val="none"/>
          <w:lang w:eastAsia="zh-CN"/>
        </w:rPr>
        <w:t>成员情况表</w:t>
      </w:r>
    </w:p>
    <w:p>
      <w:pPr>
        <w:spacing w:line="312"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资格审查资料</w:t>
      </w:r>
    </w:p>
    <w:p>
      <w:pPr>
        <w:spacing w:line="312"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其他材料</w:t>
      </w:r>
      <w:r>
        <w:rPr>
          <w:rFonts w:hint="eastAsia" w:ascii="宋体" w:hAnsi="宋体" w:eastAsia="宋体" w:cs="宋体"/>
          <w:color w:val="auto"/>
          <w:szCs w:val="21"/>
          <w:highlight w:val="none"/>
        </w:rPr>
        <w:t xml:space="preserve">   </w:t>
      </w:r>
    </w:p>
    <w:p>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投标人在评标过程中作出的符合法律法规和招标文件规定的澄清确认，构成投标文件的组成部分。</w:t>
      </w:r>
    </w:p>
    <w:p>
      <w:pPr>
        <w:pStyle w:val="21"/>
        <w:spacing w:line="312" w:lineRule="auto"/>
        <w:rPr>
          <w:rFonts w:hint="eastAsia" w:ascii="宋体" w:hAnsi="宋体" w:eastAsia="宋体" w:cs="宋体"/>
          <w:color w:val="auto"/>
          <w:highlight w:val="none"/>
        </w:rPr>
      </w:pPr>
      <w:bookmarkStart w:id="42" w:name="_Toc472429291"/>
      <w:bookmarkEnd w:id="42"/>
      <w:bookmarkStart w:id="43" w:name="_Toc472337646"/>
      <w:bookmarkEnd w:id="43"/>
      <w:r>
        <w:rPr>
          <w:rFonts w:hint="eastAsia" w:ascii="宋体" w:hAnsi="宋体" w:eastAsia="宋体" w:cs="宋体"/>
          <w:color w:val="auto"/>
          <w:highlight w:val="none"/>
        </w:rPr>
        <w:t>3.2  投标报价</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3.2.l 投标人报价应在不低于投标人成本的基础上根据市场行情和自身实力自主报价，且投标人报价不得高于采购单位预算价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否则投标将被否决。</w:t>
      </w:r>
    </w:p>
    <w:p>
      <w:pPr>
        <w:tabs>
          <w:tab w:val="left" w:pos="826"/>
        </w:tabs>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3.2.2 </w:t>
      </w:r>
      <w:r>
        <w:rPr>
          <w:rFonts w:hint="eastAsia" w:ascii="宋体" w:hAnsi="宋体" w:eastAsia="宋体" w:cs="宋体"/>
          <w:color w:val="auto"/>
          <w:szCs w:val="21"/>
          <w:highlight w:val="none"/>
        </w:rPr>
        <w:t>投标人以人民币为计量币种报价，并以人民币币种签约、结算。投标人的投标报价应包括服务期间所发生的一切费用，如果投标人在被确定为中标供应商并签署合同后，在服务工作中出现硬件、软件等的任何遗漏，均由中标供应商免费提供，采购人将不再支付任何费用。</w:t>
      </w:r>
    </w:p>
    <w:p>
      <w:pPr>
        <w:spacing w:line="312" w:lineRule="auto"/>
        <w:ind w:firstLine="48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3.2.4投标人应充分了解该项目的总体情况以及影响投标报价</w:t>
      </w:r>
      <w:r>
        <w:rPr>
          <w:rFonts w:hint="eastAsia" w:ascii="宋体" w:hAnsi="宋体" w:eastAsia="宋体" w:cs="宋体"/>
          <w:bCs/>
          <w:color w:val="auto"/>
          <w:kern w:val="0"/>
          <w:szCs w:val="21"/>
          <w:highlight w:val="none"/>
          <w:lang w:eastAsia="zh-CN"/>
        </w:rPr>
        <w:t>的其他</w:t>
      </w:r>
      <w:r>
        <w:rPr>
          <w:rFonts w:hint="eastAsia" w:ascii="宋体" w:hAnsi="宋体" w:eastAsia="宋体" w:cs="宋体"/>
          <w:bCs/>
          <w:color w:val="auto"/>
          <w:kern w:val="0"/>
          <w:szCs w:val="21"/>
          <w:highlight w:val="none"/>
        </w:rPr>
        <w:t>要素，考虑服务期间的价格风险因素，中标价在合同实施期内不得调整，同时也不因市场价格变动而调整。</w:t>
      </w:r>
    </w:p>
    <w:p>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3.2.5</w:t>
      </w:r>
      <w:r>
        <w:rPr>
          <w:rFonts w:hint="eastAsia" w:eastAsia="宋体"/>
          <w:color w:val="auto"/>
          <w:highlight w:val="none"/>
          <w:lang w:val="en-US" w:eastAsia="zh-CN"/>
        </w:rPr>
        <w:t>评标委员会认为投标人的报价明显低于其他通过符合性审查投标人的报价（比控制价低 30%），有可能影响产品质量或者不能诚信履约的，应当要求其在评标现场合理的时间内提供书面说明，必要时提交相关证明材料；投标人不能证明其报价合理性的，评标委员会应当将其作为无效投标处理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auto"/>
          <w:highlight w:val="none"/>
          <w:lang w:val="en-US" w:eastAsia="zh-CN"/>
        </w:rPr>
        <w:t>。</w:t>
      </w:r>
    </w:p>
    <w:p>
      <w:pPr>
        <w:spacing w:line="312" w:lineRule="auto"/>
        <w:jc w:val="left"/>
        <w:rPr>
          <w:rFonts w:hint="eastAsia" w:ascii="宋体" w:hAnsi="宋体" w:eastAsia="宋体" w:cs="宋体"/>
          <w:b/>
          <w:bCs w:val="0"/>
          <w:color w:val="auto"/>
          <w:kern w:val="0"/>
          <w:szCs w:val="21"/>
          <w:highlight w:val="none"/>
          <w:lang w:val="zh-CN"/>
        </w:rPr>
      </w:pPr>
      <w:r>
        <w:rPr>
          <w:rFonts w:hint="eastAsia" w:ascii="宋体" w:hAnsi="宋体" w:eastAsia="宋体" w:cs="宋体"/>
          <w:b/>
          <w:bCs w:val="0"/>
          <w:color w:val="auto"/>
          <w:kern w:val="0"/>
          <w:szCs w:val="21"/>
          <w:highlight w:val="none"/>
        </w:rPr>
        <w:t xml:space="preserve">3.3 </w:t>
      </w:r>
      <w:r>
        <w:rPr>
          <w:rFonts w:hint="eastAsia" w:ascii="宋体" w:hAnsi="宋体" w:eastAsia="宋体" w:cs="宋体"/>
          <w:b/>
          <w:bCs w:val="0"/>
          <w:color w:val="auto"/>
          <w:kern w:val="0"/>
          <w:szCs w:val="21"/>
          <w:highlight w:val="none"/>
          <w:lang w:val="zh-CN"/>
        </w:rPr>
        <w:t>小型微型企业认定及评标价格评审</w:t>
      </w:r>
      <w:r>
        <w:rPr>
          <w:rFonts w:hint="eastAsia" w:ascii="宋体" w:hAnsi="宋体" w:cs="宋体"/>
          <w:b/>
          <w:bCs w:val="0"/>
          <w:color w:val="auto"/>
          <w:kern w:val="0"/>
          <w:szCs w:val="21"/>
          <w:highlight w:val="none"/>
          <w:lang w:val="zh-CN"/>
        </w:rPr>
        <w:t>（</w:t>
      </w:r>
      <w:r>
        <w:rPr>
          <w:rFonts w:hint="eastAsia" w:ascii="宋体" w:hAnsi="宋体" w:cs="宋体"/>
          <w:b/>
          <w:bCs/>
          <w:color w:val="auto"/>
          <w:sz w:val="21"/>
          <w:szCs w:val="21"/>
          <w:highlight w:val="none"/>
          <w:lang w:val="en-US" w:eastAsia="zh-CN"/>
        </w:rPr>
        <w:t>本项目不适用</w:t>
      </w:r>
      <w:r>
        <w:rPr>
          <w:rFonts w:hint="eastAsia" w:ascii="宋体" w:hAnsi="宋体" w:cs="宋体"/>
          <w:b/>
          <w:bCs w:val="0"/>
          <w:color w:val="auto"/>
          <w:kern w:val="0"/>
          <w:szCs w:val="21"/>
          <w:highlight w:val="none"/>
          <w:lang w:val="zh-CN"/>
        </w:rPr>
        <w:t>）</w:t>
      </w:r>
    </w:p>
    <w:tbl>
      <w:tblPr>
        <w:tblStyle w:val="2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591"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内容</w:t>
            </w:r>
          </w:p>
        </w:tc>
        <w:tc>
          <w:tcPr>
            <w:tcW w:w="1561"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大型企业</w:t>
            </w:r>
          </w:p>
        </w:tc>
        <w:tc>
          <w:tcPr>
            <w:tcW w:w="1492"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中型企业</w:t>
            </w:r>
          </w:p>
        </w:tc>
        <w:tc>
          <w:tcPr>
            <w:tcW w:w="2273"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小型企业</w:t>
            </w:r>
          </w:p>
        </w:tc>
        <w:tc>
          <w:tcPr>
            <w:tcW w:w="2094"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价格=</w:t>
            </w:r>
          </w:p>
        </w:tc>
        <w:tc>
          <w:tcPr>
            <w:tcW w:w="1561"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报价</w:t>
            </w:r>
          </w:p>
        </w:tc>
        <w:tc>
          <w:tcPr>
            <w:tcW w:w="1492"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报价</w:t>
            </w:r>
          </w:p>
        </w:tc>
        <w:tc>
          <w:tcPr>
            <w:tcW w:w="2273"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报价×（1-</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w:t>
            </w:r>
          </w:p>
        </w:tc>
        <w:tc>
          <w:tcPr>
            <w:tcW w:w="2094" w:type="dxa"/>
            <w:noWrap w:val="0"/>
            <w:vAlign w:val="center"/>
          </w:tcPr>
          <w:p>
            <w:pPr>
              <w:spacing w:line="312" w:lineRule="auto"/>
              <w:ind w:firstLine="420" w:firstLineChars="20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报价×（1-</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w:t>
            </w:r>
          </w:p>
        </w:tc>
      </w:tr>
    </w:tbl>
    <w:p>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3.3.1</w:t>
      </w:r>
      <w:r>
        <w:rPr>
          <w:rFonts w:hint="eastAsia" w:ascii="宋体" w:hAnsi="宋体" w:eastAsia="宋体" w:cs="宋体"/>
          <w:bCs/>
          <w:color w:val="auto"/>
          <w:kern w:val="0"/>
          <w:szCs w:val="21"/>
          <w:highlight w:val="none"/>
          <w:lang w:val="zh-CN"/>
        </w:rPr>
        <w:t>根据《政府采购促进中小企业发展管理办法》（财库[20</w:t>
      </w: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rPr>
        <w:t>46</w:t>
      </w:r>
      <w:r>
        <w:rPr>
          <w:rFonts w:hint="eastAsia" w:ascii="宋体" w:hAnsi="宋体" w:eastAsia="宋体" w:cs="宋体"/>
          <w:bCs/>
          <w:color w:val="auto"/>
          <w:kern w:val="0"/>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zh-CN"/>
        </w:rPr>
        <w:t>11]300号）、河南省财政厅 河南省工业和信息化厅《关于政府采购促进小型微型企业发展的实施意见》（豫财购[</w:t>
      </w: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zh-CN"/>
        </w:rPr>
        <w:t>13]14号）文件规定，对小型和微型企业产品的价格给予</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%的扣除，用扣除后的价格参与评审。</w:t>
      </w:r>
    </w:p>
    <w:p>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%的价格扣除，但必须提供由省级以上监狱管理局、戒毒管理局（含新疆生产建设兵团）出具的属于监狱企业的证明文件，否则评审时不予价格扣除优惠。</w:t>
      </w:r>
    </w:p>
    <w:p>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3.3.3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pStyle w:val="21"/>
        <w:spacing w:line="312" w:lineRule="auto"/>
        <w:rPr>
          <w:rFonts w:hint="eastAsia" w:ascii="宋体" w:hAnsi="宋体" w:eastAsia="宋体" w:cs="宋体"/>
          <w:color w:val="auto"/>
          <w:highlight w:val="none"/>
        </w:rPr>
      </w:pPr>
      <w:bookmarkStart w:id="44" w:name="_Toc472337647"/>
      <w:bookmarkEnd w:id="44"/>
      <w:bookmarkStart w:id="45" w:name="_Toc472429292"/>
      <w:bookmarkEnd w:id="45"/>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投标有效期</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 在投标人须知前附表规定的投标有效期内，投标人不得要求撤销或修改其投标文件。</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出现特殊情况需要延长投标有效期的，采购人以书面形式通知所有投标人延长投标有效期。投标人同意延长的，不得要求或被允许修改或撤销其投标文件；投标人拒绝延长的，其投标失效。</w:t>
      </w:r>
    </w:p>
    <w:p>
      <w:pPr>
        <w:pStyle w:val="21"/>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投标保证金：无。</w:t>
      </w:r>
    </w:p>
    <w:p>
      <w:pPr>
        <w:pStyle w:val="21"/>
        <w:spacing w:line="312" w:lineRule="auto"/>
        <w:rPr>
          <w:rFonts w:hint="eastAsia" w:ascii="宋体" w:hAnsi="宋体" w:eastAsia="宋体" w:cs="宋体"/>
          <w:color w:val="auto"/>
          <w:highlight w:val="none"/>
        </w:rPr>
      </w:pPr>
      <w:bookmarkStart w:id="46" w:name="_Toc472429294"/>
      <w:bookmarkEnd w:id="46"/>
      <w:bookmarkStart w:id="47" w:name="_Toc472337649"/>
      <w:bookmarkEnd w:id="47"/>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资格审查资料  </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.1“投标人基本情况表”应附投标人营业执照副本等材料。</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按照“投标人须知前附表”1.4.1要求，提供其他相关材料。</w:t>
      </w:r>
    </w:p>
    <w:p>
      <w:pPr>
        <w:pStyle w:val="21"/>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备选投标方案</w:t>
      </w:r>
    </w:p>
    <w:p>
      <w:pPr>
        <w:spacing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递交备选投标方案，否则其投标将被否决。允许投标人递交备选投标方案的，只有中标人所递交的备选投标方案方可予以考虑。评标委员会认为中标人的备选投标方案优于其按照招标文件要求编制的投标方案的，采购人可以接受该备选投标方案。</w:t>
      </w:r>
    </w:p>
    <w:p>
      <w:pPr>
        <w:pStyle w:val="21"/>
        <w:spacing w:line="312" w:lineRule="auto"/>
        <w:rPr>
          <w:rFonts w:hint="eastAsia" w:ascii="宋体" w:hAnsi="宋体" w:eastAsia="宋体" w:cs="宋体"/>
          <w:color w:val="auto"/>
          <w:highlight w:val="none"/>
        </w:rPr>
      </w:pPr>
      <w:bookmarkStart w:id="48" w:name="_Toc472429295"/>
      <w:bookmarkEnd w:id="48"/>
      <w:bookmarkStart w:id="49" w:name="_Toc472337650"/>
      <w:bookmarkEnd w:id="49"/>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投标文件的编制</w:t>
      </w:r>
    </w:p>
    <w:p>
      <w:pPr>
        <w:spacing w:line="312" w:lineRule="auto"/>
        <w:ind w:firstLine="420" w:firstLineChars="200"/>
        <w:rPr>
          <w:rFonts w:hint="eastAsia" w:ascii="宋体" w:hAnsi="宋体" w:eastAsia="宋体" w:cs="宋体"/>
          <w:color w:val="auto"/>
          <w:szCs w:val="21"/>
          <w:highlight w:val="none"/>
        </w:rPr>
      </w:pPr>
      <w:bookmarkStart w:id="50" w:name="_Toc3460"/>
      <w:bookmarkStart w:id="51" w:name="_Toc516822640"/>
      <w:bookmarkStart w:id="52" w:name="_Toc2479"/>
      <w:bookmarkStart w:id="53" w:name="_Toc14215"/>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.1投标文件应按第六章“投标文件格式”进行编写，如有必要，可以增加附页，作为投标文件的组成部分。其中，投标附录在满足招标文件实质性要求的基础上，可以提出比招标文件要求更有利于采购人的承诺。</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投标文件应当对招标文件有关服务期限、投标有效期、采购内容作出响应。</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投标文件应使用信阳市公共资源交易系统投标文件制作专用工具软件编制，投标文件格式为“*.XYTF”。电子投标文件签字或盖章的具体要求见供应商须知前附表。招标文件费用网上支付，支付成功后，方可上传电子投标文件。（政府采购类项目不收取招标文件费用）。供应商须在投标文件递交截止时间前制作并提交。</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 投标文件份数见供应商须知前附表。</w:t>
      </w:r>
    </w:p>
    <w:bookmarkEnd w:id="50"/>
    <w:bookmarkEnd w:id="51"/>
    <w:bookmarkEnd w:id="52"/>
    <w:bookmarkEnd w:id="53"/>
    <w:p>
      <w:pPr>
        <w:pStyle w:val="7"/>
        <w:numPr>
          <w:ilvl w:val="0"/>
          <w:numId w:val="0"/>
        </w:numPr>
        <w:spacing w:line="312" w:lineRule="auto"/>
        <w:ind w:right="210"/>
        <w:rPr>
          <w:rFonts w:hint="eastAsia" w:ascii="宋体" w:hAnsi="宋体" w:eastAsia="宋体" w:cs="宋体"/>
          <w:b/>
          <w:bCs/>
          <w:color w:val="auto"/>
          <w:highlight w:val="none"/>
        </w:rPr>
      </w:pPr>
      <w:r>
        <w:rPr>
          <w:rFonts w:hint="eastAsia" w:ascii="宋体" w:hAnsi="宋体" w:eastAsia="宋体" w:cs="宋体"/>
          <w:b/>
          <w:bCs/>
          <w:color w:val="auto"/>
          <w:highlight w:val="none"/>
        </w:rPr>
        <w:t>4. 投标</w:t>
      </w:r>
    </w:p>
    <w:p>
      <w:pPr>
        <w:pStyle w:val="21"/>
        <w:spacing w:line="312" w:lineRule="auto"/>
        <w:rPr>
          <w:rFonts w:hint="eastAsia" w:ascii="宋体" w:hAnsi="宋体" w:eastAsia="宋体" w:cs="宋体"/>
          <w:color w:val="auto"/>
          <w:highlight w:val="none"/>
        </w:rPr>
      </w:pPr>
      <w:bookmarkStart w:id="54" w:name="_Toc472337652"/>
      <w:bookmarkEnd w:id="54"/>
      <w:bookmarkStart w:id="55" w:name="_Toc472429297"/>
      <w:bookmarkEnd w:id="55"/>
      <w:bookmarkStart w:id="56" w:name="_Toc472337658"/>
      <w:bookmarkStart w:id="57" w:name="_Toc472429303"/>
      <w:r>
        <w:rPr>
          <w:rFonts w:hint="eastAsia" w:ascii="宋体" w:hAnsi="宋体" w:eastAsia="宋体" w:cs="宋体"/>
          <w:color w:val="auto"/>
          <w:highlight w:val="none"/>
        </w:rPr>
        <w:t>4.1  投标文件的密封和标识</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4.1.1 网上上传的电子投标文件应使用投标人数字证书认证并加密。</w:t>
      </w:r>
    </w:p>
    <w:p>
      <w:pPr>
        <w:pStyle w:val="21"/>
        <w:spacing w:line="312" w:lineRule="auto"/>
        <w:rPr>
          <w:rFonts w:hint="eastAsia" w:ascii="宋体" w:hAnsi="宋体" w:eastAsia="宋体" w:cs="宋体"/>
          <w:color w:val="auto"/>
          <w:highlight w:val="none"/>
        </w:rPr>
      </w:pPr>
      <w:bookmarkStart w:id="58" w:name="_Toc472429298"/>
      <w:bookmarkEnd w:id="58"/>
      <w:bookmarkStart w:id="59" w:name="_Toc472337653"/>
      <w:bookmarkEnd w:id="59"/>
      <w:r>
        <w:rPr>
          <w:rFonts w:hint="eastAsia" w:ascii="宋体" w:hAnsi="宋体" w:eastAsia="宋体" w:cs="宋体"/>
          <w:color w:val="auto"/>
          <w:highlight w:val="none"/>
        </w:rPr>
        <w:t>4.2  投标文件的递交</w:t>
      </w:r>
    </w:p>
    <w:p>
      <w:pPr>
        <w:pStyle w:val="5"/>
        <w:spacing w:after="0" w:line="312" w:lineRule="auto"/>
        <w:ind w:firstLineChars="200"/>
        <w:rPr>
          <w:rFonts w:hint="eastAsia" w:ascii="宋体" w:hAnsi="宋体" w:eastAsia="宋体" w:cs="宋体"/>
          <w:color w:val="auto"/>
          <w:highlight w:val="none"/>
        </w:rPr>
      </w:pPr>
      <w:bookmarkStart w:id="60" w:name="_Toc472337654"/>
      <w:bookmarkStart w:id="61" w:name="_Toc472429299"/>
      <w:r>
        <w:rPr>
          <w:rFonts w:hint="eastAsia" w:ascii="宋体" w:hAnsi="宋体" w:eastAsia="宋体" w:cs="宋体"/>
          <w:color w:val="auto"/>
          <w:highlight w:val="none"/>
        </w:rPr>
        <w:t>4.2.1电子投标文件的递交</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bookmarkEnd w:id="60"/>
    <w:bookmarkEnd w:id="61"/>
    <w:p>
      <w:pPr>
        <w:pStyle w:val="21"/>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4.3.1 在第一章“招标公告”规定的投标截止时间前，投标人可以多次修改或撤回已递交的投标文件，最终投标文件以投标截止时间前完成上传至信阳市公共资源交易中心交易系统最后一份投标文件为准。</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4.3.2修改的投标文件应按照本章第3.7条、第4.2条规定进行编制和递交。</w:t>
      </w:r>
    </w:p>
    <w:p>
      <w:pPr>
        <w:pStyle w:val="7"/>
        <w:numPr>
          <w:ilvl w:val="0"/>
          <w:numId w:val="0"/>
        </w:numPr>
        <w:snapToGrid w:val="0"/>
        <w:spacing w:before="156" w:beforeLines="50" w:after="0" w:line="312" w:lineRule="auto"/>
        <w:ind w:right="21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开标</w:t>
      </w:r>
    </w:p>
    <w:p>
      <w:pPr>
        <w:spacing w:line="312"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 开标时间和地点</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 采购人在本章规定的投标截止时间（开标时间）和投标人须知前附表规定的地点开标。</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5.1.2 本项目采用“不见面开标”交易方式，不见面开标大厅网址为</w:t>
      </w:r>
      <w:r>
        <w:rPr>
          <w:rFonts w:hint="eastAsia" w:ascii="宋体" w:hAnsi="宋体" w:eastAsia="宋体" w:cs="宋体"/>
          <w:b/>
          <w:bCs/>
          <w:color w:val="auto"/>
          <w:szCs w:val="21"/>
          <w:highlight w:val="none"/>
          <w:u w:val="none"/>
        </w:rPr>
        <w:t>https://ggzyjy.xinyang.gov.cn/BidOpening/bidhall/xinyang/login.html，投标人无需寄送和递交非加密的电子投标文件，无需到现场参加开标会议，无需到达现场提交原件资料。</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投标人应当在投标截止时间前，使用投标人CA数字证书登录不见面开标大厅，在线签到并准时参加开标活动，并在规定时间内完成投标文件解密、答疑澄清等。</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在解密开始后10分钟内完成解密（当投标人过多时，解密时间可以适当延长）。在投标文件解密过程中，因投标人原因（如投标人准备不到位、电脑网络问题等），造成无法及时解密的，将被退回投标文件。</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不见面开标服务的具体事宜，请查阅信阳市公共资源交易中心网站首页—下载中心—信阳市不见面开标大厅系统操作手册。</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开标过程中，投标人如有异议，须在开标结束前通过系统提出，否则视同认可开标记录。开标结束后，对开标记录的任何异议不再接受。</w:t>
      </w:r>
    </w:p>
    <w:bookmarkEnd w:id="56"/>
    <w:bookmarkEnd w:id="57"/>
    <w:p>
      <w:pPr>
        <w:pStyle w:val="7"/>
        <w:numPr>
          <w:ilvl w:val="0"/>
          <w:numId w:val="0"/>
        </w:numPr>
        <w:spacing w:line="312" w:lineRule="auto"/>
        <w:ind w:right="210"/>
        <w:rPr>
          <w:rFonts w:hint="eastAsia" w:ascii="宋体" w:hAnsi="宋体" w:eastAsia="宋体" w:cs="宋体"/>
          <w:b/>
          <w:bCs/>
          <w:color w:val="auto"/>
          <w:highlight w:val="none"/>
        </w:rPr>
      </w:pPr>
      <w:r>
        <w:rPr>
          <w:rFonts w:hint="eastAsia" w:ascii="宋体" w:hAnsi="宋体" w:eastAsia="宋体" w:cs="宋体"/>
          <w:b/>
          <w:bCs/>
          <w:color w:val="auto"/>
          <w:highlight w:val="none"/>
        </w:rPr>
        <w:t>6. 评标</w:t>
      </w:r>
    </w:p>
    <w:p>
      <w:pPr>
        <w:pStyle w:val="21"/>
        <w:spacing w:line="312" w:lineRule="auto"/>
        <w:rPr>
          <w:rFonts w:hint="eastAsia" w:ascii="宋体" w:hAnsi="宋体" w:eastAsia="宋体" w:cs="宋体"/>
          <w:color w:val="auto"/>
          <w:highlight w:val="none"/>
        </w:rPr>
      </w:pPr>
      <w:bookmarkStart w:id="62" w:name="_Toc472429304"/>
      <w:bookmarkEnd w:id="62"/>
      <w:bookmarkStart w:id="63" w:name="_Toc472337659"/>
      <w:bookmarkEnd w:id="63"/>
      <w:r>
        <w:rPr>
          <w:rFonts w:hint="eastAsia" w:ascii="宋体" w:hAnsi="宋体" w:eastAsia="宋体" w:cs="宋体"/>
          <w:color w:val="auto"/>
          <w:highlight w:val="none"/>
        </w:rPr>
        <w:t>6.1  评标委员会</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6.l.1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6.l.2  评标委员会成员有下列情形之一的，应当回避：</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采购人或投标人的主要负责人的近亲属；</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项目主管部门或者行政监督部门的人员；</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与投标人有经济利益关系，可能影响对投标公正评审的；</w:t>
      </w:r>
    </w:p>
    <w:p>
      <w:pPr>
        <w:spacing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曾因在招标、评标以及其他与招标投标有关活动中从事违法行为而受过行政处罚或刑事处罚的；</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pPr>
        <w:pStyle w:val="21"/>
        <w:spacing w:line="312" w:lineRule="auto"/>
        <w:rPr>
          <w:rFonts w:hint="eastAsia" w:ascii="宋体" w:hAnsi="宋体" w:eastAsia="宋体" w:cs="宋体"/>
          <w:color w:val="auto"/>
          <w:highlight w:val="none"/>
        </w:rPr>
      </w:pPr>
      <w:bookmarkStart w:id="64" w:name="_Toc472337660"/>
      <w:bookmarkEnd w:id="64"/>
      <w:bookmarkStart w:id="65" w:name="_Toc472429305"/>
      <w:bookmarkEnd w:id="65"/>
      <w:r>
        <w:rPr>
          <w:rFonts w:hint="eastAsia" w:ascii="宋体" w:hAnsi="宋体" w:eastAsia="宋体" w:cs="宋体"/>
          <w:color w:val="auto"/>
          <w:highlight w:val="none"/>
        </w:rPr>
        <w:t>6.2  评标原则</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评标活动遵循公平、公正、科学和择优的原则。</w:t>
      </w:r>
    </w:p>
    <w:p>
      <w:pPr>
        <w:pStyle w:val="21"/>
        <w:spacing w:line="312" w:lineRule="auto"/>
        <w:rPr>
          <w:rFonts w:hint="eastAsia" w:ascii="宋体" w:hAnsi="宋体" w:eastAsia="宋体" w:cs="宋体"/>
          <w:color w:val="auto"/>
          <w:highlight w:val="none"/>
        </w:rPr>
      </w:pPr>
      <w:bookmarkStart w:id="66" w:name="_Toc472429306"/>
      <w:bookmarkEnd w:id="66"/>
      <w:bookmarkStart w:id="67" w:name="_Toc472337661"/>
      <w:bookmarkEnd w:id="67"/>
      <w:r>
        <w:rPr>
          <w:rFonts w:hint="eastAsia" w:ascii="宋体" w:hAnsi="宋体" w:eastAsia="宋体" w:cs="宋体"/>
          <w:color w:val="auto"/>
          <w:highlight w:val="none"/>
        </w:rPr>
        <w:t>6.3  评标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评标委员会按照第三章“评标办法”规定的方法、评审因素、标准和程序对投标文件进行评审。第三章“评标办法”没有规定的方法、评审因素和标准，不作为评标依据。</w:t>
      </w:r>
    </w:p>
    <w:p>
      <w:pPr>
        <w:pStyle w:val="7"/>
        <w:numPr>
          <w:ilvl w:val="0"/>
          <w:numId w:val="0"/>
        </w:numPr>
        <w:spacing w:line="312" w:lineRule="auto"/>
        <w:ind w:right="210"/>
        <w:rPr>
          <w:rFonts w:hint="eastAsia" w:ascii="宋体" w:hAnsi="宋体" w:eastAsia="宋体" w:cs="宋体"/>
          <w:b/>
          <w:bCs/>
          <w:color w:val="auto"/>
          <w:highlight w:val="none"/>
        </w:rPr>
      </w:pPr>
      <w:bookmarkStart w:id="68" w:name="_Toc472429307"/>
      <w:bookmarkEnd w:id="68"/>
      <w:bookmarkStart w:id="69" w:name="_Toc472337662"/>
      <w:bookmarkEnd w:id="69"/>
      <w:r>
        <w:rPr>
          <w:rFonts w:hint="eastAsia" w:ascii="宋体" w:hAnsi="宋体" w:eastAsia="宋体" w:cs="宋体"/>
          <w:b/>
          <w:bCs/>
          <w:color w:val="auto"/>
          <w:highlight w:val="none"/>
        </w:rPr>
        <w:t>7. 合同授予</w:t>
      </w:r>
    </w:p>
    <w:p>
      <w:pPr>
        <w:pStyle w:val="21"/>
        <w:spacing w:line="312" w:lineRule="auto"/>
        <w:rPr>
          <w:rFonts w:hint="eastAsia" w:ascii="宋体" w:hAnsi="宋体" w:eastAsia="宋体" w:cs="宋体"/>
          <w:color w:val="auto"/>
          <w:highlight w:val="none"/>
        </w:rPr>
      </w:pPr>
      <w:bookmarkStart w:id="70" w:name="_Toc472337663"/>
      <w:bookmarkEnd w:id="70"/>
      <w:bookmarkStart w:id="71" w:name="_Toc472429308"/>
      <w:bookmarkEnd w:id="71"/>
      <w:r>
        <w:rPr>
          <w:rFonts w:hint="eastAsia" w:ascii="宋体" w:hAnsi="宋体" w:eastAsia="宋体" w:cs="宋体"/>
          <w:color w:val="auto"/>
          <w:highlight w:val="none"/>
        </w:rPr>
        <w:t>7.1  定标方式</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除投标人须知前附表规定评标委员会直接确定中标人外，采购人依据评标委员会推荐的中标候选人确定中标人，评标委员会推荐中标候选人的人数见投标人须知前附表。</w:t>
      </w:r>
    </w:p>
    <w:p>
      <w:pPr>
        <w:pStyle w:val="21"/>
        <w:spacing w:line="312" w:lineRule="auto"/>
        <w:rPr>
          <w:rFonts w:hint="eastAsia" w:ascii="宋体" w:hAnsi="宋体" w:eastAsia="宋体" w:cs="宋体"/>
          <w:color w:val="auto"/>
          <w:highlight w:val="none"/>
        </w:rPr>
      </w:pPr>
      <w:bookmarkStart w:id="72" w:name="_Toc472429309"/>
      <w:bookmarkEnd w:id="72"/>
      <w:bookmarkStart w:id="73" w:name="_Toc472337664"/>
      <w:bookmarkEnd w:id="73"/>
      <w:r>
        <w:rPr>
          <w:rFonts w:hint="eastAsia" w:ascii="宋体" w:hAnsi="宋体" w:eastAsia="宋体" w:cs="宋体"/>
          <w:color w:val="auto"/>
          <w:highlight w:val="none"/>
        </w:rPr>
        <w:t>7.2  中标通知</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在本章第3.3款规定的投标有效期内，采购人以书面形式向中标人发出中标通知书，同时将中标结果通知未中标的投标人。</w:t>
      </w:r>
    </w:p>
    <w:p>
      <w:pPr>
        <w:pStyle w:val="21"/>
        <w:spacing w:line="312" w:lineRule="auto"/>
        <w:rPr>
          <w:rFonts w:hint="eastAsia" w:ascii="宋体" w:hAnsi="宋体" w:eastAsia="宋体" w:cs="宋体"/>
          <w:color w:val="auto"/>
          <w:highlight w:val="none"/>
        </w:rPr>
      </w:pPr>
      <w:bookmarkStart w:id="74" w:name="_Toc472429310"/>
      <w:bookmarkEnd w:id="74"/>
      <w:bookmarkStart w:id="75" w:name="_Toc472337665"/>
      <w:bookmarkEnd w:id="75"/>
      <w:r>
        <w:rPr>
          <w:rFonts w:hint="eastAsia" w:ascii="宋体" w:hAnsi="宋体" w:eastAsia="宋体" w:cs="宋体"/>
          <w:color w:val="auto"/>
          <w:highlight w:val="none"/>
        </w:rPr>
        <w:t xml:space="preserve">7.3  </w:t>
      </w:r>
      <w:r>
        <w:rPr>
          <w:rFonts w:hint="eastAsia" w:ascii="宋体" w:hAnsi="宋体" w:eastAsia="宋体" w:cs="宋体"/>
          <w:color w:val="auto"/>
          <w:kern w:val="0"/>
          <w:szCs w:val="21"/>
          <w:highlight w:val="none"/>
        </w:rPr>
        <w:t>履约担保</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无</w:t>
      </w:r>
      <w:r>
        <w:rPr>
          <w:rFonts w:hint="eastAsia" w:ascii="宋体" w:hAnsi="宋体" w:eastAsia="宋体" w:cs="宋体"/>
          <w:color w:val="auto"/>
          <w:highlight w:val="none"/>
        </w:rPr>
        <w:t>。</w:t>
      </w:r>
    </w:p>
    <w:p>
      <w:pPr>
        <w:pStyle w:val="21"/>
        <w:spacing w:line="312" w:lineRule="auto"/>
        <w:rPr>
          <w:rFonts w:hint="eastAsia" w:ascii="宋体" w:hAnsi="宋体" w:eastAsia="宋体" w:cs="宋体"/>
          <w:color w:val="auto"/>
          <w:highlight w:val="none"/>
        </w:rPr>
      </w:pPr>
      <w:bookmarkStart w:id="76" w:name="_Toc472337666"/>
      <w:bookmarkEnd w:id="76"/>
      <w:bookmarkStart w:id="77" w:name="_Toc472429311"/>
      <w:bookmarkEnd w:id="77"/>
      <w:r>
        <w:rPr>
          <w:rFonts w:hint="eastAsia" w:ascii="宋体" w:hAnsi="宋体" w:eastAsia="宋体" w:cs="宋体"/>
          <w:color w:val="auto"/>
          <w:highlight w:val="none"/>
        </w:rPr>
        <w:t>7.4  签订合同</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7.4.1 采购人和中标人应当自中标通知书发出之日起</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天内，根据招标文件和中标人的投标文件订立书面合同。中标人无正当理由拒签合同的，采购人取消其中标资格。</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7.4.2 发出中标通知书后，采购人无正当理由拒签合同的，给中标人造成损失的，应当赔偿损失。</w:t>
      </w:r>
    </w:p>
    <w:p>
      <w:pPr>
        <w:pStyle w:val="7"/>
        <w:numPr>
          <w:ilvl w:val="0"/>
          <w:numId w:val="0"/>
        </w:numPr>
        <w:spacing w:line="312" w:lineRule="auto"/>
        <w:ind w:right="210"/>
        <w:rPr>
          <w:rFonts w:hint="eastAsia" w:ascii="宋体" w:hAnsi="宋体" w:eastAsia="宋体" w:cs="宋体"/>
          <w:b/>
          <w:bCs/>
          <w:color w:val="auto"/>
          <w:highlight w:val="none"/>
        </w:rPr>
      </w:pPr>
      <w:bookmarkStart w:id="78" w:name="_Toc15038"/>
      <w:r>
        <w:rPr>
          <w:rFonts w:hint="eastAsia" w:ascii="宋体" w:hAnsi="宋体" w:eastAsia="宋体" w:cs="宋体"/>
          <w:b/>
          <w:bCs/>
          <w:color w:val="auto"/>
          <w:highlight w:val="none"/>
        </w:rPr>
        <w:t>8.重新招标和不再招标</w:t>
      </w:r>
      <w:bookmarkEnd w:id="78"/>
    </w:p>
    <w:p>
      <w:pPr>
        <w:spacing w:line="312" w:lineRule="auto"/>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8.1重新招标 </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有下列情形之一的，采购人将重新招标：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（2）通过资格审查的投标人不足三家的；</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（3）经评标委员会评审后否决所有投标的。</w:t>
      </w: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8.2不再招标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废标后，除采购任务取消情形外，应当重新组织招标；需要采取其他方式采购的，应当在采购活动开始前获得设区的市、自治州以上人民政府采购监督管理部门或者政府有关部门批准。</w:t>
      </w:r>
    </w:p>
    <w:p>
      <w:pPr>
        <w:pStyle w:val="7"/>
        <w:numPr>
          <w:ilvl w:val="0"/>
          <w:numId w:val="0"/>
        </w:numPr>
        <w:spacing w:line="312" w:lineRule="auto"/>
        <w:ind w:right="210"/>
        <w:rPr>
          <w:rFonts w:hint="eastAsia" w:ascii="宋体" w:hAnsi="宋体" w:eastAsia="宋体" w:cs="宋体"/>
          <w:b/>
          <w:bCs/>
          <w:color w:val="auto"/>
          <w:highlight w:val="none"/>
        </w:rPr>
      </w:pPr>
      <w:bookmarkStart w:id="79" w:name="_Toc278027740"/>
      <w:bookmarkStart w:id="80" w:name="_Toc31870"/>
      <w:r>
        <w:rPr>
          <w:rFonts w:hint="eastAsia" w:ascii="宋体" w:hAnsi="宋体" w:eastAsia="宋体" w:cs="宋体"/>
          <w:b/>
          <w:bCs/>
          <w:color w:val="auto"/>
          <w:highlight w:val="none"/>
        </w:rPr>
        <w:t>9.纪律和监督</w:t>
      </w:r>
      <w:bookmarkEnd w:id="79"/>
      <w:bookmarkEnd w:id="80"/>
    </w:p>
    <w:p>
      <w:pPr>
        <w:widowControl/>
        <w:spacing w:line="312"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9.1对采购人的纪律要求</w:t>
      </w:r>
    </w:p>
    <w:p>
      <w:pPr>
        <w:widowControl/>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采购人不得</w:t>
      </w:r>
      <w:r>
        <w:rPr>
          <w:rFonts w:hint="eastAsia" w:ascii="宋体" w:hAnsi="宋体" w:eastAsia="宋体" w:cs="宋体"/>
          <w:bCs/>
          <w:color w:val="auto"/>
          <w:szCs w:val="21"/>
          <w:highlight w:val="none"/>
          <w:lang w:eastAsia="zh-CN"/>
        </w:rPr>
        <w:t>泄露</w:t>
      </w:r>
      <w:r>
        <w:rPr>
          <w:rFonts w:hint="eastAsia" w:ascii="宋体" w:hAnsi="宋体" w:eastAsia="宋体" w:cs="宋体"/>
          <w:bCs/>
          <w:color w:val="auto"/>
          <w:szCs w:val="21"/>
          <w:highlight w:val="none"/>
        </w:rPr>
        <w:t>招标投标活动中应当保密的情况和资料，不得与投标人串通损害国家利益、社会公共利益或者他人合法权益。</w:t>
      </w:r>
    </w:p>
    <w:p>
      <w:pPr>
        <w:widowControl/>
        <w:spacing w:line="312"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9.2对投标人的纪律要求</w:t>
      </w:r>
    </w:p>
    <w:p>
      <w:pPr>
        <w:widowControl/>
        <w:spacing w:line="312" w:lineRule="auto"/>
        <w:ind w:firstLine="420" w:firstLineChars="200"/>
        <w:jc w:val="left"/>
        <w:rPr>
          <w:rFonts w:hint="eastAsia" w:ascii="宋体" w:hAnsi="宋体" w:eastAsia="宋体" w:cs="宋体"/>
          <w:bCs/>
          <w:color w:val="auto"/>
          <w:spacing w:val="-3"/>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pacing w:val="-3"/>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widowControl/>
        <w:spacing w:line="312"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9.3对评标委员会成员的纪律要求</w:t>
      </w:r>
    </w:p>
    <w:p>
      <w:pPr>
        <w:widowControl/>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pacing w:line="312"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9.4对与评标活动有关的工作人员的纪律要求</w:t>
      </w:r>
    </w:p>
    <w:p>
      <w:pPr>
        <w:widowControl/>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spacing w:line="312" w:lineRule="auto"/>
        <w:ind w:firstLine="422" w:firstLineChars="200"/>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9.5投诉、质疑</w:t>
      </w:r>
      <w:r>
        <w:rPr>
          <w:rFonts w:hint="eastAsia" w:ascii="宋体" w:hAnsi="宋体" w:eastAsia="宋体" w:cs="宋体"/>
          <w:bCs/>
          <w:color w:val="auto"/>
          <w:szCs w:val="21"/>
          <w:highlight w:val="none"/>
        </w:rPr>
        <w:t xml:space="preserve">  </w:t>
      </w:r>
    </w:p>
    <w:p>
      <w:pPr>
        <w:widowControl/>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投标人和其他利害关系人认为本次招标活动违反法律、法规和规章规定的，有权向有关行政监督部门投诉。</w:t>
      </w:r>
    </w:p>
    <w:p>
      <w:pPr>
        <w:widowControl/>
        <w:spacing w:line="312"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bookmarkStart w:id="81" w:name="_Toc472337676"/>
      <w:bookmarkEnd w:id="81"/>
      <w:bookmarkStart w:id="82" w:name="_Toc472429321"/>
      <w:bookmarkEnd w:id="82"/>
    </w:p>
    <w:p>
      <w:pPr>
        <w:pStyle w:val="7"/>
        <w:numPr>
          <w:ilvl w:val="0"/>
          <w:numId w:val="0"/>
        </w:numPr>
        <w:spacing w:line="312" w:lineRule="auto"/>
        <w:ind w:right="210"/>
        <w:rPr>
          <w:rFonts w:hint="eastAsia" w:ascii="宋体" w:hAnsi="宋体" w:eastAsia="宋体" w:cs="宋体"/>
          <w:b/>
          <w:bCs/>
          <w:color w:val="auto"/>
          <w:highlight w:val="none"/>
        </w:rPr>
      </w:pPr>
      <w:r>
        <w:rPr>
          <w:rFonts w:hint="eastAsia" w:ascii="宋体" w:hAnsi="宋体" w:eastAsia="宋体" w:cs="宋体"/>
          <w:b/>
          <w:bCs/>
          <w:color w:val="auto"/>
          <w:highlight w:val="none"/>
        </w:rPr>
        <w:t>10．需要补充的其他内容</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见供应商须知前附表。</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10.2最高投标限价：见供应商须知前附表。</w:t>
      </w:r>
    </w:p>
    <w:p>
      <w:pPr>
        <w:spacing w:line="312"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10.3付款方式：见供应商须知前附表。</w:t>
      </w:r>
    </w:p>
    <w:p>
      <w:pPr>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第三章  评标办法</w:t>
      </w:r>
    </w:p>
    <w:p>
      <w:pPr>
        <w:pStyle w:val="7"/>
        <w:numPr>
          <w:ilvl w:val="0"/>
          <w:numId w:val="0"/>
        </w:numPr>
        <w:spacing w:line="312" w:lineRule="auto"/>
        <w:ind w:right="210"/>
        <w:jc w:val="center"/>
        <w:rPr>
          <w:rFonts w:hint="eastAsia" w:ascii="宋体" w:hAnsi="宋体" w:eastAsia="宋体" w:cs="宋体"/>
          <w:color w:val="auto"/>
          <w:highlight w:val="none"/>
        </w:rPr>
      </w:pPr>
      <w:bookmarkStart w:id="83" w:name="_Toc472429323"/>
      <w:bookmarkEnd w:id="83"/>
      <w:bookmarkStart w:id="84" w:name="_Toc472337678"/>
      <w:bookmarkEnd w:id="84"/>
      <w:r>
        <w:rPr>
          <w:rFonts w:hint="eastAsia" w:ascii="宋体" w:hAnsi="宋体" w:eastAsia="宋体" w:cs="宋体"/>
          <w:color w:val="auto"/>
          <w:sz w:val="30"/>
          <w:szCs w:val="30"/>
          <w:highlight w:val="none"/>
        </w:rPr>
        <w:t>评标办法前附表（综合评估法）</w:t>
      </w:r>
    </w:p>
    <w:tbl>
      <w:tblPr>
        <w:tblStyle w:val="29"/>
        <w:tblW w:w="9668" w:type="dxa"/>
        <w:tblInd w:w="-474"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108" w:type="dxa"/>
          <w:bottom w:w="0" w:type="dxa"/>
          <w:right w:w="108" w:type="dxa"/>
        </w:tblCellMar>
      </w:tblPr>
      <w:tblGrid>
        <w:gridCol w:w="832"/>
        <w:gridCol w:w="327"/>
        <w:gridCol w:w="766"/>
        <w:gridCol w:w="1338"/>
        <w:gridCol w:w="201"/>
        <w:gridCol w:w="6204"/>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566" w:hRule="atLeast"/>
        </w:trPr>
        <w:tc>
          <w:tcPr>
            <w:tcW w:w="115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1005" w:hRule="atLeast"/>
        </w:trPr>
        <w:tc>
          <w:tcPr>
            <w:tcW w:w="1159"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符合《中华人民共和国政府采购法》第二十二条规定</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1005"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落实政府采购政策满足的资格要求</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bookmarkStart w:id="85" w:name="OLE_LINK11" w:colFirst="1" w:colLast="2"/>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bookmarkEnd w:id="85"/>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92" w:hRule="atLeast"/>
        </w:trPr>
        <w:tc>
          <w:tcPr>
            <w:tcW w:w="1159"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符合性评审标准</w:t>
            </w: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与营业执照名称一致</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762"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投标函签字盖章</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符合第六章“投标文件格式”的投标函签字盖章规定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89"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符合第六章“投标文件格式”的规定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62"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35"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739"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750"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建设家庭养老床位的质保维护期</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35"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678" w:hRule="atLeast"/>
        </w:trPr>
        <w:tc>
          <w:tcPr>
            <w:tcW w:w="1159"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低于（含等于）招标控制价（预算价）</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813" w:hRule="atLeast"/>
        </w:trPr>
        <w:tc>
          <w:tcPr>
            <w:tcW w:w="115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30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2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1127" w:hRule="atLeast"/>
        </w:trPr>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43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综合部分：</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571" w:hRule="atLeast"/>
        </w:trPr>
        <w:tc>
          <w:tcPr>
            <w:tcW w:w="8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2.2.2（1）</w:t>
            </w:r>
          </w:p>
        </w:tc>
        <w:tc>
          <w:tcPr>
            <w:tcW w:w="10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价格分统一采用低价优先法计算，即满足招标文件要求且投标价格</w:t>
            </w:r>
            <w:r>
              <w:rPr>
                <w:rFonts w:hint="eastAsia"/>
                <w:color w:val="auto"/>
                <w:highlight w:val="none"/>
                <w:lang w:eastAsia="zh-CN"/>
              </w:rPr>
              <w:t>（</w:t>
            </w:r>
            <w:r>
              <w:rPr>
                <w:rFonts w:hint="eastAsia" w:ascii="宋体" w:hAnsi="宋体" w:cs="宋体"/>
                <w:color w:val="auto"/>
                <w:szCs w:val="21"/>
                <w:highlight w:val="none"/>
              </w:rPr>
              <w:t>以投标人</w:t>
            </w:r>
            <w:r>
              <w:rPr>
                <w:rFonts w:hint="eastAsia" w:ascii="宋体" w:hAnsi="宋体" w:cs="宋体"/>
                <w:color w:val="auto"/>
                <w:szCs w:val="21"/>
                <w:highlight w:val="none"/>
                <w:lang w:val="en-US" w:eastAsia="zh-CN"/>
              </w:rPr>
              <w:t>平均</w:t>
            </w:r>
            <w:r>
              <w:rPr>
                <w:rFonts w:hint="eastAsia" w:ascii="宋体" w:hAnsi="宋体" w:cs="宋体"/>
                <w:color w:val="auto"/>
                <w:szCs w:val="21"/>
                <w:highlight w:val="none"/>
              </w:rPr>
              <w:t>折扣率报价的百分比具体数值为准</w:t>
            </w:r>
            <w:r>
              <w:rPr>
                <w:rFonts w:hint="eastAsia"/>
                <w:color w:val="auto"/>
                <w:highlight w:val="none"/>
                <w:lang w:eastAsia="zh-CN"/>
              </w:rPr>
              <w:t>）</w:t>
            </w:r>
            <w:r>
              <w:rPr>
                <w:rFonts w:hint="eastAsia"/>
                <w:color w:val="auto"/>
                <w:highlight w:val="none"/>
              </w:rPr>
              <w:t>最低的投标报价为评标基准价，其价格分满分</w:t>
            </w:r>
            <w:r>
              <w:rPr>
                <w:rFonts w:hint="eastAsia"/>
                <w:color w:val="auto"/>
                <w:highlight w:val="none"/>
                <w:lang w:val="en-US" w:eastAsia="zh-CN"/>
              </w:rPr>
              <w:t>1</w:t>
            </w:r>
            <w:r>
              <w:rPr>
                <w:rFonts w:hint="eastAsia"/>
                <w:color w:val="auto"/>
                <w:highlight w:val="none"/>
              </w:rPr>
              <w:t>0分。其他</w:t>
            </w:r>
            <w:r>
              <w:rPr>
                <w:rFonts w:hint="eastAsia"/>
                <w:color w:val="auto"/>
                <w:highlight w:val="none"/>
                <w:lang w:val="en-US" w:eastAsia="zh-CN"/>
              </w:rPr>
              <w:t>投标人</w:t>
            </w:r>
            <w:r>
              <w:rPr>
                <w:rFonts w:hint="eastAsia"/>
                <w:color w:val="auto"/>
                <w:highlight w:val="none"/>
              </w:rPr>
              <w:t>的价格分统一按照下列公式计算：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投标报价得分=（评标基准价/投标报价）×</w:t>
            </w:r>
            <w:r>
              <w:rPr>
                <w:rFonts w:hint="eastAsia"/>
                <w:color w:val="auto"/>
                <w:highlight w:val="none"/>
                <w:lang w:val="en-US" w:eastAsia="zh-CN"/>
              </w:rPr>
              <w:t>1</w:t>
            </w:r>
            <w:r>
              <w:rPr>
                <w:rFonts w:hint="eastAsia"/>
                <w:color w:val="auto"/>
                <w:highlight w:val="none"/>
              </w:rPr>
              <w:t>0</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color w:val="auto"/>
                <w:highlight w:val="none"/>
                <w:lang w:eastAsia="zh-CN"/>
              </w:rPr>
            </w:pPr>
            <w:r>
              <w:rPr>
                <w:rFonts w:hint="eastAsia"/>
                <w:color w:val="auto"/>
                <w:highlight w:val="none"/>
              </w:rPr>
              <w:t>注：1.价格分计算保留小数点后二位；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eastAsia="zh-CN"/>
              </w:rPr>
            </w:pPr>
            <w:r>
              <w:rPr>
                <w:rFonts w:hint="eastAsia"/>
                <w:color w:val="auto"/>
                <w:highlight w:val="none"/>
                <w:lang w:val="en-US" w:eastAsia="zh-CN"/>
              </w:rPr>
              <w:t>2.</w:t>
            </w:r>
            <w:r>
              <w:rPr>
                <w:rFonts w:hint="eastAsia" w:eastAsia="宋体"/>
                <w:color w:val="auto"/>
                <w:highlight w:val="none"/>
                <w:lang w:val="en-US" w:eastAsia="zh-CN"/>
              </w:rPr>
              <w:t>评标委员会认为投标人的报价明显低于其他通过符合性审查投标人的报价（比控制价低 30%），有可能影响产品质量或者不能诚信履约的，应当要求其在评标现场合理的时间内提供书面说明，必要时提交相关证明材料；投标人不能证明其报价合理性的，评标委员会应当将其作为无效投标处理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3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2.2.2（2）</w:t>
            </w:r>
          </w:p>
        </w:tc>
        <w:tc>
          <w:tcPr>
            <w:tcW w:w="1093"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分）</w:t>
            </w: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技术参数和服务内容</w:t>
            </w:r>
            <w:r>
              <w:rPr>
                <w:rFonts w:hint="eastAsia" w:ascii="Times New Roman" w:hAnsi="Times New Roman" w:eastAsia="宋体" w:cs="Times New Roman"/>
                <w:color w:val="auto"/>
                <w:sz w:val="21"/>
                <w:highlight w:val="none"/>
                <w:lang w:val="en-US" w:eastAsia="zh-CN"/>
              </w:rPr>
              <w:t>响应情</w:t>
            </w:r>
            <w:r>
              <w:rPr>
                <w:rFonts w:hint="eastAsia" w:ascii="宋体" w:hAnsi="宋体" w:eastAsia="宋体" w:cs="宋体"/>
                <w:color w:val="auto"/>
                <w:kern w:val="2"/>
                <w:sz w:val="21"/>
                <w:szCs w:val="21"/>
                <w:highlight w:val="none"/>
                <w:lang w:val="en-US" w:eastAsia="zh-CN" w:bidi="ar-SA"/>
              </w:rPr>
              <w:t>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en-US" w:eastAsia="zh-CN" w:bidi="ar-SA"/>
              </w:rPr>
              <w:t>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完全满足</w:t>
            </w:r>
            <w:r>
              <w:rPr>
                <w:rFonts w:hint="eastAsia" w:ascii="宋体" w:hAnsi="宋体" w:cs="宋体"/>
                <w:color w:val="auto"/>
                <w:kern w:val="2"/>
                <w:sz w:val="21"/>
                <w:szCs w:val="21"/>
                <w:highlight w:val="none"/>
                <w:lang w:val="en-US" w:eastAsia="zh-CN" w:bidi="ar-SA"/>
              </w:rPr>
              <w:t>招</w:t>
            </w:r>
            <w:r>
              <w:rPr>
                <w:rFonts w:hint="eastAsia" w:ascii="宋体" w:hAnsi="宋体" w:eastAsia="宋体" w:cs="宋体"/>
                <w:color w:val="auto"/>
                <w:kern w:val="2"/>
                <w:sz w:val="21"/>
                <w:szCs w:val="21"/>
                <w:highlight w:val="none"/>
                <w:lang w:val="en-US" w:eastAsia="zh-CN" w:bidi="ar-SA"/>
              </w:rPr>
              <w:t>标文件第五章“家庭养老床位建设项目技术参数</w:t>
            </w:r>
            <w:r>
              <w:rPr>
                <w:rFonts w:hint="eastAsia" w:ascii="宋体" w:hAnsi="宋体" w:cs="宋体"/>
                <w:color w:val="auto"/>
                <w:kern w:val="2"/>
                <w:sz w:val="21"/>
                <w:szCs w:val="21"/>
                <w:highlight w:val="none"/>
                <w:lang w:val="en-US" w:eastAsia="zh-CN" w:bidi="ar-SA"/>
              </w:rPr>
              <w:t xml:space="preserve"> 附表3</w:t>
            </w:r>
            <w:r>
              <w:rPr>
                <w:rFonts w:hint="eastAsia" w:ascii="宋体" w:hAnsi="宋体" w:eastAsia="宋体" w:cs="宋体"/>
                <w:color w:val="auto"/>
                <w:kern w:val="2"/>
                <w:sz w:val="21"/>
                <w:szCs w:val="21"/>
                <w:highlight w:val="none"/>
                <w:lang w:val="en-US" w:eastAsia="zh-CN" w:bidi="ar-SA"/>
              </w:rPr>
              <w:t>”和“居家养老上门服务内容</w:t>
            </w:r>
            <w:r>
              <w:rPr>
                <w:rFonts w:hint="eastAsia" w:ascii="宋体" w:hAnsi="宋体" w:cs="宋体"/>
                <w:color w:val="auto"/>
                <w:kern w:val="2"/>
                <w:sz w:val="21"/>
                <w:szCs w:val="21"/>
                <w:highlight w:val="none"/>
                <w:lang w:val="en-US" w:eastAsia="zh-CN" w:bidi="ar-SA"/>
              </w:rPr>
              <w:t xml:space="preserve"> 附表4</w:t>
            </w:r>
            <w:r>
              <w:rPr>
                <w:rFonts w:hint="eastAsia" w:ascii="宋体" w:hAnsi="宋体" w:eastAsia="宋体" w:cs="宋体"/>
                <w:color w:val="auto"/>
                <w:kern w:val="2"/>
                <w:sz w:val="21"/>
                <w:szCs w:val="21"/>
                <w:highlight w:val="none"/>
                <w:lang w:val="en-US" w:eastAsia="zh-CN" w:bidi="ar-SA"/>
              </w:rPr>
              <w:t>”要求的，得满分</w:t>
            </w:r>
            <w:r>
              <w:rPr>
                <w:rFonts w:hint="eastAsia" w:ascii="宋体" w:hAnsi="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en-US" w:eastAsia="zh-CN" w:bidi="ar-SA"/>
              </w:rPr>
              <w:t>分；</w:t>
            </w:r>
            <w:r>
              <w:rPr>
                <w:rFonts w:hint="eastAsia"/>
                <w:color w:val="auto"/>
                <w:highlight w:val="none"/>
                <w:lang w:val="en-US" w:eastAsia="zh-CN"/>
              </w:rPr>
              <w:t>每有一项技术参数或服务内容低于招标文件要求的，在满分25分基础上扣1分，扣完为止,不作为废标处理。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lang w:val="en-US" w:eastAsia="zh-CN"/>
              </w:rPr>
              <w:t>家庭适老化</w:t>
            </w:r>
            <w:r>
              <w:rPr>
                <w:rFonts w:hint="eastAsia"/>
                <w:color w:val="auto"/>
                <w:highlight w:val="none"/>
              </w:rPr>
              <w:t>改造方案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4分</w:t>
            </w:r>
            <w:r>
              <w:rPr>
                <w:rFonts w:hint="eastAsia"/>
                <w:color w:val="auto"/>
                <w:highlight w:val="none"/>
                <w:lang w:eastAsia="zh-CN"/>
              </w:rPr>
              <w:t>）</w:t>
            </w:r>
          </w:p>
        </w:tc>
        <w:tc>
          <w:tcPr>
            <w:tcW w:w="6405"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eastAsia="宋体"/>
                <w:color w:val="auto"/>
                <w:highlight w:val="none"/>
                <w:lang w:val="en-US" w:eastAsia="zh-CN"/>
              </w:rPr>
            </w:pPr>
            <w:r>
              <w:rPr>
                <w:rFonts w:hint="eastAsia" w:eastAsia="宋体"/>
                <w:color w:val="auto"/>
                <w:highlight w:val="none"/>
                <w:lang w:val="en-US" w:eastAsia="zh-CN"/>
              </w:rPr>
              <w:t>根据本项目内容提供完整的适老化改造方案</w:t>
            </w:r>
            <w:r>
              <w:rPr>
                <w:rFonts w:hint="eastAsia"/>
                <w:color w:val="auto"/>
                <w:highlight w:val="none"/>
                <w:lang w:val="en-US" w:eastAsia="zh-CN"/>
              </w:rPr>
              <w:t>，</w:t>
            </w:r>
            <w:r>
              <w:rPr>
                <w:rFonts w:hint="eastAsia" w:eastAsia="宋体"/>
                <w:color w:val="auto"/>
                <w:highlight w:val="none"/>
                <w:lang w:val="en-US" w:eastAsia="zh-CN"/>
              </w:rPr>
              <w:t>至少包含</w:t>
            </w:r>
            <w:r>
              <w:rPr>
                <w:rFonts w:hint="eastAsia"/>
                <w:color w:val="auto"/>
                <w:highlight w:val="none"/>
                <w:lang w:val="en-US" w:eastAsia="zh-CN"/>
              </w:rPr>
              <w:t>以下内容</w:t>
            </w:r>
            <w:r>
              <w:rPr>
                <w:rFonts w:hint="eastAsia" w:eastAsia="宋体"/>
                <w:color w:val="auto"/>
                <w:highlight w:val="none"/>
                <w:lang w:val="en-US" w:eastAsia="zh-CN"/>
              </w:rPr>
              <w:t>：</w:t>
            </w:r>
            <w:r>
              <w:rPr>
                <w:rFonts w:hint="eastAsia"/>
                <w:color w:val="auto"/>
                <w:highlight w:val="none"/>
                <w:lang w:val="en-US" w:eastAsia="zh-CN"/>
              </w:rPr>
              <w:t>1.</w:t>
            </w:r>
            <w:r>
              <w:rPr>
                <w:rFonts w:hint="eastAsia" w:eastAsia="宋体"/>
                <w:color w:val="auto"/>
                <w:highlight w:val="none"/>
                <w:lang w:val="en-US" w:eastAsia="zh-CN"/>
              </w:rPr>
              <w:t>施工调试技术措施</w:t>
            </w:r>
            <w:r>
              <w:rPr>
                <w:rFonts w:hint="eastAsia"/>
                <w:color w:val="auto"/>
                <w:highlight w:val="none"/>
                <w:lang w:val="en-US" w:eastAsia="zh-CN"/>
              </w:rPr>
              <w:t>；2.</w:t>
            </w:r>
            <w:r>
              <w:rPr>
                <w:rFonts w:hint="eastAsia" w:eastAsia="宋体"/>
                <w:color w:val="auto"/>
                <w:highlight w:val="none"/>
                <w:lang w:val="en-US" w:eastAsia="zh-CN"/>
              </w:rPr>
              <w:t>团队安排及分布</w:t>
            </w:r>
            <w:r>
              <w:rPr>
                <w:rFonts w:hint="eastAsia"/>
                <w:color w:val="auto"/>
                <w:highlight w:val="none"/>
                <w:lang w:val="en-US" w:eastAsia="zh-CN"/>
              </w:rPr>
              <w:t>；3.居家环境适老化改造、</w:t>
            </w:r>
            <w:r>
              <w:rPr>
                <w:rFonts w:hint="eastAsia" w:eastAsia="宋体"/>
                <w:color w:val="auto"/>
                <w:highlight w:val="none"/>
                <w:lang w:val="en-US" w:eastAsia="zh-CN"/>
              </w:rPr>
              <w:t>老</w:t>
            </w:r>
            <w:r>
              <w:rPr>
                <w:rFonts w:hint="eastAsia"/>
                <w:color w:val="auto"/>
                <w:highlight w:val="none"/>
                <w:lang w:val="en-US" w:eastAsia="zh-CN"/>
              </w:rPr>
              <w:t>旧</w:t>
            </w:r>
            <w:r>
              <w:rPr>
                <w:rFonts w:hint="eastAsia" w:eastAsia="宋体"/>
                <w:color w:val="auto"/>
                <w:highlight w:val="none"/>
                <w:lang w:val="en-US" w:eastAsia="zh-CN"/>
              </w:rPr>
              <w:t>线路改造及卫浴改造；</w:t>
            </w:r>
            <w:r>
              <w:rPr>
                <w:rFonts w:hint="eastAsia"/>
                <w:color w:val="auto"/>
                <w:highlight w:val="none"/>
                <w:lang w:val="en-US" w:eastAsia="zh-CN"/>
              </w:rPr>
              <w:t>4.智能化改造；5.老年用品的配备计划；6.</w:t>
            </w:r>
            <w:r>
              <w:rPr>
                <w:rFonts w:hint="eastAsia" w:eastAsia="宋体"/>
                <w:color w:val="auto"/>
                <w:highlight w:val="none"/>
                <w:lang w:val="en-US" w:eastAsia="zh-CN"/>
              </w:rPr>
              <w:t>进度保障措施等</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①方案具有计划性、针对性、可操作性，内容完整详实，表述清晰，满足或优于项目需求的得</w:t>
            </w:r>
            <w:r>
              <w:rPr>
                <w:rFonts w:hint="eastAsia"/>
                <w:color w:val="auto"/>
                <w:highlight w:val="none"/>
                <w:lang w:val="en-US" w:eastAsia="zh-CN"/>
              </w:rPr>
              <w:t>4</w:t>
            </w:r>
            <w:r>
              <w:rPr>
                <w:rFonts w:hint="eastAsia" w:eastAsia="宋体"/>
                <w:color w:val="auto"/>
                <w:highlight w:val="none"/>
                <w:lang w:val="en-US" w:eastAsia="zh-CN"/>
              </w:rPr>
              <w:t>分</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②方案具有一定的可行性、准确性、合理性，满足项目需求的</w:t>
            </w:r>
            <w:r>
              <w:rPr>
                <w:rFonts w:hint="eastAsia"/>
                <w:color w:val="auto"/>
                <w:highlight w:val="none"/>
                <w:lang w:val="en-US" w:eastAsia="zh-CN"/>
              </w:rPr>
              <w:t>2</w:t>
            </w:r>
            <w:r>
              <w:rPr>
                <w:rFonts w:hint="eastAsia" w:eastAsia="宋体"/>
                <w:color w:val="auto"/>
                <w:highlight w:val="none"/>
                <w:lang w:val="en-US" w:eastAsia="zh-CN"/>
              </w:rPr>
              <w:t>分</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③方案内容基本符合要求，有待完善的得</w:t>
            </w:r>
            <w:r>
              <w:rPr>
                <w:rFonts w:hint="eastAsia"/>
                <w:color w:val="auto"/>
                <w:highlight w:val="none"/>
                <w:lang w:val="en-US" w:eastAsia="zh-CN"/>
              </w:rPr>
              <w:t>0.5</w:t>
            </w:r>
            <w:r>
              <w:rPr>
                <w:rFonts w:hint="eastAsia" w:eastAsia="宋体"/>
                <w:color w:val="auto"/>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④</w:t>
            </w:r>
            <w:r>
              <w:rPr>
                <w:rFonts w:hint="eastAsia"/>
                <w:color w:val="auto"/>
                <w:highlight w:val="none"/>
                <w:lang w:val="en-US" w:eastAsia="zh-CN"/>
              </w:rPr>
              <w:t>内容不全或</w:t>
            </w:r>
            <w:r>
              <w:rPr>
                <w:rFonts w:hint="eastAsia" w:eastAsia="宋体"/>
                <w:color w:val="auto"/>
                <w:highlight w:val="none"/>
                <w:lang w:val="en-US" w:eastAsia="zh-CN"/>
              </w:rPr>
              <w:t>不提供不得分。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849"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居家</w:t>
            </w:r>
            <w:r>
              <w:rPr>
                <w:rFonts w:hint="eastAsia"/>
                <w:color w:val="auto"/>
                <w:highlight w:val="none"/>
                <w:lang w:val="en-US" w:eastAsia="zh-CN"/>
              </w:rPr>
              <w:t>养老上门</w:t>
            </w:r>
            <w:r>
              <w:rPr>
                <w:rFonts w:hint="eastAsia"/>
                <w:color w:val="auto"/>
                <w:highlight w:val="none"/>
              </w:rPr>
              <w:t>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4分</w:t>
            </w:r>
            <w:r>
              <w:rPr>
                <w:rFonts w:hint="eastAsia"/>
                <w:color w:val="auto"/>
                <w:highlight w:val="none"/>
                <w:lang w:eastAsia="zh-CN"/>
              </w:rPr>
              <w:t>）</w:t>
            </w:r>
          </w:p>
        </w:tc>
        <w:tc>
          <w:tcPr>
            <w:tcW w:w="6405"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根据本项目</w:t>
            </w:r>
            <w:r>
              <w:rPr>
                <w:rFonts w:hint="eastAsia"/>
                <w:color w:val="auto"/>
                <w:highlight w:val="none"/>
                <w:lang w:val="en-US" w:eastAsia="zh-CN"/>
              </w:rPr>
              <w:t>内容</w:t>
            </w:r>
            <w:r>
              <w:rPr>
                <w:rFonts w:hint="eastAsia" w:eastAsia="宋体"/>
                <w:color w:val="auto"/>
                <w:highlight w:val="none"/>
                <w:lang w:val="en-US" w:eastAsia="zh-CN"/>
              </w:rPr>
              <w:t>提供居家养老上门服务的方案，至少包含</w:t>
            </w:r>
            <w:r>
              <w:rPr>
                <w:rFonts w:hint="eastAsia"/>
                <w:color w:val="auto"/>
                <w:highlight w:val="none"/>
                <w:lang w:val="en-US" w:eastAsia="zh-CN"/>
              </w:rPr>
              <w:t>以下内容</w:t>
            </w:r>
            <w:r>
              <w:rPr>
                <w:rFonts w:hint="eastAsia" w:eastAsia="宋体"/>
                <w:color w:val="auto"/>
                <w:highlight w:val="none"/>
                <w:lang w:val="en-US" w:eastAsia="zh-CN"/>
              </w:rPr>
              <w:t>：1.居家养老上门服务的服务内容；2.居家养老上门服务的政策法规和规范；3.居家养老上门服务与家庭养老床位照护两部分关联性和衔接性理解；4.居家养老上门服务个性化服务方案等：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fldChar w:fldCharType="begin"/>
            </w:r>
            <w:r>
              <w:rPr>
                <w:rFonts w:hint="eastAsia" w:eastAsia="宋体"/>
                <w:color w:val="auto"/>
                <w:highlight w:val="none"/>
                <w:lang w:val="en-US" w:eastAsia="zh-CN"/>
              </w:rPr>
              <w:instrText xml:space="preserve"> = 1 \* GB3 </w:instrText>
            </w:r>
            <w:r>
              <w:rPr>
                <w:rFonts w:hint="eastAsia" w:eastAsia="宋体"/>
                <w:color w:val="auto"/>
                <w:highlight w:val="none"/>
                <w:lang w:val="en-US" w:eastAsia="zh-CN"/>
              </w:rPr>
              <w:fldChar w:fldCharType="separate"/>
            </w:r>
            <w:r>
              <w:rPr>
                <w:rFonts w:hint="eastAsia" w:eastAsia="宋体"/>
                <w:color w:val="auto"/>
                <w:highlight w:val="none"/>
                <w:lang w:val="en-US" w:eastAsia="zh-CN"/>
              </w:rPr>
              <w:t>①</w:t>
            </w:r>
            <w:r>
              <w:rPr>
                <w:rFonts w:hint="eastAsia" w:eastAsia="宋体"/>
                <w:color w:val="auto"/>
                <w:highlight w:val="none"/>
                <w:lang w:val="en-US" w:eastAsia="zh-CN"/>
              </w:rPr>
              <w:fldChar w:fldCharType="end"/>
            </w:r>
            <w:r>
              <w:rPr>
                <w:rFonts w:hint="eastAsia" w:eastAsia="宋体"/>
                <w:color w:val="auto"/>
                <w:highlight w:val="none"/>
                <w:lang w:val="en-US" w:eastAsia="zh-CN"/>
              </w:rPr>
              <w:t>方案完整详细，符合实际、操作性强的得</w:t>
            </w:r>
            <w:r>
              <w:rPr>
                <w:rFonts w:hint="eastAsia"/>
                <w:color w:val="auto"/>
                <w:highlight w:val="none"/>
                <w:lang w:val="en-US" w:eastAsia="zh-CN"/>
              </w:rPr>
              <w:t>4</w:t>
            </w:r>
            <w:r>
              <w:rPr>
                <w:rFonts w:hint="eastAsia" w:eastAsia="宋体"/>
                <w:color w:val="auto"/>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②方案内容一般，较符合实际、操作性一般的得</w:t>
            </w:r>
            <w:r>
              <w:rPr>
                <w:rFonts w:hint="eastAsia"/>
                <w:color w:val="auto"/>
                <w:highlight w:val="none"/>
                <w:lang w:val="en-US" w:eastAsia="zh-CN"/>
              </w:rPr>
              <w:t>2</w:t>
            </w:r>
            <w:r>
              <w:rPr>
                <w:rFonts w:hint="eastAsia" w:eastAsia="宋体"/>
                <w:color w:val="auto"/>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color w:val="auto"/>
                <w:highlight w:val="none"/>
                <w:lang w:val="en-US" w:eastAsia="zh-CN"/>
              </w:rPr>
              <w:t>③</w:t>
            </w:r>
            <w:r>
              <w:rPr>
                <w:rFonts w:hint="eastAsia" w:eastAsia="宋体"/>
                <w:color w:val="auto"/>
                <w:highlight w:val="none"/>
                <w:lang w:val="en-US" w:eastAsia="zh-CN"/>
              </w:rPr>
              <w:t>方案内容较差，不符合实际，操作性较差的得</w:t>
            </w:r>
            <w:r>
              <w:rPr>
                <w:rFonts w:hint="eastAsia"/>
                <w:color w:val="auto"/>
                <w:highlight w:val="none"/>
                <w:lang w:val="en-US" w:eastAsia="zh-CN"/>
              </w:rPr>
              <w:t>0.5</w:t>
            </w:r>
            <w:r>
              <w:rPr>
                <w:rFonts w:hint="eastAsia" w:eastAsia="宋体"/>
                <w:color w:val="auto"/>
                <w:highlight w:val="none"/>
                <w:lang w:val="en-US" w:eastAsia="zh-CN"/>
              </w:rPr>
              <w:t>分</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④</w:t>
            </w:r>
            <w:r>
              <w:rPr>
                <w:rFonts w:hint="eastAsia"/>
                <w:color w:val="auto"/>
                <w:highlight w:val="none"/>
                <w:lang w:val="en-US" w:eastAsia="zh-CN"/>
              </w:rPr>
              <w:t>内容不全或</w:t>
            </w:r>
            <w:r>
              <w:rPr>
                <w:rFonts w:hint="eastAsia" w:eastAsia="宋体"/>
                <w:color w:val="auto"/>
                <w:highlight w:val="none"/>
                <w:lang w:val="en-US" w:eastAsia="zh-CN"/>
              </w:rPr>
              <w:t>不提供不得分。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2492"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重难点分析及应对</w:t>
            </w:r>
            <w:bookmarkStart w:id="86" w:name="OLE_LINK1"/>
            <w:r>
              <w:rPr>
                <w:rFonts w:hint="eastAsia"/>
                <w:color w:val="auto"/>
                <w:highlight w:val="none"/>
                <w:lang w:val="en-US" w:eastAsia="zh-CN"/>
              </w:rPr>
              <w:t>措施</w:t>
            </w:r>
            <w:bookmarkEnd w:id="86"/>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3分）</w:t>
            </w:r>
          </w:p>
        </w:tc>
        <w:tc>
          <w:tcPr>
            <w:tcW w:w="6405" w:type="dxa"/>
            <w:gridSpan w:val="2"/>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val="en-US" w:eastAsia="zh-CN"/>
              </w:rPr>
            </w:pPr>
            <w:r>
              <w:rPr>
                <w:rFonts w:hint="eastAsia"/>
                <w:color w:val="auto"/>
                <w:highlight w:val="none"/>
                <w:lang w:val="en-US" w:eastAsia="zh-CN"/>
              </w:rPr>
              <w:t>针对项目实施过程中的重难点</w:t>
            </w:r>
            <w:r>
              <w:rPr>
                <w:rFonts w:hint="eastAsia" w:eastAsia="宋体"/>
                <w:color w:val="auto"/>
                <w:highlight w:val="none"/>
                <w:lang w:val="en-US" w:eastAsia="zh-CN"/>
              </w:rPr>
              <w:t>进行</w:t>
            </w:r>
            <w:r>
              <w:rPr>
                <w:rFonts w:hint="eastAsia"/>
                <w:color w:val="auto"/>
                <w:highlight w:val="none"/>
                <w:lang w:val="en-US" w:eastAsia="zh-CN"/>
              </w:rPr>
              <w:t>分析并提出应对措施，</w:t>
            </w:r>
            <w:r>
              <w:rPr>
                <w:rFonts w:hint="eastAsia" w:eastAsia="宋体"/>
                <w:color w:val="auto"/>
                <w:highlight w:val="none"/>
                <w:lang w:val="en-US" w:eastAsia="zh-CN"/>
              </w:rPr>
              <w:t>至少包含</w:t>
            </w:r>
            <w:r>
              <w:rPr>
                <w:rFonts w:hint="eastAsia"/>
                <w:color w:val="auto"/>
                <w:highlight w:val="none"/>
                <w:lang w:val="en-US" w:eastAsia="zh-CN"/>
              </w:rPr>
              <w:t>以下内容</w:t>
            </w:r>
            <w:r>
              <w:rPr>
                <w:rFonts w:hint="eastAsia" w:eastAsia="宋体"/>
                <w:color w:val="auto"/>
                <w:highlight w:val="none"/>
                <w:lang w:val="en-US" w:eastAsia="zh-CN"/>
              </w:rPr>
              <w:t>：</w:t>
            </w:r>
            <w:r>
              <w:rPr>
                <w:rFonts w:hint="eastAsia"/>
                <w:color w:val="auto"/>
                <w:highlight w:val="none"/>
                <w:lang w:val="en-US" w:eastAsia="zh-CN"/>
              </w:rPr>
              <w:t>1.</w:t>
            </w:r>
            <w:r>
              <w:rPr>
                <w:color w:val="auto"/>
                <w:spacing w:val="-5"/>
                <w:highlight w:val="none"/>
              </w:rPr>
              <w:t>解决老年人洗浴难、如厕难、室内环境差、</w:t>
            </w:r>
            <w:r>
              <w:rPr>
                <w:rFonts w:hint="eastAsia"/>
                <w:color w:val="auto"/>
                <w:spacing w:val="-5"/>
                <w:highlight w:val="none"/>
                <w:lang w:val="en-US" w:eastAsia="zh-CN"/>
              </w:rPr>
              <w:t>存在</w:t>
            </w:r>
            <w:r>
              <w:rPr>
                <w:color w:val="auto"/>
                <w:spacing w:val="-5"/>
                <w:highlight w:val="none"/>
              </w:rPr>
              <w:t>安全隐</w:t>
            </w:r>
            <w:r>
              <w:rPr>
                <w:color w:val="auto"/>
                <w:spacing w:val="-3"/>
                <w:highlight w:val="none"/>
              </w:rPr>
              <w:t>患</w:t>
            </w:r>
            <w:r>
              <w:rPr>
                <w:rFonts w:hint="eastAsia"/>
                <w:color w:val="auto"/>
                <w:spacing w:val="-3"/>
                <w:highlight w:val="none"/>
                <w:lang w:val="en-US" w:eastAsia="zh-CN"/>
              </w:rPr>
              <w:t>等；2.</w:t>
            </w:r>
            <w:r>
              <w:rPr>
                <w:rFonts w:hint="eastAsia" w:eastAsia="宋体"/>
                <w:color w:val="auto"/>
                <w:highlight w:val="none"/>
                <w:lang w:val="en-US" w:eastAsia="zh-CN"/>
              </w:rPr>
              <w:t>对老人在生活照料、膳食服务、清洁卫生、信息化服务、医疗护理、心理支持、巡视关爱、24小时紧急服务等</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fldChar w:fldCharType="begin"/>
            </w:r>
            <w:r>
              <w:rPr>
                <w:rFonts w:hint="eastAsia" w:eastAsia="宋体"/>
                <w:color w:val="auto"/>
                <w:highlight w:val="none"/>
                <w:lang w:val="en-US" w:eastAsia="zh-CN"/>
              </w:rPr>
              <w:instrText xml:space="preserve"> = 1 \* GB3 </w:instrText>
            </w:r>
            <w:r>
              <w:rPr>
                <w:rFonts w:hint="eastAsia" w:eastAsia="宋体"/>
                <w:color w:val="auto"/>
                <w:highlight w:val="none"/>
                <w:lang w:val="en-US" w:eastAsia="zh-CN"/>
              </w:rPr>
              <w:fldChar w:fldCharType="separate"/>
            </w:r>
            <w:r>
              <w:rPr>
                <w:rFonts w:hint="eastAsia" w:eastAsia="宋体"/>
                <w:color w:val="auto"/>
                <w:highlight w:val="none"/>
                <w:lang w:val="en-US" w:eastAsia="zh-CN"/>
              </w:rPr>
              <w:t>①</w:t>
            </w:r>
            <w:r>
              <w:rPr>
                <w:rFonts w:hint="eastAsia" w:eastAsia="宋体"/>
                <w:color w:val="auto"/>
                <w:highlight w:val="none"/>
                <w:lang w:val="en-US" w:eastAsia="zh-CN"/>
              </w:rPr>
              <w:fldChar w:fldCharType="end"/>
            </w:r>
            <w:r>
              <w:rPr>
                <w:rFonts w:hint="eastAsia"/>
                <w:color w:val="auto"/>
                <w:highlight w:val="none"/>
                <w:lang w:val="en-US" w:eastAsia="zh-CN"/>
              </w:rPr>
              <w:t>措施</w:t>
            </w:r>
            <w:r>
              <w:rPr>
                <w:rFonts w:hint="eastAsia" w:eastAsia="宋体"/>
                <w:color w:val="auto"/>
                <w:highlight w:val="none"/>
                <w:lang w:val="en-US" w:eastAsia="zh-CN"/>
              </w:rPr>
              <w:t>完整详细，符合实际、操作性强的得</w:t>
            </w:r>
            <w:r>
              <w:rPr>
                <w:rFonts w:hint="eastAsia"/>
                <w:color w:val="auto"/>
                <w:highlight w:val="none"/>
                <w:lang w:val="en-US" w:eastAsia="zh-CN"/>
              </w:rPr>
              <w:t>3</w:t>
            </w:r>
            <w:r>
              <w:rPr>
                <w:rFonts w:hint="eastAsia" w:eastAsia="宋体"/>
                <w:color w:val="auto"/>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eastAsia="宋体"/>
                <w:color w:val="auto"/>
                <w:highlight w:val="none"/>
                <w:lang w:val="en-US" w:eastAsia="zh-CN"/>
              </w:rPr>
              <w:t>②</w:t>
            </w:r>
            <w:r>
              <w:rPr>
                <w:rFonts w:hint="eastAsia"/>
                <w:color w:val="auto"/>
                <w:highlight w:val="none"/>
                <w:lang w:val="en-US" w:eastAsia="zh-CN"/>
              </w:rPr>
              <w:t>措施</w:t>
            </w:r>
            <w:r>
              <w:rPr>
                <w:rFonts w:hint="eastAsia" w:eastAsia="宋体"/>
                <w:color w:val="auto"/>
                <w:highlight w:val="none"/>
                <w:lang w:val="en-US" w:eastAsia="zh-CN"/>
              </w:rPr>
              <w:t>内容一般，较符合实际、操作性一般的得</w:t>
            </w:r>
            <w:r>
              <w:rPr>
                <w:rFonts w:hint="eastAsia"/>
                <w:color w:val="auto"/>
                <w:highlight w:val="none"/>
                <w:lang w:val="en-US" w:eastAsia="zh-CN"/>
              </w:rPr>
              <w:t>2</w:t>
            </w:r>
            <w:r>
              <w:rPr>
                <w:rFonts w:hint="eastAsia" w:eastAsia="宋体"/>
                <w:color w:val="auto"/>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eastAsia="宋体"/>
                <w:color w:val="auto"/>
                <w:highlight w:val="none"/>
                <w:lang w:val="en-US" w:eastAsia="zh-CN"/>
              </w:rPr>
            </w:pPr>
            <w:r>
              <w:rPr>
                <w:rFonts w:hint="eastAsia"/>
                <w:color w:val="auto"/>
                <w:highlight w:val="none"/>
                <w:lang w:val="en-US" w:eastAsia="zh-CN"/>
              </w:rPr>
              <w:t>③措施</w:t>
            </w:r>
            <w:r>
              <w:rPr>
                <w:rFonts w:hint="eastAsia" w:eastAsia="宋体"/>
                <w:color w:val="auto"/>
                <w:highlight w:val="none"/>
                <w:lang w:val="en-US" w:eastAsia="zh-CN"/>
              </w:rPr>
              <w:t>内容不符合实际，操作性较差的得</w:t>
            </w:r>
            <w:r>
              <w:rPr>
                <w:rFonts w:hint="eastAsia"/>
                <w:color w:val="auto"/>
                <w:highlight w:val="none"/>
                <w:lang w:val="en-US" w:eastAsia="zh-CN"/>
              </w:rPr>
              <w:t>1</w:t>
            </w:r>
            <w:r>
              <w:rPr>
                <w:rFonts w:hint="eastAsia" w:eastAsia="宋体"/>
                <w:color w:val="auto"/>
                <w:highlight w:val="none"/>
                <w:lang w:val="en-US" w:eastAsia="zh-CN"/>
              </w:rPr>
              <w:t>分</w:t>
            </w:r>
            <w:r>
              <w:rPr>
                <w:rFonts w:hint="eastAsia"/>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eastAsia="宋体"/>
                <w:color w:val="auto"/>
                <w:highlight w:val="none"/>
                <w:lang w:val="en-US" w:eastAsia="zh-CN"/>
              </w:rPr>
            </w:pPr>
            <w:r>
              <w:rPr>
                <w:rFonts w:hint="eastAsia" w:eastAsia="宋体"/>
                <w:color w:val="auto"/>
                <w:highlight w:val="none"/>
                <w:lang w:val="en-US" w:eastAsia="zh-CN"/>
              </w:rPr>
              <w:t>④</w:t>
            </w:r>
            <w:r>
              <w:rPr>
                <w:rFonts w:hint="eastAsia"/>
                <w:color w:val="auto"/>
                <w:highlight w:val="none"/>
                <w:lang w:val="en-US" w:eastAsia="zh-CN"/>
              </w:rPr>
              <w:t>内容不全或</w:t>
            </w:r>
            <w:r>
              <w:rPr>
                <w:rFonts w:hint="eastAsia" w:eastAsia="宋体"/>
                <w:color w:val="auto"/>
                <w:highlight w:val="none"/>
                <w:lang w:val="en-US" w:eastAsia="zh-CN"/>
              </w:rPr>
              <w:t>不提供不得分。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管理制度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分）</w:t>
            </w:r>
          </w:p>
        </w:tc>
        <w:tc>
          <w:tcPr>
            <w:tcW w:w="6405" w:type="dxa"/>
            <w:gridSpan w:val="2"/>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color w:val="auto"/>
                <w:highlight w:val="none"/>
                <w:lang w:val="en-US" w:eastAsia="zh-CN"/>
              </w:rPr>
            </w:pPr>
            <w:r>
              <w:rPr>
                <w:rFonts w:hint="eastAsia"/>
                <w:color w:val="auto"/>
                <w:highlight w:val="none"/>
                <w:lang w:val="en-US" w:eastAsia="zh-CN"/>
              </w:rPr>
              <w:t>针对本项目设置的人员管理机构（包括组织架构设置合理、管理制度健全，人员配备合理、定期培训计划）等：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val="en-US" w:eastAsia="zh-CN"/>
              </w:rPr>
            </w:pPr>
            <w:r>
              <w:rPr>
                <w:rFonts w:hint="eastAsia"/>
                <w:color w:val="auto"/>
                <w:highlight w:val="none"/>
                <w:lang w:val="en-US" w:eastAsia="zh-CN"/>
              </w:rPr>
              <w:t>①制度完整详细，符合实际、操作性强的得2分；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val="en-US" w:eastAsia="zh-CN"/>
              </w:rPr>
            </w:pPr>
            <w:r>
              <w:rPr>
                <w:rFonts w:hint="eastAsia"/>
                <w:color w:val="auto"/>
                <w:highlight w:val="none"/>
                <w:lang w:val="en-US" w:eastAsia="zh-CN"/>
              </w:rPr>
              <w:t>②制度内容一般，较符合实际、操作性一般的得1分；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val="en-US" w:eastAsia="zh-CN"/>
              </w:rPr>
            </w:pPr>
            <w:r>
              <w:rPr>
                <w:rFonts w:hint="eastAsia"/>
                <w:color w:val="auto"/>
                <w:highlight w:val="none"/>
                <w:lang w:val="en-US" w:eastAsia="zh-CN"/>
              </w:rPr>
              <w:t>③制度内容较差，不符合实际，操作性较差的得0.5分；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highlight w:val="none"/>
                <w:lang w:val="en-US" w:eastAsia="zh-CN"/>
              </w:rPr>
            </w:pPr>
            <w:r>
              <w:rPr>
                <w:rFonts w:hint="eastAsia"/>
                <w:color w:val="auto"/>
                <w:highlight w:val="none"/>
                <w:lang w:val="en-US" w:eastAsia="zh-CN"/>
              </w:rPr>
              <w:t>④内容不全或不提供不得分。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ascii="宋体" w:hAnsi="宋体" w:cs="宋体"/>
                <w:color w:val="auto"/>
                <w:szCs w:val="21"/>
                <w:highlight w:val="none"/>
                <w:lang w:val="en-US" w:eastAsia="zh-CN"/>
              </w:rPr>
              <w:t>（2分）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投标人针对本项目内容提供完整的适老化改造相关的售后服务方案。包含售后服务承诺、售后服务应答及处理时间、质量保证期限、质保期内的售后服务范围、质保期满后的售后服务范围和收费情况、备品备件的承诺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①方案具有计划性、针对性、可操作性，内容完整详实，表述清晰的，得</w:t>
            </w:r>
            <w:r>
              <w:rPr>
                <w:rFonts w:hint="eastAsia" w:ascii="宋体" w:hAnsi="宋体" w:cs="宋体"/>
                <w:color w:val="auto"/>
                <w:spacing w:val="-2"/>
                <w:szCs w:val="21"/>
                <w:highlight w:val="none"/>
                <w:lang w:val="en-US" w:eastAsia="zh-CN"/>
              </w:rPr>
              <w:t>2</w:t>
            </w:r>
            <w:r>
              <w:rPr>
                <w:rFonts w:hint="eastAsia" w:ascii="宋体" w:hAnsi="宋体" w:eastAsia="宋体" w:cs="宋体"/>
                <w:color w:val="auto"/>
                <w:spacing w:val="-2"/>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②方案具有一定的可行性、准确性、合理性，得</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③方案内容基本符合要求，有待完善的，得</w:t>
            </w:r>
            <w:r>
              <w:rPr>
                <w:rFonts w:hint="eastAsia" w:ascii="宋体" w:hAnsi="宋体" w:cs="宋体"/>
                <w:color w:val="auto"/>
                <w:spacing w:val="-2"/>
                <w:szCs w:val="21"/>
                <w:highlight w:val="none"/>
                <w:lang w:val="en-US" w:eastAsia="zh-CN"/>
              </w:rPr>
              <w:t>0.5</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color w:val="auto"/>
                <w:spacing w:val="-2"/>
                <w:szCs w:val="21"/>
                <w:highlight w:val="none"/>
                <w:lang w:val="en-US" w:eastAsia="zh-CN"/>
              </w:rPr>
              <w:t>④内容不全或不提供不得分</w:t>
            </w:r>
            <w:r>
              <w:rPr>
                <w:rFonts w:hint="eastAsia" w:ascii="宋体" w:hAnsi="宋体" w:eastAsia="宋体" w:cs="宋体"/>
                <w:color w:val="auto"/>
                <w:spacing w:val="-2"/>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3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2.2.2（3）</w:t>
            </w:r>
          </w:p>
        </w:tc>
        <w:tc>
          <w:tcPr>
            <w:tcW w:w="1093"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color w:val="auto"/>
                <w:highlight w:val="none"/>
              </w:rPr>
              <w:t>综合部分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50</w:t>
            </w:r>
            <w:r>
              <w:rPr>
                <w:rFonts w:hint="eastAsia"/>
                <w:color w:val="auto"/>
                <w:highlight w:val="none"/>
              </w:rPr>
              <w:t>分）</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olor w:val="auto"/>
                <w:highlight w:val="none"/>
                <w:lang w:val="en-US" w:eastAsia="zh-CN"/>
              </w:rPr>
            </w:pPr>
          </w:p>
        </w:tc>
        <w:tc>
          <w:tcPr>
            <w:tcW w:w="13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bookmarkStart w:id="87" w:name="OLE_LINK12"/>
            <w:r>
              <w:rPr>
                <w:rFonts w:hint="eastAsia" w:ascii="宋体" w:hAnsi="宋体" w:cs="宋体"/>
                <w:color w:val="auto"/>
                <w:spacing w:val="-2"/>
                <w:szCs w:val="21"/>
                <w:highlight w:val="none"/>
                <w:lang w:val="en-US" w:eastAsia="zh-CN"/>
              </w:rPr>
              <w:t>企业</w:t>
            </w:r>
            <w:r>
              <w:rPr>
                <w:rFonts w:hint="eastAsia" w:ascii="宋体" w:hAnsi="宋体" w:eastAsia="宋体" w:cs="宋体"/>
                <w:color w:val="auto"/>
                <w:spacing w:val="-2"/>
                <w:szCs w:val="21"/>
                <w:highlight w:val="none"/>
              </w:rPr>
              <w:t>业绩</w:t>
            </w:r>
          </w:p>
          <w:bookmarkEnd w:id="87"/>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lang w:val="en-US" w:eastAsia="zh-CN"/>
              </w:rPr>
              <w:t>6</w:t>
            </w:r>
            <w:r>
              <w:rPr>
                <w:rFonts w:hint="eastAsia" w:ascii="宋体" w:hAnsi="宋体" w:eastAsia="宋体" w:cs="宋体"/>
                <w:color w:val="auto"/>
                <w:spacing w:val="-2"/>
                <w:szCs w:val="21"/>
                <w:highlight w:val="none"/>
              </w:rPr>
              <w:t>分）</w:t>
            </w:r>
          </w:p>
        </w:tc>
        <w:tc>
          <w:tcPr>
            <w:tcW w:w="6405"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供应商提供20</w:t>
            </w:r>
            <w:r>
              <w:rPr>
                <w:rFonts w:hint="eastAsia" w:ascii="宋体" w:hAnsi="宋体" w:cs="宋体"/>
                <w:color w:val="auto"/>
                <w:spacing w:val="-2"/>
                <w:szCs w:val="21"/>
                <w:highlight w:val="none"/>
                <w:lang w:val="en-US" w:eastAsia="zh-CN"/>
              </w:rPr>
              <w:t>21</w:t>
            </w:r>
            <w:r>
              <w:rPr>
                <w:rFonts w:hint="eastAsia" w:ascii="宋体" w:hAnsi="宋体" w:eastAsia="宋体" w:cs="宋体"/>
                <w:color w:val="auto"/>
                <w:spacing w:val="-2"/>
                <w:szCs w:val="21"/>
                <w:highlight w:val="none"/>
              </w:rPr>
              <w:t>年1月1日以来具有</w:t>
            </w:r>
            <w:r>
              <w:rPr>
                <w:rFonts w:hint="eastAsia" w:ascii="宋体" w:hAnsi="宋体" w:cs="宋体"/>
                <w:color w:val="auto"/>
                <w:spacing w:val="-2"/>
                <w:szCs w:val="21"/>
                <w:highlight w:val="none"/>
                <w:lang w:val="en-US" w:eastAsia="zh-CN"/>
              </w:rPr>
              <w:t>居家和社区基本养老服务提升行动</w:t>
            </w:r>
            <w:r>
              <w:rPr>
                <w:rFonts w:hint="eastAsia" w:ascii="宋体" w:hAnsi="宋体" w:eastAsia="宋体" w:cs="宋体"/>
                <w:color w:val="auto"/>
                <w:spacing w:val="-2"/>
                <w:szCs w:val="21"/>
                <w:highlight w:val="none"/>
              </w:rPr>
              <w:t>项目业绩的，每有一项得</w:t>
            </w:r>
            <w:r>
              <w:rPr>
                <w:rFonts w:hint="eastAsia" w:ascii="宋体" w:hAnsi="宋体" w:cs="宋体"/>
                <w:color w:val="auto"/>
                <w:spacing w:val="-2"/>
                <w:szCs w:val="21"/>
                <w:highlight w:val="none"/>
                <w:lang w:val="en-US" w:eastAsia="zh-CN"/>
              </w:rPr>
              <w:t>2</w:t>
            </w:r>
            <w:r>
              <w:rPr>
                <w:rFonts w:hint="eastAsia" w:ascii="宋体" w:hAnsi="宋体" w:eastAsia="宋体" w:cs="宋体"/>
                <w:color w:val="auto"/>
                <w:spacing w:val="-2"/>
                <w:szCs w:val="21"/>
                <w:highlight w:val="none"/>
              </w:rPr>
              <w:t>分，最多得</w:t>
            </w:r>
            <w:r>
              <w:rPr>
                <w:rFonts w:hint="eastAsia" w:ascii="宋体" w:hAnsi="宋体" w:cs="宋体"/>
                <w:color w:val="auto"/>
                <w:spacing w:val="-2"/>
                <w:szCs w:val="21"/>
                <w:highlight w:val="none"/>
                <w:lang w:val="en-US" w:eastAsia="zh-CN"/>
              </w:rPr>
              <w:t>6</w:t>
            </w:r>
            <w:r>
              <w:rPr>
                <w:rFonts w:hint="eastAsia" w:ascii="宋体" w:hAnsi="宋体" w:eastAsia="宋体" w:cs="宋体"/>
                <w:color w:val="auto"/>
                <w:spacing w:val="-2"/>
                <w:szCs w:val="21"/>
                <w:highlight w:val="none"/>
              </w:rPr>
              <w:t>分（以合同签订日期为准</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提供中标（成交）通知书、中标（成交）公告网上截图和业绩</w:t>
            </w:r>
            <w:r>
              <w:rPr>
                <w:rFonts w:hint="eastAsia" w:ascii="宋体" w:hAnsi="宋体" w:eastAsia="宋体" w:cs="宋体"/>
                <w:color w:val="auto"/>
                <w:spacing w:val="-2"/>
                <w:szCs w:val="21"/>
                <w:highlight w:val="none"/>
              </w:rPr>
              <w:t>合同</w:t>
            </w:r>
            <w:r>
              <w:rPr>
                <w:rFonts w:hint="eastAsia" w:ascii="宋体" w:hAnsi="宋体" w:cs="宋体"/>
                <w:color w:val="auto"/>
                <w:spacing w:val="-2"/>
                <w:szCs w:val="21"/>
                <w:highlight w:val="none"/>
                <w:lang w:val="en-US" w:eastAsia="zh-CN"/>
              </w:rPr>
              <w:t>扫描件，不提供或提供不全</w:t>
            </w:r>
            <w:r>
              <w:rPr>
                <w:rFonts w:hint="eastAsia" w:ascii="宋体" w:hAnsi="宋体" w:eastAsia="宋体" w:cs="宋体"/>
                <w:color w:val="auto"/>
                <w:spacing w:val="-2"/>
                <w:szCs w:val="21"/>
                <w:highlight w:val="none"/>
              </w:rPr>
              <w:t>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Cs w:val="21"/>
                <w:highlight w:val="none"/>
              </w:rPr>
            </w:pPr>
          </w:p>
        </w:tc>
        <w:tc>
          <w:tcPr>
            <w:tcW w:w="13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spacing w:val="-2"/>
                <w:szCs w:val="21"/>
                <w:highlight w:val="none"/>
                <w:lang w:val="en-US" w:eastAsia="zh-CN"/>
              </w:rPr>
              <w:t>人员配备</w:t>
            </w:r>
            <w:r>
              <w:rPr>
                <w:rFonts w:hint="eastAsia" w:ascii="宋体" w:hAnsi="宋体" w:cs="宋体"/>
                <w:color w:val="auto"/>
                <w:highlight w:val="none"/>
                <w:lang w:val="en-US" w:eastAsia="zh-CN"/>
              </w:rPr>
              <w:t>（11分）</w:t>
            </w:r>
          </w:p>
        </w:tc>
        <w:tc>
          <w:tcPr>
            <w:tcW w:w="6405" w:type="dxa"/>
            <w:gridSpan w:val="2"/>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trike w:val="0"/>
                <w:dstrike w:val="0"/>
                <w:color w:val="auto"/>
                <w:spacing w:val="-2"/>
                <w:szCs w:val="21"/>
                <w:highlight w:val="none"/>
                <w:shd w:val="clear" w:color="auto" w:fill="auto"/>
                <w:lang w:val="en-US" w:eastAsia="zh-CN"/>
              </w:rPr>
            </w:pPr>
            <w:r>
              <w:rPr>
                <w:rFonts w:hint="eastAsia" w:ascii="宋体" w:hAnsi="宋体" w:cs="宋体"/>
                <w:color w:val="auto"/>
                <w:spacing w:val="-2"/>
                <w:szCs w:val="21"/>
                <w:highlight w:val="none"/>
                <w:lang w:val="en-US" w:eastAsia="zh-CN"/>
              </w:rPr>
              <w:t>拟投入</w:t>
            </w:r>
            <w:r>
              <w:rPr>
                <w:rFonts w:hint="eastAsia" w:ascii="宋体" w:hAnsi="宋体" w:eastAsia="宋体" w:cs="宋体"/>
                <w:color w:val="auto"/>
                <w:spacing w:val="-2"/>
                <w:szCs w:val="21"/>
                <w:highlight w:val="none"/>
              </w:rPr>
              <w:t>项目负责人①具有5年及以上</w:t>
            </w:r>
            <w:r>
              <w:rPr>
                <w:rFonts w:hint="eastAsia" w:ascii="宋体" w:hAnsi="宋体" w:cs="宋体"/>
                <w:color w:val="auto"/>
                <w:spacing w:val="-2"/>
                <w:szCs w:val="21"/>
                <w:highlight w:val="none"/>
                <w:lang w:val="en-US" w:eastAsia="zh-CN"/>
              </w:rPr>
              <w:t>相关</w:t>
            </w:r>
            <w:r>
              <w:rPr>
                <w:rFonts w:hint="eastAsia" w:ascii="宋体" w:hAnsi="宋体" w:eastAsia="宋体" w:cs="宋体"/>
                <w:color w:val="auto"/>
                <w:spacing w:val="-2"/>
                <w:szCs w:val="21"/>
                <w:highlight w:val="none"/>
              </w:rPr>
              <w:t>经验的得</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rPr>
              <w:t>分</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②</w:t>
            </w:r>
            <w:r>
              <w:rPr>
                <w:rFonts w:hint="eastAsia" w:ascii="宋体" w:hAnsi="宋体" w:eastAsia="宋体" w:cs="宋体"/>
                <w:color w:val="auto"/>
                <w:spacing w:val="-2"/>
                <w:szCs w:val="21"/>
                <w:highlight w:val="none"/>
              </w:rPr>
              <w:t>具有养老护理员证书的得</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rPr>
              <w:t>分</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③</w:t>
            </w:r>
            <w:r>
              <w:rPr>
                <w:rFonts w:hint="eastAsia" w:ascii="宋体" w:hAnsi="宋体" w:eastAsia="宋体" w:cs="宋体"/>
                <w:color w:val="auto"/>
                <w:spacing w:val="-2"/>
                <w:szCs w:val="21"/>
                <w:highlight w:val="none"/>
              </w:rPr>
              <w:t>具有</w:t>
            </w:r>
            <w:r>
              <w:rPr>
                <w:rFonts w:hint="eastAsia" w:ascii="宋体" w:hAnsi="宋体" w:cs="宋体"/>
                <w:color w:val="auto"/>
                <w:spacing w:val="-2"/>
                <w:szCs w:val="21"/>
                <w:highlight w:val="none"/>
                <w:lang w:val="en-US" w:eastAsia="zh-CN"/>
              </w:rPr>
              <w:t>相关主管部门颁</w:t>
            </w:r>
            <w:r>
              <w:rPr>
                <w:rFonts w:hint="eastAsia" w:ascii="宋体" w:hAnsi="宋体" w:cs="宋体"/>
                <w:strike w:val="0"/>
                <w:dstrike w:val="0"/>
                <w:color w:val="auto"/>
                <w:spacing w:val="-2"/>
                <w:szCs w:val="21"/>
                <w:highlight w:val="none"/>
                <w:lang w:val="en-US" w:eastAsia="zh-CN"/>
              </w:rPr>
              <w:t>发</w:t>
            </w:r>
            <w:r>
              <w:rPr>
                <w:rFonts w:hint="eastAsia" w:ascii="宋体" w:hAnsi="宋体" w:cs="宋体"/>
                <w:strike w:val="0"/>
                <w:dstrike w:val="0"/>
                <w:color w:val="auto"/>
                <w:spacing w:val="-2"/>
                <w:szCs w:val="21"/>
                <w:highlight w:val="none"/>
                <w:shd w:val="clear" w:color="auto" w:fill="auto"/>
                <w:lang w:val="en-US" w:eastAsia="zh-CN"/>
              </w:rPr>
              <w:t>的</w:t>
            </w:r>
            <w:bookmarkStart w:id="88" w:name="OLE_LINK3"/>
            <w:r>
              <w:rPr>
                <w:rFonts w:hint="eastAsia" w:ascii="宋体" w:hAnsi="宋体" w:cs="宋体"/>
                <w:strike w:val="0"/>
                <w:dstrike w:val="0"/>
                <w:color w:val="auto"/>
                <w:spacing w:val="-2"/>
                <w:szCs w:val="21"/>
                <w:highlight w:val="none"/>
                <w:shd w:val="clear" w:color="auto" w:fill="auto"/>
                <w:lang w:val="en-US" w:eastAsia="zh-CN"/>
              </w:rPr>
              <w:t>企业人力资源管理</w:t>
            </w:r>
            <w:r>
              <w:rPr>
                <w:rFonts w:hint="eastAsia" w:ascii="宋体" w:hAnsi="宋体" w:eastAsia="宋体" w:cs="宋体"/>
                <w:strike w:val="0"/>
                <w:dstrike w:val="0"/>
                <w:color w:val="auto"/>
                <w:spacing w:val="-2"/>
                <w:szCs w:val="21"/>
                <w:highlight w:val="none"/>
                <w:shd w:val="clear" w:color="auto" w:fill="auto"/>
              </w:rPr>
              <w:t>师</w:t>
            </w:r>
            <w:bookmarkEnd w:id="88"/>
            <w:r>
              <w:rPr>
                <w:rFonts w:hint="eastAsia" w:ascii="宋体" w:hAnsi="宋体" w:cs="宋体"/>
                <w:strike w:val="0"/>
                <w:dstrike w:val="0"/>
                <w:color w:val="auto"/>
                <w:spacing w:val="-2"/>
                <w:szCs w:val="21"/>
                <w:highlight w:val="none"/>
                <w:shd w:val="clear" w:color="auto" w:fill="auto"/>
                <w:lang w:val="en-US" w:eastAsia="zh-CN"/>
              </w:rPr>
              <w:t>二级及以上</w:t>
            </w:r>
            <w:r>
              <w:rPr>
                <w:rFonts w:hint="eastAsia" w:ascii="宋体" w:hAnsi="宋体" w:eastAsia="宋体" w:cs="宋体"/>
                <w:strike w:val="0"/>
                <w:dstrike w:val="0"/>
                <w:color w:val="auto"/>
                <w:spacing w:val="-2"/>
                <w:szCs w:val="21"/>
                <w:highlight w:val="none"/>
                <w:shd w:val="clear" w:color="auto" w:fill="auto"/>
              </w:rPr>
              <w:t>证书得</w:t>
            </w:r>
            <w:r>
              <w:rPr>
                <w:rFonts w:hint="eastAsia" w:ascii="宋体" w:hAnsi="宋体" w:cs="宋体"/>
                <w:strike w:val="0"/>
                <w:dstrike w:val="0"/>
                <w:color w:val="auto"/>
                <w:spacing w:val="-2"/>
                <w:szCs w:val="21"/>
                <w:highlight w:val="none"/>
                <w:shd w:val="clear" w:color="auto" w:fill="auto"/>
                <w:lang w:val="en-US" w:eastAsia="zh-CN"/>
              </w:rPr>
              <w:t>1</w:t>
            </w:r>
            <w:r>
              <w:rPr>
                <w:rFonts w:hint="eastAsia" w:ascii="宋体" w:hAnsi="宋体" w:eastAsia="宋体" w:cs="宋体"/>
                <w:strike w:val="0"/>
                <w:dstrike w:val="0"/>
                <w:color w:val="auto"/>
                <w:spacing w:val="-2"/>
                <w:szCs w:val="21"/>
                <w:highlight w:val="none"/>
                <w:shd w:val="clear" w:color="auto" w:fill="auto"/>
              </w:rPr>
              <w:t>分。</w:t>
            </w:r>
            <w:r>
              <w:rPr>
                <w:rFonts w:hint="eastAsia" w:ascii="宋体" w:hAnsi="宋体" w:cs="宋体"/>
                <w:strike w:val="0"/>
                <w:dstrike w:val="0"/>
                <w:color w:val="auto"/>
                <w:spacing w:val="-2"/>
                <w:szCs w:val="21"/>
                <w:highlight w:val="none"/>
                <w:shd w:val="clear" w:color="auto" w:fill="auto"/>
                <w:lang w:val="en-US" w:eastAsia="zh-CN"/>
              </w:rPr>
              <w:t>最多得3分，不提供不得分。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pacing w:val="-2"/>
                <w:szCs w:val="21"/>
                <w:highlight w:val="none"/>
                <w:lang w:val="en-US" w:eastAsia="zh-CN"/>
              </w:rPr>
            </w:pPr>
            <w:r>
              <w:rPr>
                <w:rFonts w:hint="eastAsia" w:ascii="宋体" w:hAnsi="宋体" w:cs="宋体"/>
                <w:strike w:val="0"/>
                <w:dstrike w:val="0"/>
                <w:color w:val="auto"/>
                <w:spacing w:val="-2"/>
                <w:szCs w:val="21"/>
                <w:highlight w:val="none"/>
                <w:lang w:val="en-US" w:eastAsia="zh-CN"/>
              </w:rPr>
              <w:t>注：1.经验证明</w:t>
            </w:r>
            <w:r>
              <w:rPr>
                <w:rFonts w:hint="eastAsia" w:ascii="宋体" w:hAnsi="宋体" w:eastAsia="宋体" w:cs="宋体"/>
                <w:strike w:val="0"/>
                <w:dstrike w:val="0"/>
                <w:color w:val="auto"/>
                <w:spacing w:val="-2"/>
                <w:szCs w:val="21"/>
                <w:highlight w:val="none"/>
              </w:rPr>
              <w:t>须提供</w:t>
            </w:r>
            <w:r>
              <w:rPr>
                <w:rFonts w:hint="eastAsia" w:ascii="宋体" w:hAnsi="宋体" w:cs="宋体"/>
                <w:strike w:val="0"/>
                <w:dstrike w:val="0"/>
                <w:color w:val="auto"/>
                <w:spacing w:val="-2"/>
                <w:szCs w:val="21"/>
                <w:highlight w:val="none"/>
                <w:lang w:val="en-US" w:eastAsia="zh-CN"/>
              </w:rPr>
              <w:t>项目</w:t>
            </w:r>
            <w:r>
              <w:rPr>
                <w:rFonts w:hint="eastAsia" w:ascii="宋体" w:hAnsi="宋体" w:eastAsia="宋体" w:cs="宋体"/>
                <w:strike w:val="0"/>
                <w:dstrike w:val="0"/>
                <w:color w:val="auto"/>
                <w:spacing w:val="-2"/>
                <w:szCs w:val="21"/>
                <w:highlight w:val="none"/>
              </w:rPr>
              <w:t>合同，合同中未体现项目负责</w:t>
            </w:r>
            <w:r>
              <w:rPr>
                <w:rFonts w:hint="eastAsia" w:ascii="宋体" w:hAnsi="宋体" w:eastAsia="宋体" w:cs="宋体"/>
                <w:color w:val="auto"/>
                <w:spacing w:val="-2"/>
                <w:szCs w:val="21"/>
                <w:highlight w:val="none"/>
              </w:rPr>
              <w:t>人姓名的，需提供</w:t>
            </w:r>
            <w:r>
              <w:rPr>
                <w:rFonts w:hint="eastAsia" w:ascii="宋体" w:hAnsi="宋体" w:cs="宋体"/>
                <w:color w:val="auto"/>
                <w:spacing w:val="-2"/>
                <w:szCs w:val="21"/>
                <w:highlight w:val="none"/>
                <w:lang w:val="en-US" w:eastAsia="zh-CN"/>
              </w:rPr>
              <w:t>服务</w:t>
            </w:r>
            <w:r>
              <w:rPr>
                <w:rFonts w:hint="eastAsia" w:ascii="宋体" w:hAnsi="宋体" w:eastAsia="宋体" w:cs="宋体"/>
                <w:color w:val="auto"/>
                <w:spacing w:val="-2"/>
                <w:szCs w:val="21"/>
                <w:highlight w:val="none"/>
              </w:rPr>
              <w:t>购买方的有效证明材料</w:t>
            </w:r>
            <w:r>
              <w:rPr>
                <w:rFonts w:hint="eastAsia" w:ascii="宋体" w:hAnsi="宋体" w:cs="宋体"/>
                <w:color w:val="auto"/>
                <w:spacing w:val="-2"/>
                <w:szCs w:val="21"/>
                <w:highlight w:val="none"/>
                <w:lang w:val="en-US" w:eastAsia="zh-CN"/>
              </w:rPr>
              <w:t>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2.须</w:t>
            </w:r>
            <w:r>
              <w:rPr>
                <w:rFonts w:hint="eastAsia" w:ascii="宋体" w:hAnsi="宋体" w:eastAsia="宋体" w:cs="宋体"/>
                <w:color w:val="auto"/>
                <w:spacing w:val="-2"/>
                <w:szCs w:val="21"/>
                <w:highlight w:val="none"/>
              </w:rPr>
              <w:t>相关证书</w:t>
            </w:r>
            <w:r>
              <w:rPr>
                <w:rFonts w:hint="eastAsia" w:ascii="宋体" w:hAnsi="宋体" w:cs="宋体"/>
                <w:color w:val="auto"/>
                <w:spacing w:val="-2"/>
                <w:szCs w:val="21"/>
                <w:highlight w:val="none"/>
                <w:lang w:val="en-US" w:eastAsia="zh-CN"/>
              </w:rPr>
              <w:t>扫描件、与投标人签订的劳动合同及</w:t>
            </w:r>
            <w:r>
              <w:rPr>
                <w:rFonts w:hint="eastAsia" w:ascii="宋体" w:hAnsi="宋体" w:eastAsia="宋体" w:cs="宋体"/>
                <w:color w:val="auto"/>
                <w:spacing w:val="-2"/>
                <w:szCs w:val="21"/>
                <w:highlight w:val="none"/>
              </w:rPr>
              <w:t>近三个月单位社保证明</w:t>
            </w:r>
            <w:r>
              <w:rPr>
                <w:rFonts w:hint="eastAsia" w:ascii="宋体" w:hAnsi="宋体" w:cs="宋体"/>
                <w:color w:val="auto"/>
                <w:spacing w:val="-2"/>
                <w:szCs w:val="21"/>
                <w:highlight w:val="none"/>
                <w:lang w:val="en-US" w:eastAsia="zh-CN"/>
              </w:rPr>
              <w:t>扫描件。</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78"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Cs w:val="21"/>
                <w:highlight w:val="none"/>
              </w:rPr>
            </w:pPr>
          </w:p>
        </w:tc>
        <w:tc>
          <w:tcPr>
            <w:tcW w:w="133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tc>
        <w:tc>
          <w:tcPr>
            <w:tcW w:w="6405"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拟派至本项目组成员（项目负责人除外）具有中级及以上社会工作师、紧急救助员证书、护士执业证书、中级及以上护理学证书、高级健康管理师、养老护理员证书、客户信息服务专业技能证书、消防设施操作员，每提供一个证书得1分，最高8分。同类证书不同人员不可重复计分，</w:t>
            </w:r>
            <w:r>
              <w:rPr>
                <w:rFonts w:hint="eastAsia" w:ascii="宋体" w:hAnsi="宋体" w:eastAsia="宋体" w:cs="宋体"/>
                <w:color w:val="auto"/>
                <w:spacing w:val="-2"/>
                <w:szCs w:val="21"/>
                <w:highlight w:val="none"/>
                <w:lang w:val="en-US" w:eastAsia="zh-CN"/>
              </w:rPr>
              <w:t>不提供不得分</w:t>
            </w:r>
            <w:r>
              <w:rPr>
                <w:rFonts w:hint="eastAsia" w:ascii="宋体" w:hAnsi="宋体" w:eastAsia="宋体" w:cs="宋体"/>
                <w:color w:val="auto"/>
                <w:spacing w:val="-2"/>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eastAsia="宋体" w:cs="宋体"/>
                <w:color w:val="auto"/>
                <w:spacing w:val="-2"/>
                <w:szCs w:val="21"/>
                <w:highlight w:val="none"/>
                <w:lang w:val="en-US" w:eastAsia="zh-CN"/>
              </w:rPr>
              <w:t>注：须提供相关证书扫描件、与投标人签订的劳动合同及近三个月单位社保证明扫描件。</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Cs w:val="21"/>
                <w:highlight w:val="none"/>
              </w:rPr>
            </w:pPr>
          </w:p>
        </w:tc>
        <w:tc>
          <w:tcPr>
            <w:tcW w:w="1338"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信息化运营水平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10分</w:t>
            </w:r>
            <w:r>
              <w:rPr>
                <w:rFonts w:hint="eastAsia" w:ascii="宋体" w:hAnsi="宋体" w:cs="宋体"/>
                <w:color w:val="auto"/>
                <w:highlight w:val="none"/>
                <w:lang w:eastAsia="zh-CN"/>
              </w:rPr>
              <w:t>）</w:t>
            </w:r>
          </w:p>
        </w:tc>
        <w:tc>
          <w:tcPr>
            <w:tcW w:w="6405"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投标人拥有自主研发的信息系统，提供适老化改造智慧管理、家庭养老床位系统、养老服务评估管理系统</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居家养老服务管理、养老服务运营监控</w:t>
            </w:r>
            <w:r>
              <w:rPr>
                <w:rFonts w:hint="eastAsia" w:ascii="宋体" w:hAnsi="宋体" w:eastAsia="宋体" w:cs="宋体"/>
                <w:color w:val="auto"/>
                <w:spacing w:val="-2"/>
                <w:szCs w:val="21"/>
                <w:highlight w:val="none"/>
              </w:rPr>
              <w:t>相关软件著作权证书，</w:t>
            </w:r>
            <w:r>
              <w:rPr>
                <w:rFonts w:hint="eastAsia" w:ascii="宋体" w:hAnsi="宋体" w:cs="宋体"/>
                <w:color w:val="auto"/>
                <w:spacing w:val="-2"/>
                <w:szCs w:val="21"/>
                <w:highlight w:val="none"/>
                <w:lang w:val="en-US" w:eastAsia="zh-CN"/>
              </w:rPr>
              <w:t>每提供一项得2</w:t>
            </w:r>
            <w:r>
              <w:rPr>
                <w:rFonts w:hint="eastAsia" w:ascii="宋体" w:hAnsi="宋体" w:eastAsia="宋体" w:cs="宋体"/>
                <w:color w:val="auto"/>
                <w:spacing w:val="-2"/>
                <w:szCs w:val="21"/>
                <w:highlight w:val="none"/>
              </w:rPr>
              <w:t>分，最多得</w:t>
            </w:r>
            <w:r>
              <w:rPr>
                <w:rFonts w:hint="eastAsia" w:ascii="宋体" w:hAnsi="宋体" w:cs="宋体"/>
                <w:color w:val="auto"/>
                <w:spacing w:val="-2"/>
                <w:szCs w:val="21"/>
                <w:highlight w:val="none"/>
                <w:lang w:val="en-US" w:eastAsia="zh-CN"/>
              </w:rPr>
              <w:t>10</w:t>
            </w:r>
            <w:r>
              <w:rPr>
                <w:rFonts w:hint="eastAsia" w:ascii="宋体" w:hAnsi="宋体" w:eastAsia="宋体" w:cs="宋体"/>
                <w:color w:val="auto"/>
                <w:spacing w:val="-2"/>
                <w:szCs w:val="21"/>
                <w:highlight w:val="none"/>
              </w:rPr>
              <w:t>分</w:t>
            </w:r>
            <w:r>
              <w:rPr>
                <w:rFonts w:hint="eastAsia" w:ascii="宋体" w:hAnsi="宋体" w:cs="宋体"/>
                <w:color w:val="auto"/>
                <w:spacing w:val="-2"/>
                <w:szCs w:val="21"/>
                <w:highlight w:val="none"/>
                <w:lang w:eastAsia="zh-CN"/>
              </w:rPr>
              <w:t>，</w:t>
            </w:r>
            <w:bookmarkStart w:id="89" w:name="OLE_LINK4"/>
            <w:r>
              <w:rPr>
                <w:rFonts w:hint="eastAsia" w:ascii="宋体" w:hAnsi="宋体" w:cs="宋体"/>
                <w:color w:val="auto"/>
                <w:spacing w:val="-2"/>
                <w:szCs w:val="21"/>
                <w:highlight w:val="none"/>
                <w:lang w:val="en-US" w:eastAsia="zh-CN"/>
              </w:rPr>
              <w:t>不提供不得分</w:t>
            </w:r>
            <w:bookmarkEnd w:id="89"/>
            <w:r>
              <w:rPr>
                <w:rFonts w:hint="eastAsia" w:ascii="宋体" w:hAnsi="宋体" w:eastAsia="宋体" w:cs="宋体"/>
                <w:color w:val="auto"/>
                <w:spacing w:val="-2"/>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注</w:t>
            </w:r>
            <w:r>
              <w:rPr>
                <w:rFonts w:hint="eastAsia" w:ascii="宋体" w:hAnsi="宋体" w:eastAsia="宋体" w:cs="宋体"/>
                <w:color w:val="auto"/>
                <w:spacing w:val="-2"/>
                <w:szCs w:val="21"/>
                <w:highlight w:val="none"/>
              </w:rPr>
              <w:t>：提供软件著作权证书原件扫描件。</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3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投标人具有</w:t>
            </w:r>
            <w:r>
              <w:rPr>
                <w:rFonts w:hint="eastAsia" w:ascii="宋体" w:hAnsi="宋体" w:cs="宋体"/>
                <w:color w:val="auto"/>
                <w:spacing w:val="-2"/>
                <w:szCs w:val="21"/>
                <w:highlight w:val="none"/>
                <w:lang w:val="en-US" w:eastAsia="zh-CN"/>
              </w:rPr>
              <w:t>有效期内的ISO9001质量管理体系认证证书、</w:t>
            </w:r>
            <w:r>
              <w:rPr>
                <w:rFonts w:hint="eastAsia" w:ascii="宋体" w:hAnsi="宋体" w:eastAsia="宋体" w:cs="宋体"/>
                <w:color w:val="auto"/>
                <w:spacing w:val="-2"/>
                <w:szCs w:val="21"/>
                <w:highlight w:val="none"/>
                <w:lang w:val="en-US" w:eastAsia="zh-CN"/>
              </w:rPr>
              <w:t>ISO20000信息技术服务管理体系认证证书</w:t>
            </w:r>
            <w:r>
              <w:rPr>
                <w:rFonts w:hint="eastAsia" w:ascii="宋体" w:hAnsi="宋体" w:cs="宋体"/>
                <w:color w:val="auto"/>
                <w:spacing w:val="-2"/>
                <w:szCs w:val="21"/>
                <w:highlight w:val="none"/>
                <w:lang w:val="en-US" w:eastAsia="zh-CN"/>
              </w:rPr>
              <w:t>、ISO27001信息安全管理体系认证证书</w:t>
            </w:r>
            <w:r>
              <w:rPr>
                <w:rFonts w:hint="eastAsia" w:ascii="宋体" w:hAnsi="宋体" w:eastAsia="宋体" w:cs="宋体"/>
                <w:color w:val="auto"/>
                <w:spacing w:val="-2"/>
                <w:szCs w:val="21"/>
                <w:highlight w:val="none"/>
                <w:lang w:val="en-US" w:eastAsia="zh-CN"/>
              </w:rPr>
              <w:t>的，且认证范围包含</w:t>
            </w:r>
            <w:r>
              <w:rPr>
                <w:rFonts w:hint="eastAsia" w:ascii="宋体" w:hAnsi="宋体" w:cs="宋体"/>
                <w:color w:val="auto"/>
                <w:spacing w:val="-2"/>
                <w:szCs w:val="21"/>
                <w:highlight w:val="none"/>
                <w:lang w:val="en-US" w:eastAsia="zh-CN"/>
              </w:rPr>
              <w:t>智慧养老服务等</w:t>
            </w:r>
            <w:r>
              <w:rPr>
                <w:rFonts w:hint="eastAsia" w:ascii="宋体" w:hAnsi="宋体" w:eastAsia="宋体" w:cs="宋体"/>
                <w:color w:val="auto"/>
                <w:spacing w:val="-2"/>
                <w:szCs w:val="21"/>
                <w:highlight w:val="none"/>
                <w:lang w:val="en-US" w:eastAsia="zh-CN"/>
              </w:rPr>
              <w:t>相关</w:t>
            </w:r>
            <w:r>
              <w:rPr>
                <w:rFonts w:hint="eastAsia" w:ascii="宋体" w:hAnsi="宋体" w:cs="宋体"/>
                <w:color w:val="auto"/>
                <w:spacing w:val="-2"/>
                <w:szCs w:val="21"/>
                <w:highlight w:val="none"/>
                <w:lang w:val="en-US" w:eastAsia="zh-CN"/>
              </w:rPr>
              <w:t>内容</w:t>
            </w:r>
            <w:r>
              <w:rPr>
                <w:rFonts w:hint="eastAsia" w:ascii="宋体" w:hAnsi="宋体" w:eastAsia="宋体" w:cs="宋体"/>
                <w:color w:val="auto"/>
                <w:spacing w:val="-2"/>
                <w:szCs w:val="21"/>
                <w:highlight w:val="none"/>
                <w:lang w:val="en-US" w:eastAsia="zh-CN"/>
              </w:rPr>
              <w:t>的，</w:t>
            </w:r>
            <w:r>
              <w:rPr>
                <w:rFonts w:hint="eastAsia" w:ascii="宋体" w:hAnsi="宋体" w:cs="宋体"/>
                <w:color w:val="auto"/>
                <w:spacing w:val="-2"/>
                <w:szCs w:val="21"/>
                <w:highlight w:val="none"/>
                <w:lang w:val="en-US" w:eastAsia="zh-CN"/>
              </w:rPr>
              <w:t>每满足一项得1项得2分，最多</w:t>
            </w:r>
            <w:r>
              <w:rPr>
                <w:rFonts w:hint="eastAsia" w:ascii="宋体" w:hAnsi="宋体" w:eastAsia="宋体" w:cs="宋体"/>
                <w:color w:val="auto"/>
                <w:spacing w:val="-2"/>
                <w:szCs w:val="21"/>
                <w:highlight w:val="none"/>
                <w:lang w:val="en-US" w:eastAsia="zh-CN"/>
              </w:rPr>
              <w:t>得</w:t>
            </w:r>
            <w:r>
              <w:rPr>
                <w:rFonts w:hint="eastAsia" w:ascii="宋体" w:hAnsi="宋体" w:cs="宋体"/>
                <w:color w:val="auto"/>
                <w:spacing w:val="-2"/>
                <w:szCs w:val="21"/>
                <w:highlight w:val="none"/>
                <w:lang w:val="en-US" w:eastAsia="zh-CN"/>
              </w:rPr>
              <w:t>6</w:t>
            </w:r>
            <w:r>
              <w:rPr>
                <w:rFonts w:hint="eastAsia" w:ascii="宋体" w:hAnsi="宋体" w:eastAsia="宋体" w:cs="宋体"/>
                <w:color w:val="auto"/>
                <w:spacing w:val="-2"/>
                <w:szCs w:val="21"/>
                <w:highlight w:val="none"/>
                <w:lang w:val="en-US" w:eastAsia="zh-CN"/>
              </w:rPr>
              <w:t>分，不提供不得分。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注：</w:t>
            </w:r>
            <w:r>
              <w:rPr>
                <w:rFonts w:hint="eastAsia" w:ascii="宋体" w:hAnsi="宋体" w:eastAsia="宋体" w:cs="宋体"/>
                <w:color w:val="auto"/>
                <w:spacing w:val="-2"/>
                <w:szCs w:val="21"/>
                <w:highlight w:val="none"/>
                <w:lang w:val="en-US" w:eastAsia="zh-CN"/>
              </w:rPr>
              <w:t>须提供相关证书复印件，并提供全国认证认可信息公共服务平台（http://www.cnca.gov.cn/）的证书查询截图和网址。没有提供或缺项不得分。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1874"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6405"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2021年1月1日以来，</w:t>
            </w:r>
            <w:r>
              <w:rPr>
                <w:rFonts w:hint="eastAsia" w:ascii="宋体" w:hAnsi="宋体" w:eastAsia="宋体" w:cs="宋体"/>
                <w:color w:val="auto"/>
                <w:spacing w:val="-2"/>
                <w:szCs w:val="21"/>
                <w:highlight w:val="none"/>
                <w:lang w:val="en-US" w:eastAsia="zh-CN"/>
              </w:rPr>
              <w:t>投标人</w:t>
            </w:r>
            <w:r>
              <w:rPr>
                <w:rFonts w:hint="eastAsia" w:ascii="宋体" w:hAnsi="宋体" w:cs="宋体"/>
                <w:color w:val="auto"/>
                <w:spacing w:val="-2"/>
                <w:szCs w:val="21"/>
                <w:highlight w:val="none"/>
                <w:lang w:val="en-US" w:eastAsia="zh-CN"/>
              </w:rPr>
              <w:t>养老品牌获得相关主管部门颁发荣誉或表彰</w:t>
            </w:r>
            <w:r>
              <w:rPr>
                <w:rFonts w:hint="eastAsia" w:ascii="宋体" w:hAnsi="宋体" w:eastAsia="宋体" w:cs="宋体"/>
                <w:color w:val="auto"/>
                <w:spacing w:val="-2"/>
                <w:szCs w:val="21"/>
                <w:highlight w:val="none"/>
                <w:lang w:val="en-US" w:eastAsia="zh-CN"/>
              </w:rPr>
              <w:t>的，</w:t>
            </w:r>
            <w:r>
              <w:rPr>
                <w:rFonts w:hint="eastAsia" w:ascii="宋体" w:hAnsi="宋体" w:cs="宋体"/>
                <w:color w:val="auto"/>
                <w:spacing w:val="-2"/>
                <w:szCs w:val="21"/>
                <w:highlight w:val="none"/>
                <w:lang w:val="en-US" w:eastAsia="zh-CN"/>
              </w:rPr>
              <w:t>省级及以上荣誉</w:t>
            </w:r>
            <w:r>
              <w:rPr>
                <w:rFonts w:hint="eastAsia" w:ascii="宋体" w:hAnsi="宋体" w:eastAsia="宋体" w:cs="宋体"/>
                <w:color w:val="auto"/>
                <w:spacing w:val="-2"/>
                <w:szCs w:val="21"/>
                <w:highlight w:val="none"/>
                <w:lang w:val="en-US" w:eastAsia="zh-CN"/>
              </w:rPr>
              <w:t>得</w:t>
            </w: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地市级荣誉</w:t>
            </w:r>
            <w:r>
              <w:rPr>
                <w:rFonts w:hint="eastAsia" w:ascii="宋体" w:hAnsi="宋体" w:eastAsia="宋体" w:cs="宋体"/>
                <w:color w:val="auto"/>
                <w:spacing w:val="-2"/>
                <w:szCs w:val="21"/>
                <w:highlight w:val="none"/>
                <w:lang w:val="en-US" w:eastAsia="zh-CN"/>
              </w:rPr>
              <w:t>得</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最高得3</w:t>
            </w:r>
            <w:r>
              <w:rPr>
                <w:rFonts w:hint="eastAsia" w:ascii="宋体" w:hAnsi="宋体" w:eastAsia="宋体" w:cs="宋体"/>
                <w:color w:val="auto"/>
                <w:spacing w:val="-2"/>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cs="宋体"/>
                <w:color w:val="auto"/>
                <w:spacing w:val="-2"/>
                <w:szCs w:val="21"/>
                <w:highlight w:val="none"/>
                <w:lang w:val="en-US" w:eastAsia="zh-CN"/>
              </w:rPr>
              <w:t>注</w:t>
            </w:r>
            <w:r>
              <w:rPr>
                <w:rFonts w:hint="eastAsia" w:ascii="宋体" w:hAnsi="宋体" w:eastAsia="宋体" w:cs="宋体"/>
                <w:color w:val="auto"/>
                <w:spacing w:val="-2"/>
                <w:szCs w:val="21"/>
                <w:highlight w:val="none"/>
                <w:lang w:val="en-US" w:eastAsia="zh-CN"/>
              </w:rPr>
              <w:t>：</w:t>
            </w:r>
            <w:r>
              <w:rPr>
                <w:rFonts w:hint="eastAsia" w:ascii="宋体" w:hAnsi="宋体" w:cs="宋体"/>
                <w:color w:val="auto"/>
                <w:spacing w:val="-2"/>
                <w:szCs w:val="21"/>
                <w:highlight w:val="none"/>
                <w:lang w:val="en-US" w:eastAsia="zh-CN"/>
              </w:rPr>
              <w:t>本项取最高级别计分，不累计，投标人须</w:t>
            </w:r>
            <w:r>
              <w:rPr>
                <w:rFonts w:hint="eastAsia" w:ascii="宋体" w:hAnsi="宋体" w:eastAsia="宋体" w:cs="宋体"/>
                <w:color w:val="auto"/>
                <w:spacing w:val="-2"/>
                <w:szCs w:val="21"/>
                <w:highlight w:val="none"/>
                <w:lang w:val="en-US" w:eastAsia="zh-CN"/>
              </w:rPr>
              <w:t>提供相关主管部门颁发的荣誉文件扫描件，或官方网站相关公示/公告链接及截图，以政府发文</w:t>
            </w:r>
            <w:r>
              <w:rPr>
                <w:rFonts w:hint="eastAsia" w:ascii="宋体" w:hAnsi="宋体" w:cs="宋体"/>
                <w:color w:val="auto"/>
                <w:spacing w:val="-2"/>
                <w:szCs w:val="21"/>
                <w:highlight w:val="none"/>
                <w:lang w:val="en-US" w:eastAsia="zh-CN"/>
              </w:rPr>
              <w:t>或公示</w:t>
            </w:r>
            <w:r>
              <w:rPr>
                <w:rFonts w:hint="eastAsia" w:ascii="宋体" w:hAnsi="宋体" w:eastAsia="宋体" w:cs="宋体"/>
                <w:color w:val="auto"/>
                <w:spacing w:val="-2"/>
                <w:szCs w:val="21"/>
                <w:highlight w:val="none"/>
                <w:lang w:val="en-US" w:eastAsia="zh-CN"/>
              </w:rPr>
              <w:t>为准。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3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pacing w:val="-2"/>
                <w:szCs w:val="21"/>
                <w:highlight w:val="none"/>
                <w:lang w:val="en-US" w:eastAsia="zh-CN"/>
              </w:rPr>
            </w:pPr>
            <w:r>
              <w:rPr>
                <w:rFonts w:hint="eastAsia" w:ascii="宋体" w:hAnsi="宋体" w:cs="宋体"/>
                <w:color w:val="auto"/>
                <w:spacing w:val="-2"/>
                <w:szCs w:val="21"/>
                <w:highlight w:val="none"/>
                <w:lang w:val="en-US" w:eastAsia="zh-CN"/>
              </w:rPr>
              <w:t>2021年1月1日以来，</w:t>
            </w:r>
            <w:r>
              <w:rPr>
                <w:rFonts w:hint="eastAsia" w:ascii="宋体" w:hAnsi="宋体" w:eastAsia="宋体" w:cs="宋体"/>
                <w:color w:val="auto"/>
                <w:spacing w:val="-2"/>
                <w:szCs w:val="21"/>
                <w:highlight w:val="none"/>
                <w:lang w:val="en-US" w:eastAsia="zh-CN"/>
              </w:rPr>
              <w:t>投标人获得相关主管部门颁发的养老服务相关</w:t>
            </w:r>
            <w:r>
              <w:rPr>
                <w:rFonts w:hint="eastAsia" w:ascii="宋体" w:hAnsi="宋体" w:cs="宋体"/>
                <w:color w:val="auto"/>
                <w:spacing w:val="-2"/>
                <w:szCs w:val="21"/>
                <w:highlight w:val="none"/>
                <w:lang w:val="en-US" w:eastAsia="zh-CN"/>
              </w:rPr>
              <w:t>示范</w:t>
            </w:r>
            <w:r>
              <w:rPr>
                <w:rFonts w:hint="eastAsia" w:ascii="宋体" w:hAnsi="宋体" w:eastAsia="宋体" w:cs="宋体"/>
                <w:color w:val="auto"/>
                <w:spacing w:val="-2"/>
                <w:szCs w:val="21"/>
                <w:highlight w:val="none"/>
                <w:lang w:val="en-US" w:eastAsia="zh-CN"/>
              </w:rPr>
              <w:t>荣誉</w:t>
            </w:r>
            <w:r>
              <w:rPr>
                <w:rFonts w:hint="eastAsia" w:ascii="宋体" w:hAnsi="宋体" w:cs="宋体"/>
                <w:color w:val="auto"/>
                <w:spacing w:val="-2"/>
                <w:szCs w:val="21"/>
                <w:highlight w:val="none"/>
                <w:lang w:val="en-US" w:eastAsia="zh-CN"/>
              </w:rPr>
              <w:t>的，省级及以上示范荣誉</w:t>
            </w:r>
            <w:r>
              <w:rPr>
                <w:rFonts w:hint="eastAsia" w:ascii="宋体" w:hAnsi="宋体" w:eastAsia="宋体" w:cs="宋体"/>
                <w:color w:val="auto"/>
                <w:spacing w:val="-2"/>
                <w:szCs w:val="21"/>
                <w:highlight w:val="none"/>
                <w:lang w:val="en-US" w:eastAsia="zh-CN"/>
              </w:rPr>
              <w:t>得</w:t>
            </w: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地市级示范荣誉</w:t>
            </w:r>
            <w:r>
              <w:rPr>
                <w:rFonts w:hint="eastAsia" w:ascii="宋体" w:hAnsi="宋体" w:eastAsia="宋体" w:cs="宋体"/>
                <w:color w:val="auto"/>
                <w:spacing w:val="-2"/>
                <w:szCs w:val="21"/>
                <w:highlight w:val="none"/>
                <w:lang w:val="en-US" w:eastAsia="zh-CN"/>
              </w:rPr>
              <w:t>得</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最高得3</w:t>
            </w:r>
            <w:r>
              <w:rPr>
                <w:rFonts w:hint="eastAsia" w:ascii="宋体" w:hAnsi="宋体" w:eastAsia="宋体" w:cs="宋体"/>
                <w:color w:val="auto"/>
                <w:spacing w:val="-2"/>
                <w:szCs w:val="21"/>
                <w:highlight w:val="none"/>
                <w:lang w:val="en-US" w:eastAsia="zh-CN"/>
              </w:rPr>
              <w:t>分</w:t>
            </w:r>
            <w:r>
              <w:rPr>
                <w:rFonts w:hint="eastAsia" w:ascii="宋体" w:hAnsi="宋体" w:cs="宋体"/>
                <w:color w:val="auto"/>
                <w:spacing w:val="-2"/>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hAnsi="宋体" w:cs="宋体"/>
                <w:color w:val="auto"/>
                <w:spacing w:val="-2"/>
                <w:szCs w:val="21"/>
                <w:highlight w:val="none"/>
                <w:lang w:val="en-US" w:eastAsia="zh-CN"/>
              </w:rPr>
              <w:t>注</w:t>
            </w:r>
            <w:r>
              <w:rPr>
                <w:rFonts w:hint="eastAsia" w:ascii="宋体" w:hAnsi="宋体" w:eastAsia="宋体" w:cs="宋体"/>
                <w:color w:val="auto"/>
                <w:spacing w:val="-2"/>
                <w:szCs w:val="21"/>
                <w:highlight w:val="none"/>
                <w:lang w:val="en-US" w:eastAsia="zh-CN"/>
              </w:rPr>
              <w:t>：</w:t>
            </w:r>
            <w:r>
              <w:rPr>
                <w:rFonts w:hint="eastAsia" w:ascii="宋体" w:hAnsi="宋体" w:cs="宋体"/>
                <w:color w:val="auto"/>
                <w:spacing w:val="-2"/>
                <w:szCs w:val="21"/>
                <w:highlight w:val="none"/>
                <w:lang w:val="en-US" w:eastAsia="zh-CN"/>
              </w:rPr>
              <w:t>本项取最高级别计分，不累计，投标人须</w:t>
            </w:r>
            <w:r>
              <w:rPr>
                <w:rFonts w:hint="eastAsia" w:ascii="宋体" w:hAnsi="宋体" w:eastAsia="宋体" w:cs="宋体"/>
                <w:color w:val="auto"/>
                <w:spacing w:val="-2"/>
                <w:szCs w:val="21"/>
                <w:highlight w:val="none"/>
                <w:lang w:val="en-US" w:eastAsia="zh-CN"/>
              </w:rPr>
              <w:t>提供相关主管部门颁发的荣誉文件扫描件，或官方网站相关公示/公告链接及截图，以政府发文</w:t>
            </w:r>
            <w:r>
              <w:rPr>
                <w:rFonts w:hint="eastAsia" w:ascii="宋体" w:hAnsi="宋体" w:cs="宋体"/>
                <w:color w:val="auto"/>
                <w:spacing w:val="-2"/>
                <w:szCs w:val="21"/>
                <w:highlight w:val="none"/>
                <w:lang w:val="en-US" w:eastAsia="zh-CN"/>
              </w:rPr>
              <w:t>或公示</w:t>
            </w:r>
            <w:r>
              <w:rPr>
                <w:rFonts w:hint="eastAsia" w:ascii="宋体" w:hAnsi="宋体" w:eastAsia="宋体" w:cs="宋体"/>
                <w:color w:val="auto"/>
                <w:spacing w:val="-2"/>
                <w:szCs w:val="21"/>
                <w:highlight w:val="none"/>
                <w:lang w:val="en-US" w:eastAsia="zh-CN"/>
              </w:rPr>
              <w:t>为准。</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108" w:type="dxa"/>
            <w:bottom w:w="0" w:type="dxa"/>
            <w:right w:w="108" w:type="dxa"/>
          </w:tblCellMar>
        </w:tblPrEx>
        <w:trPr>
          <w:trHeight w:val="364" w:hRule="atLeast"/>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93"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服务承诺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（11分）</w:t>
            </w:r>
          </w:p>
        </w:tc>
        <w:tc>
          <w:tcPr>
            <w:tcW w:w="6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1.承诺接到工作任务后，积极配合采购人及第三方评估机构工作，投入充足人员和设施。(3分)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2.承诺做好各项协调工作，减轻采购人工作负担，保证工作顺利进行。（3分）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3.承诺接受民政局的指导和监督；对所开展的服务项目独自承担相应的法律责任，遵守国家法律及政策法规，不做任何损害老年群体权益</w:t>
            </w:r>
            <w:r>
              <w:rPr>
                <w:rFonts w:hint="eastAsia" w:ascii="宋体" w:hAnsi="宋体" w:eastAsia="宋体" w:cs="宋体"/>
                <w:color w:val="auto"/>
                <w:szCs w:val="21"/>
                <w:highlight w:val="none"/>
                <w:lang w:val="en-US" w:eastAsia="zh-CN"/>
              </w:rPr>
              <w:t>的事情；（3分）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auto"/>
                <w:highlight w:val="none"/>
                <w:lang w:val="en-US" w:eastAsia="zh-CN"/>
              </w:rPr>
            </w:pPr>
            <w:r>
              <w:rPr>
                <w:rFonts w:hint="eastAsia" w:ascii="宋体" w:hAnsi="宋体" w:eastAsia="宋体" w:cs="宋体"/>
                <w:color w:val="auto"/>
                <w:szCs w:val="21"/>
                <w:highlight w:val="none"/>
                <w:lang w:val="en-US" w:eastAsia="zh-CN"/>
              </w:rPr>
              <w:t>4.承诺做好服务投诉处理与反馈；建立多级内部监管机制，及时了解服务反馈情况，确保服务的高品质和良好的用户服务体验（</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r>
    </w:tbl>
    <w:p>
      <w:pPr>
        <w:spacing w:line="312" w:lineRule="auto"/>
        <w:rPr>
          <w:rFonts w:hint="eastAsia" w:ascii="宋体" w:hAnsi="宋体" w:eastAsia="宋体" w:cs="宋体"/>
          <w:color w:val="auto"/>
          <w:highlight w:val="none"/>
        </w:rPr>
      </w:pPr>
      <w:bookmarkStart w:id="90" w:name="_Toc472429324"/>
      <w:bookmarkStart w:id="91" w:name="_Toc472337679"/>
    </w:p>
    <w:bookmarkEnd w:id="90"/>
    <w:bookmarkEnd w:id="91"/>
    <w:p>
      <w:pPr>
        <w:pStyle w:val="7"/>
        <w:numPr>
          <w:ilvl w:val="0"/>
          <w:numId w:val="0"/>
        </w:numPr>
        <w:spacing w:before="0" w:after="0" w:line="312" w:lineRule="auto"/>
        <w:ind w:right="210"/>
        <w:rPr>
          <w:rFonts w:hint="eastAsia" w:ascii="宋体" w:hAnsi="宋体" w:eastAsia="宋体" w:cs="宋体"/>
          <w:color w:val="auto"/>
          <w:highlight w:val="none"/>
        </w:rPr>
      </w:pPr>
      <w:r>
        <w:rPr>
          <w:rFonts w:hint="eastAsia" w:ascii="宋体" w:hAnsi="宋体" w:eastAsia="宋体" w:cs="宋体"/>
          <w:color w:val="auto"/>
          <w:highlight w:val="none"/>
        </w:rPr>
        <w:t>1. 评标方法（综合评估法）</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本次评标采用综合评估法。评标委员会对满足招标文件实质性要求的投标文件，按照本</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章第2.2款规定的评分标准进行打分，并按得分由高到低顺序推荐中标候选人。综合评分相同时，按投标报价由低到高排列；投标报价也相等的，由采购人自行确定。</w:t>
      </w:r>
    </w:p>
    <w:p>
      <w:pPr>
        <w:pStyle w:val="7"/>
        <w:numPr>
          <w:ilvl w:val="0"/>
          <w:numId w:val="0"/>
        </w:numPr>
        <w:spacing w:before="0" w:after="0" w:line="312" w:lineRule="auto"/>
        <w:ind w:right="210"/>
        <w:rPr>
          <w:rFonts w:hint="eastAsia" w:ascii="宋体" w:hAnsi="宋体" w:eastAsia="宋体" w:cs="宋体"/>
          <w:color w:val="auto"/>
          <w:highlight w:val="none"/>
        </w:rPr>
      </w:pPr>
      <w:bookmarkStart w:id="92" w:name="_Toc472337680"/>
      <w:bookmarkEnd w:id="92"/>
      <w:bookmarkStart w:id="93" w:name="_Toc472429325"/>
      <w:bookmarkEnd w:id="93"/>
      <w:r>
        <w:rPr>
          <w:rFonts w:hint="eastAsia" w:ascii="宋体" w:hAnsi="宋体" w:eastAsia="宋体" w:cs="宋体"/>
          <w:color w:val="auto"/>
          <w:highlight w:val="none"/>
        </w:rPr>
        <w:t>2. 评审标准</w:t>
      </w:r>
    </w:p>
    <w:p>
      <w:pPr>
        <w:pStyle w:val="21"/>
        <w:spacing w:line="312" w:lineRule="auto"/>
        <w:rPr>
          <w:rFonts w:hint="eastAsia" w:ascii="宋体" w:hAnsi="宋体" w:eastAsia="宋体" w:cs="宋体"/>
          <w:color w:val="auto"/>
          <w:highlight w:val="none"/>
        </w:rPr>
      </w:pPr>
      <w:bookmarkStart w:id="94" w:name="_Toc472429326"/>
      <w:bookmarkEnd w:id="94"/>
      <w:bookmarkStart w:id="95" w:name="_Toc472337681"/>
      <w:bookmarkEnd w:id="95"/>
      <w:r>
        <w:rPr>
          <w:rFonts w:hint="eastAsia" w:ascii="宋体" w:hAnsi="宋体" w:eastAsia="宋体" w:cs="宋体"/>
          <w:color w:val="auto"/>
          <w:highlight w:val="none"/>
        </w:rPr>
        <w:t>2.1  初步评审标准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2.l.1资格评审标准：见评标办法前附表。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2.1.2符合性评审标准：见评标办法前附表。</w:t>
      </w:r>
    </w:p>
    <w:p>
      <w:pPr>
        <w:pStyle w:val="21"/>
        <w:spacing w:line="312" w:lineRule="auto"/>
        <w:rPr>
          <w:rFonts w:hint="eastAsia" w:ascii="宋体" w:hAnsi="宋体" w:eastAsia="宋体" w:cs="宋体"/>
          <w:color w:val="auto"/>
          <w:highlight w:val="none"/>
        </w:rPr>
      </w:pPr>
      <w:bookmarkStart w:id="96" w:name="_Toc472337682"/>
      <w:bookmarkEnd w:id="96"/>
      <w:bookmarkStart w:id="97" w:name="_Toc472429327"/>
      <w:bookmarkEnd w:id="97"/>
      <w:r>
        <w:rPr>
          <w:rFonts w:hint="eastAsia" w:ascii="宋体" w:hAnsi="宋体" w:eastAsia="宋体" w:cs="宋体"/>
          <w:color w:val="auto"/>
          <w:highlight w:val="none"/>
        </w:rPr>
        <w:t>2.2  分值构成与评分标准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2.2.1分值构成</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 商务部分：见评标办法前附表；</w:t>
      </w:r>
    </w:p>
    <w:p>
      <w:pPr>
        <w:spacing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技术部分：见评标办法前附表；</w:t>
      </w:r>
    </w:p>
    <w:p>
      <w:pPr>
        <w:spacing w:line="312"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（3）综合部分：见评标办法前附表。</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2.2.2评分标准</w:t>
      </w:r>
    </w:p>
    <w:p>
      <w:pPr>
        <w:spacing w:line="312" w:lineRule="auto"/>
        <w:ind w:firstLine="420" w:firstLineChars="200"/>
        <w:rPr>
          <w:rFonts w:hint="eastAsia" w:ascii="宋体" w:hAnsi="宋体" w:eastAsia="宋体" w:cs="宋体"/>
          <w:color w:val="auto"/>
          <w:szCs w:val="21"/>
          <w:highlight w:val="none"/>
        </w:rPr>
      </w:pPr>
      <w:bookmarkStart w:id="98" w:name="_Toc472429328"/>
      <w:bookmarkStart w:id="99" w:name="_Toc472337683"/>
      <w:r>
        <w:rPr>
          <w:rFonts w:hint="eastAsia" w:ascii="宋体" w:hAnsi="宋体" w:eastAsia="宋体" w:cs="宋体"/>
          <w:color w:val="auto"/>
          <w:szCs w:val="21"/>
          <w:highlight w:val="none"/>
        </w:rPr>
        <w:t>(1) 商务部分：见评标办法前附表；</w:t>
      </w:r>
    </w:p>
    <w:p>
      <w:pPr>
        <w:spacing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技术部分：见评标办法前附表；</w:t>
      </w:r>
    </w:p>
    <w:p>
      <w:pPr>
        <w:spacing w:line="312"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（3）综合部分：见评标办法前附表。</w:t>
      </w:r>
    </w:p>
    <w:bookmarkEnd w:id="98"/>
    <w:bookmarkEnd w:id="99"/>
    <w:p>
      <w:pPr>
        <w:pStyle w:val="7"/>
        <w:numPr>
          <w:ilvl w:val="0"/>
          <w:numId w:val="0"/>
        </w:numPr>
        <w:spacing w:before="0" w:after="0" w:line="312" w:lineRule="auto"/>
        <w:ind w:right="210"/>
        <w:rPr>
          <w:rFonts w:hint="eastAsia" w:ascii="宋体" w:hAnsi="宋体" w:eastAsia="宋体" w:cs="宋体"/>
          <w:color w:val="auto"/>
          <w:highlight w:val="none"/>
        </w:rPr>
      </w:pPr>
      <w:r>
        <w:rPr>
          <w:rFonts w:hint="eastAsia" w:ascii="宋体" w:hAnsi="宋体" w:eastAsia="宋体" w:cs="宋体"/>
          <w:color w:val="auto"/>
          <w:highlight w:val="none"/>
        </w:rPr>
        <w:t>3.  评标程序</w:t>
      </w:r>
    </w:p>
    <w:p>
      <w:pPr>
        <w:pStyle w:val="21"/>
        <w:spacing w:line="312" w:lineRule="auto"/>
        <w:rPr>
          <w:rFonts w:hint="eastAsia" w:ascii="宋体" w:hAnsi="宋体" w:eastAsia="宋体" w:cs="宋体"/>
          <w:color w:val="auto"/>
          <w:highlight w:val="none"/>
        </w:rPr>
      </w:pPr>
      <w:bookmarkStart w:id="100" w:name="_Toc472337684"/>
      <w:bookmarkEnd w:id="100"/>
      <w:bookmarkStart w:id="101" w:name="_Toc472429329"/>
      <w:bookmarkEnd w:id="101"/>
      <w:r>
        <w:rPr>
          <w:rFonts w:hint="eastAsia" w:ascii="宋体" w:hAnsi="宋体" w:eastAsia="宋体" w:cs="宋体"/>
          <w:color w:val="auto"/>
          <w:highlight w:val="none"/>
        </w:rPr>
        <w:t>3.1  初步评审</w:t>
      </w:r>
    </w:p>
    <w:p>
      <w:pPr>
        <w:spacing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3.1.1采购人依据投标人提交第二章“投标人须知”规定的有关证明和证件，进行资格评审。评标委员会依据本章第2.1.2款规定的标准对投标文件进行符合性评审。有一项不符合评审标准的，评标委员会应当否决其投标。 </w:t>
      </w:r>
    </w:p>
    <w:p>
      <w:pPr>
        <w:spacing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3.1.2投标人有以下情形之一的．其投标作废标处理：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投标文件没有对招标文件的实质性要求和条件作出响应，或者对招标文件的偏差超出招标文件规定的偏差范围；</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有串通投标或弄虚作假或有其他违法行为的。</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3.1.3投标报价有算术错误的，评标委员会按以下原则对投标报价进行修正，修正的价格经投标人书面确认后具有约束力。投标人不接受修正价格的，评标委员会应当否决其投标。</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投标文件中的大写金额与小写金额不一致的，以大写金额为准；</w:t>
      </w:r>
    </w:p>
    <w:p>
      <w:pPr>
        <w:spacing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总价金额与依据单价金额计算出的结果不一致的，以单价金额为准修正总价，但单价金额小数点有明显错误的除外；</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（3）投标报价为各分项报价金额之和，投标报价与分项报价的合价不一致的，应以各分项合价累计数为准，修正投标报价；</w:t>
      </w:r>
    </w:p>
    <w:p>
      <w:pPr>
        <w:pStyle w:val="5"/>
        <w:spacing w:after="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（4）如果分项报价中存在缺漏项，则视为缺漏项价格已包含在其他分项报价之中。</w:t>
      </w:r>
    </w:p>
    <w:p>
      <w:pPr>
        <w:pStyle w:val="21"/>
        <w:spacing w:line="312" w:lineRule="auto"/>
        <w:rPr>
          <w:rFonts w:hint="eastAsia" w:ascii="宋体" w:hAnsi="宋体" w:eastAsia="宋体" w:cs="宋体"/>
          <w:color w:val="auto"/>
          <w:highlight w:val="none"/>
        </w:rPr>
      </w:pPr>
      <w:bookmarkStart w:id="102" w:name="_Toc472429330"/>
      <w:bookmarkEnd w:id="102"/>
      <w:bookmarkStart w:id="103" w:name="_Toc472337685"/>
      <w:bookmarkEnd w:id="103"/>
      <w:r>
        <w:rPr>
          <w:rFonts w:hint="eastAsia" w:ascii="宋体" w:hAnsi="宋体" w:eastAsia="宋体" w:cs="宋体"/>
          <w:color w:val="auto"/>
          <w:highlight w:val="none"/>
        </w:rPr>
        <w:t>3.2  详细评审</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3.2.1评标委员会按本章第2.2款规定的量化因素和分值进行打分，并计算出综合评估得分。</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按本章第2.2.2(1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目规定的评审因素和分值对投标报价计算出得分A；</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按本章第2.2.2(2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目规定的评审因素和分值对技术部分计算出得分B；</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按本章第2.2.2(3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目规定的评审因素和分值对商务部分计算出得分C；</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3.2.2评分分值计算保留小数点后两位，小数点后第三位“四舍五入”。</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3.2.3投标人得分=A+B+C。每个投标人的最终得分为所有评委打分的算术平均值作为该投标人的最终得分，计分四舍五入取至小数点后二位。</w:t>
      </w:r>
    </w:p>
    <w:p>
      <w:pPr>
        <w:spacing w:line="312" w:lineRule="auto"/>
        <w:ind w:firstLine="420" w:firstLineChars="200"/>
        <w:jc w:val="left"/>
        <w:rPr>
          <w:rFonts w:hint="eastAsia" w:ascii="宋体" w:hAnsi="宋体" w:eastAsia="宋体" w:cs="宋体"/>
          <w:bCs/>
          <w:color w:val="auto"/>
          <w:kern w:val="0"/>
          <w:szCs w:val="21"/>
          <w:highlight w:val="none"/>
        </w:rPr>
      </w:pPr>
      <w:bookmarkStart w:id="104" w:name="_Toc472429331"/>
      <w:bookmarkStart w:id="105" w:name="_Toc472337686"/>
      <w:r>
        <w:rPr>
          <w:rFonts w:hint="eastAsia" w:ascii="宋体" w:hAnsi="宋体" w:eastAsia="宋体" w:cs="宋体"/>
          <w:color w:val="auto"/>
          <w:szCs w:val="21"/>
          <w:highlight w:val="none"/>
        </w:rPr>
        <w:t xml:space="preserve"> 3.2.4</w:t>
      </w:r>
      <w:r>
        <w:rPr>
          <w:rFonts w:hint="eastAsia" w:eastAsia="宋体"/>
          <w:color w:val="auto"/>
          <w:highlight w:val="none"/>
          <w:lang w:val="en-US" w:eastAsia="zh-CN"/>
        </w:rPr>
        <w:t>评标委员会认为投标人的报价明显低于其他通过符合性审查投标人的报价（比控制价低 30%），有可能影响产品质量或者不能诚信履约的，应当要求其在评标现场合理的时间内提供书面说明，必要时提交相关证明材料；投标人不能证明其报价合理性的，评标委员会应当将其作为无效投标处理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auto"/>
          <w:highlight w:val="none"/>
          <w:lang w:val="en-US" w:eastAsia="zh-CN"/>
        </w:rPr>
        <w:t>。</w:t>
      </w:r>
    </w:p>
    <w:bookmarkEnd w:id="104"/>
    <w:bookmarkEnd w:id="105"/>
    <w:p>
      <w:pPr>
        <w:spacing w:line="312" w:lineRule="auto"/>
        <w:rPr>
          <w:rFonts w:hint="eastAsia" w:ascii="宋体" w:hAnsi="宋体" w:eastAsia="宋体" w:cs="宋体"/>
          <w:b/>
          <w:color w:val="auto"/>
          <w:highlight w:val="none"/>
        </w:rPr>
      </w:pPr>
      <w:r>
        <w:rPr>
          <w:rFonts w:hint="eastAsia" w:ascii="宋体" w:hAnsi="宋体" w:eastAsia="宋体" w:cs="宋体"/>
          <w:b/>
          <w:color w:val="auto"/>
          <w:highlight w:val="none"/>
        </w:rPr>
        <w:t>3.3  投标文件的澄清和补正</w:t>
      </w: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3.3.l在评标过程中，评标委员会可以书面形式要求投标人对所提交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3.3.2澄清、说明和补正不得改变投标文件的实质性内容，并构成投标文件的组成部分。</w:t>
      </w:r>
    </w:p>
    <w:p>
      <w:pPr>
        <w:spacing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3.3.3评标委员会对投标人提交的澄清、说明或补正有疑问的。可以要求投标人进一步澄清、说明或补正，直至满足评标委员会的要求。</w:t>
      </w:r>
    </w:p>
    <w:p>
      <w:pPr>
        <w:pStyle w:val="21"/>
        <w:spacing w:line="312" w:lineRule="auto"/>
        <w:rPr>
          <w:rFonts w:hint="eastAsia" w:ascii="宋体" w:hAnsi="宋体" w:eastAsia="宋体" w:cs="宋体"/>
          <w:color w:val="auto"/>
          <w:highlight w:val="none"/>
        </w:rPr>
      </w:pPr>
      <w:bookmarkStart w:id="106" w:name="_Toc472337687"/>
      <w:bookmarkEnd w:id="106"/>
      <w:bookmarkStart w:id="107" w:name="_Toc472429332"/>
      <w:bookmarkEnd w:id="107"/>
      <w:r>
        <w:rPr>
          <w:rFonts w:hint="eastAsia" w:ascii="宋体" w:hAnsi="宋体" w:eastAsia="宋体" w:cs="宋体"/>
          <w:color w:val="auto"/>
          <w:highlight w:val="none"/>
        </w:rPr>
        <w:t>3.4  评标结果</w:t>
      </w:r>
    </w:p>
    <w:p>
      <w:pPr>
        <w:spacing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3.4.1评标委员会按照得分由高到低的顺序推荐中标</w:t>
      </w:r>
      <w:r>
        <w:rPr>
          <w:rFonts w:hint="eastAsia" w:ascii="宋体" w:hAnsi="宋体" w:eastAsia="宋体" w:cs="宋体"/>
          <w:color w:val="auto"/>
          <w:szCs w:val="21"/>
          <w:highlight w:val="none"/>
          <w:lang w:eastAsia="zh-CN"/>
        </w:rPr>
        <w:t>候选人</w:t>
      </w:r>
      <w:r>
        <w:rPr>
          <w:rFonts w:hint="eastAsia" w:ascii="宋体" w:hAnsi="宋体" w:eastAsia="宋体" w:cs="宋体"/>
          <w:color w:val="auto"/>
          <w:szCs w:val="21"/>
          <w:highlight w:val="none"/>
        </w:rPr>
        <w:t>。</w:t>
      </w:r>
    </w:p>
    <w:p>
      <w:pPr>
        <w:spacing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3.4.2评标委员会完成评标后，应当向采购人提交书面评标报告和中标候选人名单。</w:t>
      </w:r>
    </w:p>
    <w:p>
      <w:pPr>
        <w:rPr>
          <w:rFonts w:hint="eastAsia" w:ascii="宋体" w:hAnsi="宋体" w:eastAsia="宋体" w:cs="宋体"/>
          <w:color w:val="auto"/>
          <w:szCs w:val="21"/>
          <w:highlight w:val="none"/>
        </w:rPr>
      </w:pPr>
      <w:bookmarkStart w:id="108" w:name="_Toc268"/>
      <w:bookmarkEnd w:id="108"/>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附件：废标条件</w:t>
      </w:r>
    </w:p>
    <w:p>
      <w:pPr>
        <w:spacing w:line="312"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废标条件</w:t>
      </w:r>
    </w:p>
    <w:p>
      <w:pPr>
        <w:spacing w:line="312"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1.未通过第三章评标办法资格评审、符合性评审的； </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2.不按评标委员会要求澄清、说明或补正的；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3.投标报价有算术性错误，投标人不接受修正价格的；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4.以他人的名义投标、以行贿手段谋取中标或者以其他弄虚作假方式投标的；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5.属于串（围）标行为的；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6.评标委员会认定投标人以低于成本报价竞标的；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7．明显不符合技术规格、技术标准的要求；</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8.不具备招标文件中规定的资格要求的；</w:t>
      </w:r>
    </w:p>
    <w:p>
      <w:pPr>
        <w:spacing w:line="312"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9.文件制作机器码、文件创建标识码有相同的；</w:t>
      </w:r>
    </w:p>
    <w:p>
      <w:pPr>
        <w:spacing w:line="312" w:lineRule="auto"/>
        <w:jc w:val="left"/>
        <w:rPr>
          <w:rFonts w:hint="eastAsia" w:ascii="宋体" w:hAnsi="宋体" w:eastAsia="宋体" w:cs="宋体"/>
          <w:color w:val="auto"/>
          <w:szCs w:val="21"/>
          <w:highlight w:val="none"/>
        </w:rPr>
        <w:sectPr>
          <w:footerReference r:id="rId6" w:type="default"/>
          <w:pgSz w:w="11906" w:h="16838"/>
          <w:pgMar w:top="138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color w:val="auto"/>
          <w:szCs w:val="21"/>
          <w:highlight w:val="none"/>
        </w:rPr>
        <w:t>10．不符合招标文件规定的其他实质性要求及相关法律、法规或规章规定可以废标的其他情形。</w:t>
      </w:r>
      <w:r>
        <w:rPr>
          <w:rFonts w:hint="eastAsia" w:ascii="宋体" w:hAnsi="宋体" w:eastAsia="宋体" w:cs="宋体"/>
          <w:b/>
          <w:color w:val="auto"/>
          <w:szCs w:val="21"/>
          <w:highlight w:val="none"/>
        </w:rPr>
        <w:br w:type="page"/>
      </w:r>
    </w:p>
    <w:p>
      <w:pPr>
        <w:numPr>
          <w:ilvl w:val="0"/>
          <w:numId w:val="9"/>
        </w:numPr>
        <w:spacing w:line="312"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合同主要条款及格式</w:t>
      </w:r>
    </w:p>
    <w:p>
      <w:pPr>
        <w:pStyle w:val="5"/>
        <w:spacing w:line="312" w:lineRule="auto"/>
        <w:ind w:firstLine="210"/>
        <w:rPr>
          <w:rFonts w:hint="eastAsia" w:ascii="宋体" w:hAnsi="宋体" w:eastAsia="宋体" w:cs="宋体"/>
          <w:color w:val="auto"/>
          <w:highlight w:val="none"/>
        </w:rPr>
      </w:pPr>
    </w:p>
    <w:p>
      <w:pPr>
        <w:spacing w:line="312" w:lineRule="auto"/>
        <w:ind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（仅供参考，以实际签订为准）</w:t>
      </w:r>
    </w:p>
    <w:p>
      <w:pPr>
        <w:pBdr>
          <w:top w:val="none" w:color="000000" w:sz="0" w:space="0"/>
          <w:left w:val="none" w:color="000000" w:sz="0" w:space="0"/>
          <w:bottom w:val="none" w:color="000000" w:sz="0" w:space="0"/>
          <w:right w:val="none" w:color="000000" w:sz="0" w:space="0"/>
        </w:pBdr>
        <w:spacing w:before="210" w:after="12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Bdr>
          <w:top w:val="none" w:color="000000" w:sz="0" w:space="0"/>
          <w:left w:val="none" w:color="000000" w:sz="0" w:space="0"/>
          <w:bottom w:val="none" w:color="000000" w:sz="0" w:space="0"/>
          <w:right w:val="none" w:color="000000" w:sz="0" w:space="0"/>
        </w:pBdr>
        <w:spacing w:before="210" w:after="12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p>
      <w:pPr>
        <w:pBdr>
          <w:top w:val="none" w:color="000000" w:sz="0" w:space="0"/>
          <w:left w:val="none" w:color="000000" w:sz="0" w:space="0"/>
          <w:bottom w:val="none" w:color="000000" w:sz="0" w:space="0"/>
          <w:right w:val="none" w:color="000000" w:sz="0" w:space="0"/>
        </w:pBdr>
        <w:spacing w:before="210" w:after="120" w:line="360" w:lineRule="auto"/>
        <w:jc w:val="both"/>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4"/>
          <w:highlight w:val="none"/>
          <w:lang w:eastAsia="zh-CN"/>
        </w:rPr>
        <w:t>采购包：</w:t>
      </w:r>
    </w:p>
    <w:p>
      <w:pPr>
        <w:pBdr>
          <w:top w:val="none" w:color="000000" w:sz="0" w:space="0"/>
          <w:left w:val="none" w:color="000000" w:sz="0" w:space="0"/>
          <w:bottom w:val="none" w:color="000000" w:sz="0" w:space="0"/>
          <w:right w:val="none" w:color="000000" w:sz="0" w:space="0"/>
        </w:pBdr>
        <w:spacing w:before="210" w:after="120" w:line="360" w:lineRule="auto"/>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56"/>
          <w:szCs w:val="21"/>
          <w:highlight w:val="none"/>
          <w:lang w:eastAsia="zh-CN"/>
        </w:rPr>
        <w:t>合</w:t>
      </w:r>
    </w:p>
    <w:p>
      <w:pPr>
        <w:pBdr>
          <w:top w:val="none" w:color="000000" w:sz="0" w:space="0"/>
          <w:left w:val="none" w:color="000000" w:sz="0" w:space="0"/>
          <w:bottom w:val="none" w:color="000000" w:sz="0" w:space="0"/>
          <w:right w:val="none" w:color="000000" w:sz="0" w:space="0"/>
        </w:pBdr>
        <w:spacing w:before="210" w:after="120" w:line="360" w:lineRule="auto"/>
        <w:jc w:val="center"/>
        <w:rPr>
          <w:rFonts w:hint="eastAsia" w:ascii="宋体" w:hAnsi="宋体" w:eastAsia="宋体" w:cs="宋体"/>
          <w:color w:val="auto"/>
          <w:sz w:val="56"/>
          <w:szCs w:val="21"/>
          <w:highlight w:val="none"/>
          <w:lang w:eastAsia="zh-CN"/>
        </w:rPr>
      </w:pPr>
    </w:p>
    <w:p>
      <w:pPr>
        <w:pBdr>
          <w:top w:val="none" w:color="000000" w:sz="0" w:space="0"/>
          <w:left w:val="none" w:color="000000" w:sz="0" w:space="0"/>
          <w:bottom w:val="none" w:color="000000" w:sz="0" w:space="0"/>
          <w:right w:val="none" w:color="000000" w:sz="0" w:space="0"/>
        </w:pBdr>
        <w:spacing w:before="210" w:after="120" w:line="360" w:lineRule="auto"/>
        <w:jc w:val="both"/>
        <w:rPr>
          <w:rFonts w:hint="eastAsia" w:ascii="宋体" w:hAnsi="宋体" w:eastAsia="宋体" w:cs="宋体"/>
          <w:color w:val="auto"/>
          <w:sz w:val="18"/>
          <w:szCs w:val="21"/>
          <w:highlight w:val="none"/>
          <w:lang w:eastAsia="zh-CN"/>
        </w:rPr>
      </w:pPr>
    </w:p>
    <w:p>
      <w:pPr>
        <w:pBdr>
          <w:top w:val="none" w:color="000000" w:sz="0" w:space="0"/>
          <w:left w:val="none" w:color="000000" w:sz="0" w:space="0"/>
          <w:bottom w:val="none" w:color="000000" w:sz="0" w:space="0"/>
          <w:right w:val="none" w:color="000000" w:sz="0" w:space="0"/>
        </w:pBdr>
        <w:spacing w:before="210" w:after="120" w:line="360" w:lineRule="auto"/>
        <w:jc w:val="center"/>
        <w:rPr>
          <w:rFonts w:hint="eastAsia" w:ascii="宋体" w:hAnsi="宋体" w:eastAsia="宋体" w:cs="宋体"/>
          <w:color w:val="auto"/>
          <w:sz w:val="18"/>
          <w:szCs w:val="21"/>
          <w:highlight w:val="none"/>
          <w:lang w:eastAsia="zh-CN"/>
        </w:rPr>
      </w:pPr>
      <w:r>
        <w:rPr>
          <w:rFonts w:hint="eastAsia" w:ascii="宋体" w:hAnsi="宋体" w:eastAsia="宋体" w:cs="宋体"/>
          <w:color w:val="auto"/>
          <w:sz w:val="56"/>
          <w:szCs w:val="21"/>
          <w:highlight w:val="none"/>
          <w:lang w:eastAsia="zh-CN"/>
        </w:rPr>
        <w:t>同</w:t>
      </w:r>
    </w:p>
    <w:p>
      <w:pPr>
        <w:pBdr>
          <w:top w:val="none" w:color="000000" w:sz="0" w:space="0"/>
          <w:left w:val="none" w:color="000000" w:sz="0" w:space="0"/>
          <w:bottom w:val="none" w:color="000000" w:sz="0" w:space="0"/>
          <w:right w:val="none" w:color="000000" w:sz="0" w:space="0"/>
        </w:pBdr>
        <w:spacing w:before="210" w:after="120" w:line="360" w:lineRule="auto"/>
        <w:jc w:val="both"/>
        <w:rPr>
          <w:rFonts w:hint="eastAsia" w:ascii="宋体" w:hAnsi="宋体" w:eastAsia="宋体" w:cs="宋体"/>
          <w:color w:val="auto"/>
          <w:sz w:val="18"/>
          <w:szCs w:val="21"/>
          <w:highlight w:val="none"/>
          <w:lang w:eastAsia="zh-CN"/>
        </w:rPr>
      </w:pPr>
      <w:r>
        <w:rPr>
          <w:rFonts w:hint="eastAsia" w:ascii="宋体" w:hAnsi="宋体" w:eastAsia="宋体" w:cs="宋体"/>
          <w:color w:val="auto"/>
          <w:sz w:val="18"/>
          <w:szCs w:val="21"/>
          <w:highlight w:val="none"/>
          <w:lang w:eastAsia="zh-CN"/>
        </w:rPr>
        <w:t> </w:t>
      </w:r>
    </w:p>
    <w:p>
      <w:pPr>
        <w:pBdr>
          <w:top w:val="none" w:color="000000" w:sz="0" w:space="0"/>
          <w:left w:val="none" w:color="000000" w:sz="0" w:space="0"/>
          <w:bottom w:val="none" w:color="000000" w:sz="0" w:space="0"/>
          <w:right w:val="none" w:color="000000" w:sz="0" w:space="0"/>
        </w:pBdr>
        <w:spacing w:before="210" w:after="12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p>
      <w:pPr>
        <w:pBdr>
          <w:top w:val="none" w:color="000000" w:sz="0" w:space="0"/>
          <w:left w:val="none" w:color="000000" w:sz="0" w:space="0"/>
          <w:bottom w:val="none" w:color="000000" w:sz="0" w:space="0"/>
          <w:right w:val="none" w:color="000000" w:sz="0" w:space="0"/>
        </w:pBdr>
        <w:spacing w:before="210" w:after="12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成交供应商：</w:t>
      </w:r>
    </w:p>
    <w:p>
      <w:pPr>
        <w:pBdr>
          <w:top w:val="none" w:color="000000" w:sz="0" w:space="0"/>
          <w:left w:val="none" w:color="000000" w:sz="0" w:space="0"/>
          <w:bottom w:val="none" w:color="000000" w:sz="0" w:space="0"/>
          <w:right w:val="none" w:color="000000" w:sz="0" w:space="0"/>
        </w:pBdr>
        <w:spacing w:before="210" w:after="12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合同签订日期： 年 月 日</w:t>
      </w:r>
    </w:p>
    <w:p>
      <w:pPr>
        <w:pStyle w:val="2"/>
        <w:spacing w:line="360" w:lineRule="auto"/>
        <w:rPr>
          <w:rFonts w:hint="eastAsia" w:ascii="宋体" w:hAnsi="宋体" w:eastAsia="宋体" w:cs="宋体"/>
          <w:color w:val="auto"/>
          <w:sz w:val="21"/>
          <w:szCs w:val="21"/>
          <w:highlight w:val="none"/>
          <w:lang w:eastAsia="zh-CN"/>
        </w:rPr>
      </w:pPr>
    </w:p>
    <w:p>
      <w:pPr>
        <w:pBdr>
          <w:top w:val="none" w:color="000000" w:sz="0" w:space="0"/>
          <w:left w:val="none" w:color="000000" w:sz="0" w:space="0"/>
          <w:bottom w:val="none" w:color="000000" w:sz="0" w:space="0"/>
          <w:right w:val="none" w:color="000000" w:sz="0" w:space="0"/>
        </w:pBdr>
        <w:spacing w:after="0" w:line="360" w:lineRule="auto"/>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友情提醒：采购人与中标、成交供应商应当在中标、成交通知书发出之日起三十日内，按照采购文件确定的事项签订政府采购合同。</w:t>
      </w:r>
    </w:p>
    <w:p>
      <w:pPr>
        <w:pBdr>
          <w:top w:val="none" w:color="000000" w:sz="0" w:space="0"/>
          <w:left w:val="none" w:color="000000" w:sz="0" w:space="0"/>
          <w:bottom w:val="none" w:color="000000" w:sz="0" w:space="0"/>
          <w:right w:val="none" w:color="000000" w:sz="0" w:space="0"/>
        </w:pBdr>
        <w:spacing w:after="0" w:line="360" w:lineRule="auto"/>
        <w:ind w:firstLine="56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采购人应当自政府采购合同签订之日起2个工作日内，将政府采购合同在省级以上人民政府财政部门指定的媒体上公告，但政府采购合同中涉及国家秘密、商业秘密的内容除外。</w:t>
      </w:r>
    </w:p>
    <w:p>
      <w:pPr>
        <w:pBdr>
          <w:top w:val="none" w:color="000000" w:sz="0" w:space="0"/>
          <w:left w:val="none" w:color="000000" w:sz="0" w:space="0"/>
          <w:bottom w:val="none" w:color="000000" w:sz="0" w:space="0"/>
          <w:right w:val="none" w:color="000000" w:sz="0" w:space="0"/>
        </w:pBdr>
        <w:spacing w:after="0" w:line="360" w:lineRule="auto"/>
        <w:ind w:firstLine="630" w:firstLineChars="300"/>
        <w:jc w:val="both"/>
        <w:rPr>
          <w:rFonts w:hint="eastAsia" w:ascii="宋体" w:hAnsi="宋体" w:eastAsia="宋体" w:cs="宋体"/>
          <w:color w:val="auto"/>
          <w:sz w:val="21"/>
          <w:szCs w:val="21"/>
          <w:highlight w:val="none"/>
        </w:rPr>
      </w:pPr>
    </w:p>
    <w:p>
      <w:pPr>
        <w:pBdr>
          <w:top w:val="none" w:color="000000" w:sz="0" w:space="0"/>
          <w:left w:val="none" w:color="000000" w:sz="0" w:space="0"/>
          <w:bottom w:val="none" w:color="000000" w:sz="0" w:space="0"/>
          <w:right w:val="none" w:color="000000" w:sz="0" w:space="0"/>
        </w:pBdr>
        <w:spacing w:after="0" w:line="360" w:lineRule="auto"/>
        <w:ind w:firstLine="630" w:firstLineChars="300"/>
        <w:jc w:val="both"/>
        <w:rPr>
          <w:rFonts w:hint="eastAsia" w:ascii="宋体" w:hAnsi="宋体" w:eastAsia="宋体" w:cs="宋体"/>
          <w:color w:val="auto"/>
          <w:sz w:val="21"/>
          <w:szCs w:val="21"/>
          <w:highlight w:val="none"/>
        </w:rPr>
      </w:pPr>
    </w:p>
    <w:p>
      <w:pPr>
        <w:pBdr>
          <w:top w:val="none" w:color="000000" w:sz="0" w:space="0"/>
          <w:left w:val="none" w:color="000000" w:sz="0" w:space="0"/>
          <w:bottom w:val="none" w:color="000000" w:sz="0" w:space="0"/>
          <w:right w:val="none" w:color="000000" w:sz="0" w:space="0"/>
        </w:pBdr>
        <w:spacing w:after="0" w:line="360" w:lineRule="auto"/>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信阳市羊山新区民政局</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根据信阳市羊山新区民政局2024年居家和社区基本养老服务提升行动项目[项目编号：]招标采购结果，依据《中华人民共和国民法典》、《中华人民共和国政府采购法》等有关法律、法规，甲乙双方恪守公平、公正、诚信的原则，友好协商，签订本合同。</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一、合同文件的组成</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本合同所附下列文件是构成本合同不可分割的部分：</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（一）信阳市羊山新区民政局2024年居家和社区基本养老服务提升行动项目[项目编号：]以及相关的澄清、补充文件等；</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（二）乙方的投标文件及其澄清、补充说明文件等；</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（三）成交通知书。</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二、项目内容 </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具体内容见招标文件（项目编号：）《采购需求 》。</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三、合同期限及管理范围</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1.乙方负责信阳市羊山新区经济困难老年人家庭养老床位建设</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lang w:eastAsia="zh-CN"/>
        </w:rPr>
        <w:t>户，合同履行周期： 年  月  日— 年  月  日。</w:t>
      </w:r>
      <w:r>
        <w:rPr>
          <w:rFonts w:hint="eastAsia" w:ascii="宋体" w:hAnsi="宋体" w:eastAsia="宋体" w:cs="宋体"/>
          <w:color w:val="auto"/>
          <w:sz w:val="21"/>
          <w:szCs w:val="21"/>
          <w:highlight w:val="none"/>
          <w:lang w:val="en-US" w:eastAsia="zh-CN"/>
        </w:rPr>
        <w:t>居家上门服务</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lang w:eastAsia="zh-CN"/>
        </w:rPr>
        <w:t>户，合同履行周期： 年  月  日— 年  月  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在合同有效期内一方不得擅自变更或中止此项合同，如未经双方同意，擅自变更或中止此项合同的一方要负违约责任。实行“一户一档”建立项目档案以及后期设施维护的实施。</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2.乙方对提供的标的物应当拥有完整的物权，并且负有保证第三人不得向甲方主张任何权利（包括知识产权）的义务。</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3.下列文件为本合同不可分割部分：</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 中标通知书；</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 乙方的投标文件；</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 乙方在投标过程中所作的其它承诺、声明、书面澄清等；</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 招标文件及其附件；</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 合同附件。</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以上与本合同具有同等法律效力。</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四、合同价款支付</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合同总价包含：</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一）建设家庭养老床位</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本合同签订后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个工作日内，甲方预付合同金额（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%（即小写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）给乙方作为项目预付款。</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乙方供货</w:t>
      </w:r>
      <w:r>
        <w:rPr>
          <w:rFonts w:hint="eastAsia" w:ascii="宋体" w:hAnsi="宋体" w:eastAsia="宋体" w:cs="宋体"/>
          <w:color w:val="auto"/>
          <w:sz w:val="21"/>
          <w:szCs w:val="21"/>
          <w:highlight w:val="none"/>
          <w:lang w:val="en-US" w:eastAsia="zh-CN"/>
        </w:rPr>
        <w:t>到位、设备</w:t>
      </w:r>
      <w:r>
        <w:rPr>
          <w:rFonts w:hint="eastAsia" w:ascii="宋体" w:hAnsi="宋体" w:eastAsia="宋体" w:cs="宋体"/>
          <w:color w:val="auto"/>
          <w:sz w:val="21"/>
          <w:szCs w:val="21"/>
          <w:highlight w:val="none"/>
          <w:lang w:eastAsia="zh-CN"/>
        </w:rPr>
        <w:t>调试完成之后，甲方支付合同金额（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%（即小写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）给乙方。</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项目建设完成后，甲方对乙方进行项目验收，甲方完成项目验收后7天内向乙方支付合同金额（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%（即小写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）给乙方。</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支付上述款项前，乙方应开具符合甲方要求的增值税发票，否则甲方有权拒绝付款。</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二）居家养老上门服务</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本合同签订后15个工作日内，甲方预付合同金额（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%即（小写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）给乙方作为项目预付款。</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日甲方根据第三方评估机构，对乙方实际服务工作量进行考核评估，根据乙方实际服务工作量支付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日之前完成的实际金额；</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项目建设完成后，甲方对乙方服务成效进行考核，考核合格后再进行项目验收，甲方在完成项目验收后的7天内向乙方支付剩余合同款至合同金额（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pBdr>
          <w:top w:val="none" w:color="000000" w:sz="0" w:space="0"/>
          <w:left w:val="none" w:color="000000" w:sz="0" w:space="0"/>
          <w:bottom w:val="none" w:color="000000" w:sz="0" w:space="0"/>
          <w:right w:val="none" w:color="000000" w:sz="0" w:space="0"/>
        </w:pBdr>
        <w:spacing w:after="0" w:line="360" w:lineRule="auto"/>
        <w:ind w:firstLine="6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支付上述款项前，乙方应开具符合甲方要求的增值税发票，否则甲方有权拒绝付款。</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五、项目技术要求</w:t>
      </w:r>
    </w:p>
    <w:p>
      <w:pPr>
        <w:pStyle w:val="80"/>
        <w:spacing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1、建设家庭养老床位。根据实际需求评估情况，通过适老化改造、智能化改造，提升老年人生活自理能力和生活品质。</w:t>
      </w:r>
    </w:p>
    <w:p>
      <w:pPr>
        <w:pStyle w:val="80"/>
        <w:spacing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老化改造。按照无障碍设计规范对老年人住所的卧室、卫生间、浴室、厨房、客厅等重点部位进行适老化改造，配备必要老年用品，改善老年人的居住环境，建设无障碍空间，为老年人居家安全和上门服务有效开展提供保障。改善老年人的居住环境，为老年人居家安全和上门服务人员有效开展工作提供保障。具体内容和要求见《家庭养老床位基本项目参考清单》。</w:t>
      </w:r>
    </w:p>
    <w:p>
      <w:pPr>
        <w:pStyle w:val="80"/>
        <w:spacing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（2）智能化改造。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为老年人住所安装必要电子信息服务设备，包括网络连接设备、紧急呼叫、体征监测、视频语音通话等基本电子信息服务设备，增强老年人居家生活的安全性、便利性和舒适性。智能化设备信息及服务数据应保证能有效链接至智慧养老服务平台、居家上门服务机构平台，并能通过智能化设备将家庭养老床位纳入24小时动态管理和远程监护，增强老年人居家生活的安全性、便利性和舒适性。具体内容和要求见《家庭养老床位基本项目参考清单》。</w:t>
      </w:r>
    </w:p>
    <w:p>
      <w:pPr>
        <w:pStyle w:val="80"/>
        <w:spacing w:line="360" w:lineRule="auto"/>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2、提供居家上门服务。在项目执行时间内，为纳入居家养老上门服务范围的服务对象提供居家养老上门服务。具体内容和要求见《居家养老上门服务指导清单》。</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六、项目实施要求</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1、建设要求</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（1）所有设施设备应有产品合格证，并符合国家相关安全标准。</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（2）家庭养老床位建设机构在质保期内应每季度对设施设备进行一次巡检并提供书面报告，确保设施设备正常使用。</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（3）中标人所投智能化产品，需实施远程监控，相关实时服务数据必须上传系统平台，并保证正常运营。</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改造过程中，中标人应按照民政部门核定后评估结果，逐户实施改造，改造完成后，应建立完整的改造档案，保留完整的改造信息，完整清晰的改造前中后图片影像等资料，交采购单位验收、存档，并按照民政局要求录入采购人指定的平台系统。</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（5）中标人应按照采购人的改造方案实施，改造方案变动须经过改造对象和采购人同意。</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（6）所有货物、产品提供两年免费质保。</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中标人应按要求将相关产品送达采购人指定的地点，提供安装部署服务，完成各类设备的安装与调试服务。货物安装时，若需使用特殊的接头、插座、电缆、特殊安装工具等备件，应由中标人提供，如中标人提供的货物或产品用电负荷超过正常线路负荷时，所需相关保护设备应由中标人提供。</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施工过程中，中标人需采取措施保护现场及周边相关物品、设施等，因中标人的不规范操作、误操作等原因造成相关设施的损坏、设备的停用等后果均由中标人承担，由中标人原样修复并自行承担相关费用。</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（9）每户安装温馨提示牌，内容包含提示内容、维保电话。</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（10）中标人在入户开展适老化改造服务过程中，不得向老人及家属推销保健品、P2P等违法违规的内容，否则采购人有权取消中标资格，并追究法律责任。</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（11）中标人要注意工作方式、方法和态度，充分尊重老人、家属、社区的改造意向，不能与老人、家属、街道社区工作人员发生矛盾。</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（12）中标人确保在履行合同过程中工作人员与老人、家属的人身安全。改造过程中发生任何安全问题，由中标人自行负责，采购人不承担任何责任。</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2、上门服务实施要求详见《居家养老上门服务指导清单》</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七、验收要求</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1、每户完成</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后都要进行验收，重点检查项目是否全部落实、改造安装是否到位、规范、安全，产品是否存在质量问题等。</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2、施工方主动配合完工验收，如发现质量和安全等问题，必须在规定时限内整改到位。</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3、由</w:t>
      </w:r>
      <w:r>
        <w:rPr>
          <w:rFonts w:hint="eastAsia" w:ascii="宋体" w:hAnsi="宋体" w:eastAsia="宋体" w:cs="宋体"/>
          <w:color w:val="auto"/>
          <w:sz w:val="21"/>
          <w:szCs w:val="21"/>
          <w:highlight w:val="none"/>
          <w:lang w:val="en-US" w:eastAsia="zh-CN"/>
        </w:rPr>
        <w:t>信阳市羊山区</w:t>
      </w:r>
      <w:r>
        <w:rPr>
          <w:rFonts w:hint="eastAsia" w:ascii="宋体" w:hAnsi="宋体" w:eastAsia="宋体" w:cs="宋体"/>
          <w:color w:val="auto"/>
          <w:sz w:val="21"/>
          <w:szCs w:val="21"/>
          <w:highlight w:val="none"/>
          <w:lang w:eastAsia="zh-CN"/>
        </w:rPr>
        <w:t>民政局（或委托第三方）对</w:t>
      </w:r>
      <w:r>
        <w:rPr>
          <w:rFonts w:hint="eastAsia" w:ascii="宋体" w:hAnsi="宋体" w:eastAsia="宋体" w:cs="宋体"/>
          <w:color w:val="auto"/>
          <w:sz w:val="21"/>
          <w:szCs w:val="21"/>
          <w:highlight w:val="none"/>
          <w:lang w:val="en-US" w:eastAsia="zh-CN"/>
        </w:rPr>
        <w:t>居家和社区基本养老服务提升行动</w:t>
      </w:r>
      <w:r>
        <w:rPr>
          <w:rFonts w:hint="eastAsia" w:ascii="宋体" w:hAnsi="宋体" w:eastAsia="宋体" w:cs="宋体"/>
          <w:color w:val="auto"/>
          <w:sz w:val="21"/>
          <w:szCs w:val="21"/>
          <w:highlight w:val="none"/>
          <w:lang w:eastAsia="zh-CN"/>
        </w:rPr>
        <w:t>项目进行满意度调查（分满意、一般、不满意三个档次），由老年人或监护人在《满意度调查表》上签名。</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4、在规定时间内未整改到位或家庭养老床位建设后老年人不满意的家庭不予结算。</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八、售后服务要求</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1、质保期：</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2、分户建立</w:t>
      </w:r>
      <w:r>
        <w:rPr>
          <w:rFonts w:hint="eastAsia" w:ascii="宋体" w:hAnsi="宋体" w:eastAsia="宋体" w:cs="宋体"/>
          <w:color w:val="auto"/>
          <w:sz w:val="21"/>
          <w:szCs w:val="21"/>
          <w:highlight w:val="none"/>
          <w:lang w:val="en-US" w:eastAsia="zh-CN"/>
        </w:rPr>
        <w:t>居家和社区基本养老服务提升行动</w:t>
      </w:r>
      <w:r>
        <w:rPr>
          <w:rFonts w:hint="eastAsia" w:ascii="宋体" w:hAnsi="宋体" w:eastAsia="宋体" w:cs="宋体"/>
          <w:color w:val="auto"/>
          <w:sz w:val="21"/>
          <w:szCs w:val="21"/>
          <w:highlight w:val="none"/>
          <w:lang w:eastAsia="zh-CN"/>
        </w:rPr>
        <w:t>项目档案，按照招标文件中提供的售后服务方案，做好适老化设施维护和服务反馈等。</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九、甲方的权利和义务</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（一）甲方对乙方有实施日常检查、考核、管理的权利。</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（二）甲方可对乙方存在问题限期整改，整改费用由乙方承担。</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（三）甲方需确保乙方合同价款的按时到位。</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（四）甲方检查人员必须公开、公平、公正地进行检查考核。</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十、乙方的权利和义务</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（一）乙方应自觉接受甲方的检查、考核、指导和监督。</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（二）合同期内，乙方所需要的设备、器具停放等用房、用地及固定办公地点由乙方自行解决。</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（三）乙方要加强对工作人员的安全教育和岗位培训，完善相关施工防火等所有安全措施，确保安全无事故，项目管理期间内如遇人身伤亡事故，由乙方承担全部经济与法律责任，与甲方无关。</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（四）乙方需全面配合甲方管理，遇到重大活动服从统一调配。</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十一、违约责任</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（一）乙方须指定专人分区负责管理</w:t>
      </w:r>
      <w:r>
        <w:rPr>
          <w:rFonts w:hint="eastAsia" w:ascii="宋体" w:hAnsi="宋体" w:eastAsia="宋体" w:cs="宋体"/>
          <w:color w:val="auto"/>
          <w:sz w:val="21"/>
          <w:szCs w:val="21"/>
          <w:highlight w:val="none"/>
          <w:lang w:val="en-US" w:eastAsia="zh-CN"/>
        </w:rPr>
        <w:t>居家和社区基本养老服务提升行动项目</w:t>
      </w:r>
      <w:r>
        <w:rPr>
          <w:rFonts w:hint="eastAsia" w:ascii="宋体" w:hAnsi="宋体" w:eastAsia="宋体" w:cs="宋体"/>
          <w:color w:val="auto"/>
          <w:sz w:val="21"/>
          <w:szCs w:val="21"/>
          <w:highlight w:val="none"/>
          <w:lang w:eastAsia="zh-CN"/>
        </w:rPr>
        <w:t>，如违约或因管理不善而造成设施损毁、缺失的，由乙方承担设备维修、更换等费用及全部违约责任。</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（二）有下列现象之一，视为违约，甲方有权解除合同，取消乙方中标人资格,违约方除要承担因此产生的一切损失和费用(包括经济损失和间接经济损失)外，履约保证金不作退还：</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（1）未能履行协议所规定的事项的；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（2）乙方签订合同后不能如期供应货物进行改造的；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（3）乙方用以次充好的手段提供与中标资料不相符的货物；</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（4）乙方擅自将中标资格转让给他人或中途转让给他人的；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（5）经甲方确认的有效投诉超过2次的；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（6）出现安全事故的。</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十二、其它</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（一）乙方应保证在合同期限内完成中标的所有项目，不得推脱时间。</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（二）在日常施工中，由于乙方违约或因管理或施工不善而造成住户家庭中所有物品损毁、缺失的，乙方应及时进行更换或赔偿。</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（三）合同执行过程中，如国家、省、市等有关部门对管理标准和要求等作出重大调整的，按调整后的标准和要求执行。</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（四）发生下列情况之一的，甲方将单方终止合同，乙方应无条件服从：</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1.检查考核过程中，发现有转包或分包行为的；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2.乙方出现重大事故的，如火灾或伤亡事件，乙方须无条件按甲方要求办理移交、退场手续且承担所有法律及经济责任；</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3.乙方因管理措施不当，累计被市级及以上新闻媒体曝光的；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4.乙方雇用未满18周岁的施工人员；</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5.在管理责任期内，如乙方5日内不进行日常管理或单方中途退出管理的；</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6.对需紧急处置的情况，在接到甲方通知后，乙方应无条件在规定时间内完成。对乙方累计两次（包括两次）以上未在规定时间内完成甲方交办的任务，甲方有权清退乙方，指派其它人员进场；</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7.在上级部门考核评比等活动中出现严重失误或造成严重不良影响的。</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十三、合同的生效及合同争议解决</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（一）本合同自甲乙双方法定代表人或授权代理人签字并加盖公章或合同专用章后生效。</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（二）本合同一式四份，具有同等法律效力，甲方</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份。</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（三）凡因本合同引起的任何争议，合同双方应首先通过协商解决。如果协商不成，则向甲方所在地人民法院提起诉讼。</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十四、合同的补充、变更与终止</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（一）合同如有未尽事宜，须经合同双方共同协商达成书面补充协议，补充协议与本合同具有同等法律效力。</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（二）政府采购合同的双方当事人不得擅自变更、中止或者终止合同。</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（三）本合同其他未尽事宜及与采购文件有矛盾之处，以招标文件（项目编号：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）规定为准。</w:t>
      </w:r>
    </w:p>
    <w:p>
      <w:pPr>
        <w:pBdr>
          <w:top w:val="none" w:color="000000" w:sz="0" w:space="0"/>
          <w:left w:val="none" w:color="000000" w:sz="0" w:space="0"/>
          <w:bottom w:val="none" w:color="000000" w:sz="0" w:space="0"/>
          <w:right w:val="none" w:color="000000" w:sz="0" w:space="0"/>
        </w:pBdr>
        <w:spacing w:after="0" w:line="360" w:lineRule="auto"/>
        <w:ind w:firstLine="602"/>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十五、其他约定事项</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一方的送达方式和送达地址在发生变更后应当及时书面通知另一方，否则依法邮寄到约定地址均视为已经送达；任何一方拒收均视为已经送达。合同双方的法定送达地址、联系人、联系方式：</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甲方：送达地址：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 xml:space="preserve">；联系人：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 xml:space="preserve">；联系方式：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乙方：送达地址：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 xml:space="preserve">；联系人：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 xml:space="preserve">；联系方式： </w:t>
      </w:r>
      <w:r>
        <w:rPr>
          <w:rFonts w:hint="eastAsia" w:ascii="宋体" w:hAnsi="宋体" w:eastAsia="宋体" w:cs="宋体"/>
          <w:bCs/>
          <w:color w:val="auto"/>
          <w:sz w:val="21"/>
          <w:szCs w:val="21"/>
          <w:highlight w:val="none"/>
          <w:u w:val="single"/>
          <w:lang w:eastAsia="zh-CN"/>
        </w:rPr>
        <w:t xml:space="preserve">     </w:t>
      </w:r>
      <w:r>
        <w:rPr>
          <w:rFonts w:hint="eastAsia" w:ascii="宋体" w:hAnsi="宋体" w:eastAsia="宋体" w:cs="宋体"/>
          <w:bCs/>
          <w:color w:val="auto"/>
          <w:sz w:val="21"/>
          <w:szCs w:val="21"/>
          <w:highlight w:val="none"/>
          <w:lang w:eastAsia="zh-CN"/>
        </w:rPr>
        <w:t>。</w:t>
      </w:r>
    </w:p>
    <w:p>
      <w:pPr>
        <w:pStyle w:val="16"/>
        <w:spacing w:line="360" w:lineRule="auto"/>
        <w:ind w:left="0" w:leftChars="0" w:firstLine="0" w:firstLineChars="0"/>
        <w:rPr>
          <w:rFonts w:hint="eastAsia" w:ascii="宋体" w:hAnsi="宋体" w:eastAsia="宋体" w:cs="宋体"/>
          <w:bCs/>
          <w:color w:val="auto"/>
          <w:sz w:val="21"/>
          <w:szCs w:val="21"/>
          <w:highlight w:val="none"/>
          <w:lang w:eastAsia="zh-CN"/>
        </w:rPr>
      </w:pPr>
    </w:p>
    <w:p>
      <w:pPr>
        <w:pStyle w:val="16"/>
        <w:spacing w:line="360" w:lineRule="auto"/>
        <w:rPr>
          <w:rFonts w:hint="eastAsia" w:ascii="宋体" w:hAnsi="宋体" w:eastAsia="宋体" w:cs="宋体"/>
          <w:bCs/>
          <w:color w:val="auto"/>
          <w:sz w:val="21"/>
          <w:szCs w:val="21"/>
          <w:highlight w:val="none"/>
          <w:lang w:eastAsia="zh-CN"/>
        </w:rPr>
      </w:pPr>
    </w:p>
    <w:p>
      <w:pPr>
        <w:pStyle w:val="16"/>
        <w:spacing w:line="360" w:lineRule="auto"/>
        <w:rPr>
          <w:rFonts w:hint="eastAsia" w:ascii="宋体" w:hAnsi="宋体" w:eastAsia="宋体" w:cs="宋体"/>
          <w:bCs/>
          <w:color w:val="auto"/>
          <w:sz w:val="21"/>
          <w:szCs w:val="21"/>
          <w:highlight w:val="none"/>
          <w:lang w:eastAsia="zh-CN"/>
        </w:rPr>
      </w:pP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           乙方：</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        委托代理人：</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          联系电话：</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签定日期：          签定日期：</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                  开户银行：</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账号：                      账号：</w:t>
      </w:r>
    </w:p>
    <w:p>
      <w:pPr>
        <w:pBdr>
          <w:top w:val="none" w:color="000000" w:sz="0" w:space="0"/>
          <w:left w:val="none" w:color="000000" w:sz="0" w:space="0"/>
          <w:bottom w:val="none" w:color="000000" w:sz="0" w:space="0"/>
          <w:right w:val="none" w:color="000000" w:sz="0" w:space="0"/>
        </w:pBdr>
        <w:spacing w:after="0" w:line="360" w:lineRule="auto"/>
        <w:ind w:firstLine="6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签订地点：                  签订地点：</w:t>
      </w:r>
    </w:p>
    <w:p>
      <w:pPr>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br w:type="page"/>
      </w:r>
      <w:bookmarkStart w:id="109" w:name="_Toc472337695"/>
      <w:bookmarkStart w:id="110" w:name="_Toc472429340"/>
    </w:p>
    <w:p>
      <w:pPr>
        <w:pStyle w:val="51"/>
        <w:numPr>
          <w:ilvl w:val="0"/>
          <w:numId w:val="10"/>
        </w:numPr>
        <w:spacing w:line="312" w:lineRule="auto"/>
        <w:ind w:firstLine="0"/>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w:t>
      </w:r>
      <w:r>
        <w:rPr>
          <w:rFonts w:hint="eastAsia" w:ascii="宋体" w:hAnsi="宋体" w:eastAsia="宋体" w:cs="宋体"/>
          <w:b/>
          <w:bCs/>
          <w:color w:val="auto"/>
          <w:sz w:val="28"/>
          <w:szCs w:val="28"/>
          <w:highlight w:val="none"/>
          <w:lang w:val="en-US" w:eastAsia="zh-CN"/>
        </w:rPr>
        <w:t>需求</w:t>
      </w:r>
    </w:p>
    <w:p>
      <w:pPr>
        <w:pStyle w:val="77"/>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项目概述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b/>
          <w:bCs/>
          <w:lang w:val="en-US" w:eastAsia="zh-CN"/>
        </w:rPr>
        <w:t>1</w:t>
      </w:r>
      <w:r>
        <w:rPr>
          <w:rFonts w:hint="eastAsia"/>
          <w:b/>
          <w:bCs/>
        </w:rPr>
        <w:t>、项目名称：</w:t>
      </w:r>
      <w:r>
        <w:rPr>
          <w:rFonts w:hint="eastAsia" w:ascii="宋体" w:hAnsi="宋体" w:eastAsia="宋体" w:cs="宋体"/>
          <w:bCs/>
          <w:color w:val="auto"/>
          <w:sz w:val="21"/>
          <w:szCs w:val="21"/>
          <w:highlight w:val="none"/>
          <w:lang w:eastAsia="zh-CN"/>
        </w:rPr>
        <w:t>信阳市羊山新区民政局2024年居家和社区基本养老服务提升行动项目；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eastAsia="zh-CN"/>
        </w:rPr>
      </w:pPr>
      <w:r>
        <w:rPr>
          <w:rFonts w:hint="eastAsia"/>
          <w:b/>
          <w:bCs/>
          <w:lang w:val="en-US" w:eastAsia="zh-CN"/>
        </w:rPr>
        <w:t>2</w:t>
      </w:r>
      <w:r>
        <w:rPr>
          <w:rFonts w:hint="eastAsia"/>
          <w:b/>
          <w:bCs/>
        </w:rPr>
        <w:t>、服务地点：</w:t>
      </w:r>
      <w:r>
        <w:rPr>
          <w:rFonts w:hint="eastAsia" w:ascii="宋体" w:hAnsi="宋体" w:eastAsia="宋体" w:cs="宋体"/>
          <w:bCs/>
          <w:color w:val="auto"/>
          <w:sz w:val="21"/>
          <w:szCs w:val="21"/>
          <w:highlight w:val="none"/>
          <w:lang w:eastAsia="zh-CN"/>
        </w:rPr>
        <w:t>信阳市羊山新区；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b/>
          <w:bCs/>
          <w:lang w:val="en-US" w:eastAsia="zh-CN"/>
        </w:rPr>
        <w:t>3、采购内容：</w:t>
      </w:r>
      <w:r>
        <w:rPr>
          <w:rFonts w:hint="eastAsia" w:ascii="宋体" w:hAnsi="宋体" w:eastAsia="宋体" w:cs="宋体"/>
          <w:color w:val="auto"/>
          <w:szCs w:val="21"/>
          <w:highlight w:val="none"/>
          <w:lang w:val="en-US" w:eastAsia="zh-CN"/>
        </w:rPr>
        <w:t>为经济困难的失能、部分失能老年人建设家庭养老床位、提供居家养老上门服务，</w:t>
      </w:r>
      <w:r>
        <w:rPr>
          <w:rFonts w:hint="eastAsia" w:ascii="宋体" w:hAnsi="宋体" w:cs="宋体"/>
          <w:color w:val="auto"/>
          <w:sz w:val="21"/>
          <w:szCs w:val="21"/>
          <w:highlight w:val="none"/>
          <w:lang w:val="en-US" w:eastAsia="zh-CN"/>
        </w:rPr>
        <w:t>包括建设家庭养老床位不少于</w:t>
      </w:r>
      <w:r>
        <w:rPr>
          <w:rFonts w:hint="eastAsia" w:ascii="宋体" w:hAnsi="宋体" w:eastAsia="宋体" w:cs="宋体"/>
          <w:color w:val="auto"/>
          <w:sz w:val="21"/>
          <w:szCs w:val="21"/>
          <w:highlight w:val="none"/>
          <w:vertAlign w:val="baseline"/>
          <w:lang w:val="en-US" w:eastAsia="zh-CN"/>
        </w:rPr>
        <w:t>268</w:t>
      </w:r>
      <w:r>
        <w:rPr>
          <w:rFonts w:hint="eastAsia" w:ascii="宋体" w:hAnsi="宋体" w:cs="宋体"/>
          <w:color w:val="auto"/>
          <w:sz w:val="21"/>
          <w:szCs w:val="21"/>
          <w:highlight w:val="none"/>
          <w:lang w:val="en-US" w:eastAsia="zh-CN"/>
        </w:rPr>
        <w:t>张，提供居家养老上门服务不少于</w:t>
      </w:r>
      <w:r>
        <w:rPr>
          <w:rFonts w:hint="eastAsia" w:ascii="宋体" w:hAnsi="宋体" w:eastAsia="宋体" w:cs="宋体"/>
          <w:color w:val="auto"/>
          <w:sz w:val="21"/>
          <w:szCs w:val="21"/>
          <w:highlight w:val="none"/>
          <w:vertAlign w:val="baseline"/>
          <w:lang w:val="en-US" w:eastAsia="zh-CN"/>
        </w:rPr>
        <w:t>50</w:t>
      </w:r>
      <w:r>
        <w:rPr>
          <w:rFonts w:hint="eastAsia" w:ascii="宋体" w:hAnsi="宋体" w:cs="宋体"/>
          <w:color w:val="auto"/>
          <w:sz w:val="21"/>
          <w:szCs w:val="21"/>
          <w:highlight w:val="none"/>
          <w:vertAlign w:val="baseline"/>
          <w:lang w:val="en-US" w:eastAsia="zh-CN"/>
        </w:rPr>
        <w:t>3</w:t>
      </w:r>
      <w:r>
        <w:rPr>
          <w:rFonts w:hint="eastAsia" w:ascii="宋体" w:hAnsi="宋体" w:cs="宋体"/>
          <w:color w:val="auto"/>
          <w:sz w:val="21"/>
          <w:szCs w:val="21"/>
          <w:highlight w:val="none"/>
          <w:lang w:val="en-US" w:eastAsia="zh-CN"/>
        </w:rPr>
        <w:t>人次；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b/>
          <w:bCs/>
          <w:lang w:val="en-US" w:eastAsia="zh-CN"/>
        </w:rPr>
        <w:t>4、服务周期：</w:t>
      </w:r>
      <w:r>
        <w:rPr>
          <w:rFonts w:hint="eastAsia"/>
          <w:lang w:val="en-US" w:eastAsia="zh-CN"/>
        </w:rPr>
        <w:t>服务期不少于6个月；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5、质量要求：</w:t>
      </w:r>
      <w:r>
        <w:rPr>
          <w:rFonts w:hint="eastAsia" w:ascii="宋体" w:hAnsi="宋体" w:eastAsia="宋体" w:cs="宋体"/>
          <w:bCs/>
          <w:color w:val="auto"/>
          <w:sz w:val="21"/>
          <w:szCs w:val="21"/>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bCs w:val="0"/>
          <w:color w:val="auto"/>
          <w:sz w:val="21"/>
          <w:szCs w:val="21"/>
          <w:highlight w:val="none"/>
          <w:lang w:val="en-US" w:eastAsia="zh-CN"/>
        </w:rPr>
        <w:t>6、建设家庭养老床位的质保维护期：</w:t>
      </w:r>
      <w:r>
        <w:rPr>
          <w:rFonts w:hint="eastAsia" w:ascii="宋体" w:hAnsi="宋体" w:eastAsia="宋体" w:cs="宋体"/>
          <w:bCs/>
          <w:color w:val="auto"/>
          <w:sz w:val="21"/>
          <w:szCs w:val="21"/>
          <w:highlight w:val="none"/>
          <w:lang w:val="en-US" w:eastAsia="zh-CN"/>
        </w:rPr>
        <w:t>一年。</w:t>
      </w:r>
    </w:p>
    <w:p>
      <w:pPr>
        <w:pStyle w:val="77"/>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bookmarkStart w:id="111" w:name="_Toc23265"/>
      <w:r>
        <w:rPr>
          <w:rFonts w:hint="eastAsia" w:ascii="宋体" w:hAnsi="宋体" w:eastAsia="宋体" w:cs="宋体"/>
          <w:b/>
          <w:sz w:val="24"/>
          <w:szCs w:val="24"/>
        </w:rPr>
        <w:t>二、项目基本情况</w:t>
      </w:r>
      <w:bookmarkEnd w:id="111"/>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民政部办公厅财政部办公厅关于开展2024年居家和社区基本养老服务提升行动项目申报和组织实施工作的通知》(民办函〔2024〕26号)、《河南省财政厅河南省民政厅关于下达2024年中央专项彩票公益金支持居家和社区基本养老服务提升行动项目资金预算的通知》(豫财社〔2024〕77号)等任务要求，进一步推动我区居家养老服务工作的开展。</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为此，通过中央专项彩票公益金支持，</w:t>
      </w:r>
      <w:r>
        <w:rPr>
          <w:rFonts w:hint="eastAsia" w:ascii="宋体" w:hAnsi="宋体" w:eastAsia="宋体" w:cs="宋体"/>
          <w:color w:val="000000"/>
          <w:kern w:val="0"/>
          <w:sz w:val="21"/>
          <w:szCs w:val="21"/>
          <w:lang w:val="en-US" w:eastAsia="zh-CN" w:bidi="ar"/>
        </w:rPr>
        <w:t>根据服务对象失能状况、居家环境条件等情况，服务机构根据服务对象失能状况、居家环境条件、需求评估等情况并结合其意愿，按照《关于印发信阳市居家和社区基本养老服务提升行动项目实施方案的通知》中的“家庭养老床位基本项目参考清单”，</w:t>
      </w:r>
      <w:r>
        <w:rPr>
          <w:rFonts w:hint="eastAsia" w:ascii="宋体" w:hAnsi="宋体" w:eastAsia="宋体" w:cs="宋体"/>
          <w:sz w:val="21"/>
          <w:szCs w:val="21"/>
          <w:lang w:val="en-US" w:eastAsia="zh-CN"/>
        </w:rPr>
        <w:t>面向经济困难的失能、部分失能老年人建设家庭养老床位、提供居家养老上门服务，发挥项目示范带动作用，引导更多专业优质资源投入，建立健全居家社区养老服务高质量发展制度机制。</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napToGrid w:val="0"/>
          <w:color w:val="auto"/>
          <w:kern w:val="0"/>
          <w:sz w:val="24"/>
          <w:szCs w:val="24"/>
          <w:highlight w:val="none"/>
          <w:lang w:eastAsia="zh-CN"/>
        </w:rPr>
      </w:pPr>
      <w:bookmarkStart w:id="112" w:name="_Toc30585"/>
      <w:r>
        <w:rPr>
          <w:rFonts w:hint="eastAsia" w:ascii="宋体" w:hAnsi="宋体" w:eastAsia="宋体" w:cs="宋体"/>
          <w:b/>
          <w:snapToGrid w:val="0"/>
          <w:color w:val="auto"/>
          <w:kern w:val="0"/>
          <w:sz w:val="24"/>
          <w:szCs w:val="24"/>
          <w:highlight w:val="none"/>
        </w:rPr>
        <w:t>三、服务</w:t>
      </w:r>
      <w:bookmarkEnd w:id="112"/>
      <w:r>
        <w:rPr>
          <w:rFonts w:hint="eastAsia" w:ascii="宋体" w:hAnsi="宋体" w:eastAsia="宋体" w:cs="宋体"/>
          <w:b/>
          <w:snapToGrid w:val="0"/>
          <w:color w:val="auto"/>
          <w:kern w:val="0"/>
          <w:sz w:val="24"/>
          <w:szCs w:val="24"/>
          <w:highlight w:val="none"/>
          <w:lang w:val="en-US" w:eastAsia="zh-CN"/>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sz w:val="21"/>
          <w:szCs w:val="21"/>
        </w:rPr>
        <w:t>项目服务对象为经济困难的失能、部分失能老年人。其中，老年人是指项目地区户籍人口中60周岁及以上的居民；经济困难是指家庭人均收入符合低保、低保边缘标准，可视情扩大到当地人均可支配收入统计口径的低收入组和中间偏下收入组；失能、部分失能是指根据《老年人能力评估规范》(GB/T42195-2022)等标准评估为轻度失能及以上等级。</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四、服务内容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在对老年人进行综合能力评估基础上，综合考虑其身体健康状况、居家环境条件等因素，依托服务机构按照《家庭养老床位基本项目参考清单》（附件1），对符合条件的老年人居家环境关键区域或部位进行适老化、智能化改造，安装网络连接、紧急呼叫、活动监测等智能化设备，为开展生活照料、体征监测、康复训练、呼叫响应等服务提供硬件与技术支持。</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1、建设家庭养老床位。根据实际需求评估情况，通过适老化改造、智能化改造，提升老年人生活自理能力和生活品质。</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适老化改造。按照无障碍设计规范对老年人住所的卧室、卫生间、浴室、厨房、客厅等重点部位进行适老化改造，配备必要老年用品，改善老年人的居住环境，建设无障碍空间，为老年人居家安全和上门服务有效开展提供保障。改善老年人的居住环境，为老年人居家安全和上门服务人员有效开展工作提供保障。具体内容和要求见《家庭养老床位基本项目参考清单》。</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智能化改造。服务机构为老年人住所安装必要电子信息服务设备，包括网络连接设备、紧急呼叫、体征监测、视频语音通话等基本电子信息服务设备，增强老年人居家生活的安全性、便利性和舒适性。智能化设备信息及服务数据应保证能有效链接至智慧养老服务平台、居家上门服务机构平台，并能通过智能化设备将家庭养老床位纳入24小时动态管理和远程监护，增强老年人居家生活的安全性、便利性和舒适性。具体内容和要求见《家庭养老床位基本项目参考清单》。</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提供居家上门服务。在项目执行时间内，为纳入居家养老上门服务范围的服务对象提供居家养老上门服务。申请居家养老上门服务的对象宜长期相对固定在其居住地。服务提供主体应具备对失能、部分失能老年人的专业照护能力、24小时紧急呼叫响应及处置能力等。服务内容包括但不限于生活照护、基础护  理、探访关爱、健康管理、委托代办、精神慰藉等。项目周期内，应为每位(同一)服务对象累计提供不少于30次的居家养老上门服务，每次上门服务总时长不应低于1小时。服务完成次数以上门服务次数为基准，若1次性上门提供多类服务，依旧视为1次居家养老上门服务。同一天内对同一服务对象不可开展2次及以上服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服务实施规范要求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1、建设要求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（1）所有设施设备应有产品合格证，并符合国家相关安全标准。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（2）家庭养老床位建设机构在质保期内应每季度对设施设备进行一次巡检并提供书面报告，确保设施设备正常使用。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承接人</w:t>
      </w:r>
      <w:r>
        <w:rPr>
          <w:rFonts w:hint="eastAsia" w:ascii="宋体" w:hAnsi="宋体" w:eastAsia="宋体" w:cs="宋体"/>
          <w:sz w:val="21"/>
          <w:szCs w:val="21"/>
        </w:rPr>
        <w:t>所投智能化产品，需实施远程监控，相关实时服务数据必须上传系统平台，并保证正常运营。</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（4）改造过程中，</w:t>
      </w:r>
      <w:r>
        <w:rPr>
          <w:rFonts w:hint="eastAsia" w:ascii="宋体" w:hAnsi="宋体" w:eastAsia="宋体" w:cs="宋体"/>
          <w:sz w:val="21"/>
          <w:szCs w:val="21"/>
          <w:lang w:eastAsia="zh-CN"/>
        </w:rPr>
        <w:t>承接人</w:t>
      </w:r>
      <w:r>
        <w:rPr>
          <w:rFonts w:hint="eastAsia" w:ascii="宋体" w:hAnsi="宋体" w:eastAsia="宋体" w:cs="宋体"/>
          <w:sz w:val="21"/>
          <w:szCs w:val="21"/>
        </w:rPr>
        <w:t>应按照民政部门核定后评估结果，逐户实施改造，改造完成后，应建立完整的改造档案，保留完整的改造信息，完整清晰的改造前中后图片影像等资料，交采购单位验收、存档，并按照民政局要求录入采购人指定的平台系统。</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承接人</w:t>
      </w:r>
      <w:r>
        <w:rPr>
          <w:rFonts w:hint="eastAsia" w:ascii="宋体" w:hAnsi="宋体" w:eastAsia="宋体" w:cs="宋体"/>
          <w:sz w:val="21"/>
          <w:szCs w:val="21"/>
        </w:rPr>
        <w:t>应按照采购人的改造方案实施，改造方案变动须经过改造对象和采购人同意。</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（6）所有货物、产品提供</w:t>
      </w:r>
      <w:r>
        <w:rPr>
          <w:rFonts w:hint="eastAsia" w:ascii="宋体" w:hAnsi="宋体" w:cs="宋体"/>
          <w:sz w:val="21"/>
          <w:szCs w:val="21"/>
          <w:lang w:val="en-US" w:eastAsia="zh-CN"/>
        </w:rPr>
        <w:t>一</w:t>
      </w:r>
      <w:r>
        <w:rPr>
          <w:rFonts w:hint="eastAsia" w:ascii="宋体" w:hAnsi="宋体" w:eastAsia="宋体" w:cs="宋体"/>
          <w:sz w:val="21"/>
          <w:szCs w:val="21"/>
        </w:rPr>
        <w:t>年免费质保。</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承接人</w:t>
      </w:r>
      <w:r>
        <w:rPr>
          <w:rFonts w:hint="eastAsia" w:ascii="宋体" w:hAnsi="宋体" w:eastAsia="宋体" w:cs="宋体"/>
          <w:sz w:val="21"/>
          <w:szCs w:val="21"/>
        </w:rPr>
        <w:t>应按要求将相关产品送达采购人指定的地点，提供安装部署服务，完成各类设备的安装与调试服务。货物安装时，若需使用特殊的接头、插座、电缆、特殊安装工具等备件，应由</w:t>
      </w:r>
      <w:r>
        <w:rPr>
          <w:rFonts w:hint="eastAsia" w:ascii="宋体" w:hAnsi="宋体" w:eastAsia="宋体" w:cs="宋体"/>
          <w:sz w:val="21"/>
          <w:szCs w:val="21"/>
          <w:lang w:eastAsia="zh-CN"/>
        </w:rPr>
        <w:t>承接人</w:t>
      </w:r>
      <w:r>
        <w:rPr>
          <w:rFonts w:hint="eastAsia" w:ascii="宋体" w:hAnsi="宋体" w:eastAsia="宋体" w:cs="宋体"/>
          <w:sz w:val="21"/>
          <w:szCs w:val="21"/>
        </w:rPr>
        <w:t>提供，如</w:t>
      </w:r>
      <w:r>
        <w:rPr>
          <w:rFonts w:hint="eastAsia" w:ascii="宋体" w:hAnsi="宋体" w:eastAsia="宋体" w:cs="宋体"/>
          <w:sz w:val="21"/>
          <w:szCs w:val="21"/>
          <w:lang w:eastAsia="zh-CN"/>
        </w:rPr>
        <w:t>承接人</w:t>
      </w:r>
      <w:r>
        <w:rPr>
          <w:rFonts w:hint="eastAsia" w:ascii="宋体" w:hAnsi="宋体" w:eastAsia="宋体" w:cs="宋体"/>
          <w:sz w:val="21"/>
          <w:szCs w:val="21"/>
        </w:rPr>
        <w:t>提供的货物或产品用电负荷超过正常线路负荷时，所需相关保护设备应由</w:t>
      </w:r>
      <w:r>
        <w:rPr>
          <w:rFonts w:hint="eastAsia" w:ascii="宋体" w:hAnsi="宋体" w:eastAsia="宋体" w:cs="宋体"/>
          <w:sz w:val="21"/>
          <w:szCs w:val="21"/>
          <w:lang w:eastAsia="zh-CN"/>
        </w:rPr>
        <w:t>承接人</w:t>
      </w:r>
      <w:r>
        <w:rPr>
          <w:rFonts w:hint="eastAsia" w:ascii="宋体" w:hAnsi="宋体" w:eastAsia="宋体" w:cs="宋体"/>
          <w:sz w:val="21"/>
          <w:szCs w:val="21"/>
        </w:rPr>
        <w:t>提供。</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（8）施工过程中，</w:t>
      </w:r>
      <w:r>
        <w:rPr>
          <w:rFonts w:hint="eastAsia" w:ascii="宋体" w:hAnsi="宋体" w:eastAsia="宋体" w:cs="宋体"/>
          <w:sz w:val="21"/>
          <w:szCs w:val="21"/>
          <w:lang w:eastAsia="zh-CN"/>
        </w:rPr>
        <w:t>承接人</w:t>
      </w:r>
      <w:r>
        <w:rPr>
          <w:rFonts w:hint="eastAsia" w:ascii="宋体" w:hAnsi="宋体" w:eastAsia="宋体" w:cs="宋体"/>
          <w:sz w:val="21"/>
          <w:szCs w:val="21"/>
        </w:rPr>
        <w:t>需采取措施保护现场及周边相关物品、设施等，因</w:t>
      </w:r>
      <w:r>
        <w:rPr>
          <w:rFonts w:hint="eastAsia" w:ascii="宋体" w:hAnsi="宋体" w:eastAsia="宋体" w:cs="宋体"/>
          <w:sz w:val="21"/>
          <w:szCs w:val="21"/>
          <w:lang w:eastAsia="zh-CN"/>
        </w:rPr>
        <w:t>承接人</w:t>
      </w:r>
      <w:r>
        <w:rPr>
          <w:rFonts w:hint="eastAsia" w:ascii="宋体" w:hAnsi="宋体" w:eastAsia="宋体" w:cs="宋体"/>
          <w:sz w:val="21"/>
          <w:szCs w:val="21"/>
        </w:rPr>
        <w:t>的不规范操作、误操作等原因造成相关设施的损坏、设备的停用等后果均由</w:t>
      </w:r>
      <w:r>
        <w:rPr>
          <w:rFonts w:hint="eastAsia" w:ascii="宋体" w:hAnsi="宋体" w:eastAsia="宋体" w:cs="宋体"/>
          <w:sz w:val="21"/>
          <w:szCs w:val="21"/>
          <w:lang w:eastAsia="zh-CN"/>
        </w:rPr>
        <w:t>承接人</w:t>
      </w:r>
      <w:r>
        <w:rPr>
          <w:rFonts w:hint="eastAsia" w:ascii="宋体" w:hAnsi="宋体" w:eastAsia="宋体" w:cs="宋体"/>
          <w:sz w:val="21"/>
          <w:szCs w:val="21"/>
        </w:rPr>
        <w:t>承担，由</w:t>
      </w:r>
      <w:r>
        <w:rPr>
          <w:rFonts w:hint="eastAsia" w:ascii="宋体" w:hAnsi="宋体" w:eastAsia="宋体" w:cs="宋体"/>
          <w:sz w:val="21"/>
          <w:szCs w:val="21"/>
          <w:lang w:eastAsia="zh-CN"/>
        </w:rPr>
        <w:t>承接人</w:t>
      </w:r>
      <w:r>
        <w:rPr>
          <w:rFonts w:hint="eastAsia" w:ascii="宋体" w:hAnsi="宋体" w:eastAsia="宋体" w:cs="宋体"/>
          <w:sz w:val="21"/>
          <w:szCs w:val="21"/>
        </w:rPr>
        <w:t>原样修复并自行承担相关费用。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（9）每户安装温馨提示牌，内容包含提示内容、维保电话。</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承接人</w:t>
      </w:r>
      <w:r>
        <w:rPr>
          <w:rFonts w:hint="eastAsia" w:ascii="宋体" w:hAnsi="宋体" w:eastAsia="宋体" w:cs="宋体"/>
          <w:sz w:val="21"/>
          <w:szCs w:val="21"/>
        </w:rPr>
        <w:t>在入户开展适老化改造服务过程中，不得向老人及家属推销保健品、P2P等违法违规的内容，否则采购人有权取消中标资格，并追究法律责任。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承接人</w:t>
      </w:r>
      <w:r>
        <w:rPr>
          <w:rFonts w:hint="eastAsia" w:ascii="宋体" w:hAnsi="宋体" w:eastAsia="宋体" w:cs="宋体"/>
          <w:sz w:val="21"/>
          <w:szCs w:val="21"/>
        </w:rPr>
        <w:t>要注意工作方式、方法和态度，充分尊重老人、家属、社区的改造意向，不能与老人、家属、街道社区工作人员发生矛盾。</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承接人</w:t>
      </w:r>
      <w:r>
        <w:rPr>
          <w:rFonts w:hint="eastAsia" w:ascii="宋体" w:hAnsi="宋体" w:eastAsia="宋体" w:cs="宋体"/>
          <w:sz w:val="21"/>
          <w:szCs w:val="21"/>
        </w:rPr>
        <w:t>确保在履行合同过程中工作人员与老人、家属的人身安全。改造过程中发生任何安全问题，由</w:t>
      </w:r>
      <w:r>
        <w:rPr>
          <w:rFonts w:hint="eastAsia" w:ascii="宋体" w:hAnsi="宋体" w:eastAsia="宋体" w:cs="宋体"/>
          <w:sz w:val="21"/>
          <w:szCs w:val="21"/>
          <w:lang w:eastAsia="zh-CN"/>
        </w:rPr>
        <w:t>承接人</w:t>
      </w:r>
      <w:r>
        <w:rPr>
          <w:rFonts w:hint="eastAsia" w:ascii="宋体" w:hAnsi="宋体" w:eastAsia="宋体" w:cs="宋体"/>
          <w:sz w:val="21"/>
          <w:szCs w:val="21"/>
        </w:rPr>
        <w:t>自行负责，采购人不承担任何责任。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2、上门服务实施要求详见《居家养老上门服务指导清单》</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补助标准。各地按照户均不超过6000元标准给予 一次性家庭床位建设补助，按照人均不超过2800元标准给予居家养老上门服务补助。</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服务流程</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项目实行全流程信息化管理，需在“金民工程”全国养老服务信息系统项目信息采集版块和微信小程序“民政政务—2024年项目”中及时录入相关信息。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一)摸底排查。各地加大宣传力度，对辖区内符合条件的经济困难的失能、部分失能老年人组织开展排查摸底，指导符合条件的老年人或其代理人向其居住社区(村)提出申请。社区(村)受理初审后，上报至街道(乡镇)复审，各县(区)、羊山新区民政部门进行终审。</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服务对象从城乡低保家庭、分散特困供养人员、低保边缘家庭、当地人均可支配收入统计口径的低收入组和中间偏下收入组中的失能、部分失能老年人合理选取。</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二)评估建账。采用政府采购、聘请等多种方式选定专业机构按照相关标准对老年人进行综合能力评估、居住环境评估、服务需求评估等，遴选服务对象。以评估结果为基本依据，结合服务对象意愿，对每位服务对象进行基本信息和需求登记，按照“一人一案”原则建立台账，细化明确具体服务方案。</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(三)遴选主体。严格按照政府采购有关规定，遴选确定建设家庭养老床位和提供居家上门服务的承接主体。</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四)提供服务。服务提供主体应在前期围绕项目要求，开展相关业务能力培训。根据每位服务对象具体情况，结合项目相关执行标准和周期，制定家庭养老床位建设或居家养老上门服务的具体方案，明确实施内容、服务标准、进度安排等，经服务对象或其代理人确认、签订协议后按计划实施(根据服务对象身体状况、照护需求变化等因素，经与服务对象或其代理人商议一致后，可优化调整方案),并通过全国养老服务信息系统和相关微信小程序上传服务信息。要建立投诉反馈机制，做好风险预案、服务告知、风险事项告知等。因服务对象临时住院、远距离搬迁、死亡等导致无法接续服务时，应视情况及时采取暂停或终止等措施。属于服务项目以外、服务对象自愿付费的部分，由服务对象或其代理人与服务提供主体签订服务合同予以明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sz w:val="21"/>
          <w:szCs w:val="21"/>
        </w:rPr>
        <w:t>(五)评估验收。各地对项目实施情况进行评估验收，将验收结果作为标的支付、项目竣工的主要依据。同一辖区内，验收机构和服务实施机构、评估机构不得是同一家机构。支持通过政府采购、聘请、委托等方式让专业第三方提前介入，对项目进行全过程跟踪监管及质量验收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pPr>
        <w:spacing w:line="312" w:lineRule="auto"/>
        <w:rPr>
          <w:rFonts w:hint="eastAsia" w:ascii="宋体" w:hAnsi="宋体" w:eastAsia="宋体" w:cs="宋体"/>
          <w:color w:val="auto"/>
          <w:szCs w:val="21"/>
          <w:highlight w:val="none"/>
        </w:rPr>
      </w:pPr>
      <w:r>
        <w:rPr>
          <w:rFonts w:hint="eastAsia" w:ascii="宋体" w:hAnsi="宋体" w:cs="宋体"/>
          <w:b/>
          <w:bCs/>
          <w:color w:val="auto"/>
          <w:sz w:val="28"/>
          <w:szCs w:val="28"/>
          <w:highlight w:val="none"/>
          <w:lang w:val="en-US" w:eastAsia="zh-CN"/>
        </w:rPr>
        <w:t>附表1、</w:t>
      </w:r>
      <w:r>
        <w:rPr>
          <w:rFonts w:hint="eastAsia" w:ascii="宋体" w:hAnsi="宋体" w:eastAsia="宋体" w:cs="宋体"/>
          <w:b/>
          <w:bCs/>
          <w:color w:val="auto"/>
          <w:sz w:val="28"/>
          <w:szCs w:val="28"/>
          <w:highlight w:val="none"/>
        </w:rPr>
        <w:t>家庭养老床位基本项目参考清单</w:t>
      </w:r>
    </w:p>
    <w:tbl>
      <w:tblPr>
        <w:tblStyle w:val="78"/>
        <w:tblW w:w="10457"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107"/>
        <w:gridCol w:w="686"/>
        <w:gridCol w:w="932"/>
        <w:gridCol w:w="1232"/>
        <w:gridCol w:w="6214"/>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76" w:hRule="atLeast"/>
        </w:trPr>
        <w:tc>
          <w:tcPr>
            <w:tcW w:w="10457" w:type="dxa"/>
            <w:gridSpan w:val="6"/>
            <w:vAlign w:val="center"/>
          </w:tcPr>
          <w:p>
            <w:pPr>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一、适老化改造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具体内容</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21"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地面改造</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防滑处理</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在卫生间、厨房、卧室等区域，铺设防 滑砖或者防滑地胶</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15" w:hRule="atLeast"/>
        </w:trPr>
        <w:tc>
          <w:tcPr>
            <w:tcW w:w="793" w:type="dxa"/>
            <w:gridSpan w:val="2"/>
            <w:tcBorders>
              <w:bottom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32" w:type="dxa"/>
            <w:vMerge w:val="continue"/>
            <w:tcBorders>
              <w:top w:val="nil"/>
              <w:bottom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tcBorders>
              <w:bottom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高差处理</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铺设水泥坡道或者加设橡胶等材质的 可移动式坡道</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12" w:hRule="atLeast"/>
        </w:trPr>
        <w:tc>
          <w:tcPr>
            <w:tcW w:w="793" w:type="dxa"/>
            <w:gridSpan w:val="2"/>
            <w:tcBorders>
              <w:top w:val="single" w:color="auto" w:sz="4" w:space="0"/>
              <w:left w:val="single" w:color="auto" w:sz="4" w:space="0"/>
              <w:bottom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32" w:type="dxa"/>
            <w:vMerge w:val="restart"/>
            <w:tcBorders>
              <w:top w:val="single" w:color="auto" w:sz="4" w:space="0"/>
              <w:bottom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门改造</w:t>
            </w:r>
          </w:p>
        </w:tc>
        <w:tc>
          <w:tcPr>
            <w:tcW w:w="1232" w:type="dxa"/>
            <w:tcBorders>
              <w:top w:val="single" w:color="auto" w:sz="4" w:space="0"/>
              <w:bottom w:val="single" w:color="auto" w:sz="4" w:space="0"/>
              <w:right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门槛移除</w:t>
            </w:r>
          </w:p>
        </w:tc>
        <w:tc>
          <w:tcPr>
            <w:tcW w:w="6214" w:type="dxa"/>
            <w:tcBorders>
              <w:left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移除门槛，便利老年人进出</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22" w:hRule="atLeast"/>
        </w:trPr>
        <w:tc>
          <w:tcPr>
            <w:tcW w:w="793" w:type="dxa"/>
            <w:gridSpan w:val="2"/>
            <w:tcBorders>
              <w:top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32" w:type="dxa"/>
            <w:vMerge w:val="continue"/>
            <w:tcBorders>
              <w:top w:val="single" w:color="auto" w:sz="4" w:space="0"/>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tcBorders>
              <w:top w:val="single" w:color="auto" w:sz="4" w:space="0"/>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房门拓宽</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对卫生间、厨房等空间较窄的门洞进行拓宽，改善通过性，方便轮椅进出</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803"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下压式门把手改造</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可用单手手掌或者手指轻松操作，增加摩擦力和稳定性，方便老年人开门</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卧室改造</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安装床边护栏(抓杆)</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辅助老年人起身、上下床，防止翻身滚下床</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14"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配置护理床</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帮助失能老年人完成起身、侧翻、上下床、吃饭等动作，辅助喂食、处理排泄物等</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826"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配置防压疮垫</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避免长期乘坐轮椅或卧床的老年人发  生严重压疮，包括防压疮坐垫、靠垫或 床垫等</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09"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如厕洗浴设备改造</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安装扶手</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在如厕区或者洗浴区安装扶手，包括一字形扶手、U形扶手、L形扶手、135°扶手、T形扶手或者助力扶手等</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65"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配置淋浴椅</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辅助老年人洗澡用，避免老年人滑倒</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3"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物理环境改造</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灯源改造</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安装自动感应灯，辅助老年人起夜使用</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94"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电源插座及开关改造</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根据情况进行高/低位、大面板、夜间指 示改造，方便老年人使用</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22" w:hRule="atLeast"/>
        </w:trPr>
        <w:tc>
          <w:tcPr>
            <w:tcW w:w="793" w:type="dxa"/>
            <w:gridSpan w:val="2"/>
            <w:vAlign w:val="center"/>
          </w:tcPr>
          <w:p>
            <w:pPr>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32" w:type="dxa"/>
            <w:vMerge w:val="continue"/>
            <w:tcBorders>
              <w:top w:val="nil"/>
            </w:tcBorders>
            <w:vAlign w:val="center"/>
          </w:tcPr>
          <w:p>
            <w:pPr>
              <w:keepNext/>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安装防撞护角/防撞条、提示标识</w:t>
            </w:r>
          </w:p>
        </w:tc>
        <w:tc>
          <w:tcPr>
            <w:tcW w:w="6214" w:type="dxa"/>
            <w:vAlign w:val="center"/>
          </w:tcPr>
          <w:p>
            <w:pPr>
              <w:keepNext/>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在家具尖角或墙角安装防撞护角或者 防撞条，必要时粘贴警示条</w:t>
            </w:r>
          </w:p>
        </w:tc>
        <w:tc>
          <w:tcPr>
            <w:tcW w:w="1286" w:type="dxa"/>
            <w:vAlign w:val="center"/>
          </w:tcPr>
          <w:p>
            <w:pPr>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95" w:hRule="atLeast"/>
        </w:trPr>
        <w:tc>
          <w:tcPr>
            <w:tcW w:w="10457" w:type="dxa"/>
            <w:gridSpan w:val="6"/>
            <w:vAlign w:val="center"/>
          </w:tcPr>
          <w:p>
            <w:pPr>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二、智能化改造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58"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76"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网络连接设备</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WIFI路由器</w:t>
            </w:r>
          </w:p>
        </w:tc>
        <w:tc>
          <w:tcPr>
            <w:tcW w:w="6214"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保证相关智能设备数据的传送和服务响应</w:t>
            </w:r>
          </w:p>
        </w:tc>
        <w:tc>
          <w:tcPr>
            <w:tcW w:w="1286"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(任选其一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4"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无线网卡</w:t>
            </w:r>
          </w:p>
        </w:tc>
        <w:tc>
          <w:tcPr>
            <w:tcW w:w="6214"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p>
        </w:tc>
        <w:tc>
          <w:tcPr>
            <w:tcW w:w="1286"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89" w:hRule="atLeast"/>
        </w:trPr>
        <w:tc>
          <w:tcPr>
            <w:tcW w:w="793" w:type="dxa"/>
            <w:gridSpan w:val="2"/>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紧急呼叫设备</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安装在床头、卫生间等关键位置，老年 人出现危机情况便于一键呼叫</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715"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生命体征 监测设备</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智能腕表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动态监测和记录老年人呼吸、心率等参 数，发现异常自动提醒</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04"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安全监控装置</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烟雾报警器</w:t>
            </w:r>
          </w:p>
        </w:tc>
        <w:tc>
          <w:tcPr>
            <w:tcW w:w="6214"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p>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安装在居家应急响应位置，用于监测老年人居室环境，发生险情时及时报警</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89"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可燃气体泄露报警器</w:t>
            </w:r>
          </w:p>
        </w:tc>
        <w:tc>
          <w:tcPr>
            <w:tcW w:w="6214"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373"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溢水报警器</w:t>
            </w:r>
          </w:p>
        </w:tc>
        <w:tc>
          <w:tcPr>
            <w:tcW w:w="6214"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626"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视频或语音通话设备</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智能监控摄像头</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双向实时视频或语音通话，及时准确掌握老人在家实时情况</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474"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智能感应设备</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门磁感应器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装在门或窗等位置，实时监测门窗开闭状态，触发及时报警</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78"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红外探测器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安装在卧室、客厅等老年人频繁活动区域，探测老年人活动情况</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441" w:hRule="atLeast"/>
        </w:trPr>
        <w:tc>
          <w:tcPr>
            <w:tcW w:w="10350" w:type="dxa"/>
            <w:gridSpan w:val="5"/>
            <w:vAlign w:val="center"/>
          </w:tcPr>
          <w:p>
            <w:pPr>
              <w:keepLines/>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三、老年用品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490"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2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80"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932"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老年用品</w:t>
            </w: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手杖</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辅助老年人平稳站立和行走，包含三脚或四脚手杖、凳拐等</w:t>
            </w:r>
          </w:p>
        </w:tc>
        <w:tc>
          <w:tcPr>
            <w:tcW w:w="1286"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5项任选其三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79"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轮椅/助行器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辅助家人、照护人员推行/帮助老年人站立行走，扩大老年人活动空间</w:t>
            </w:r>
          </w:p>
        </w:tc>
        <w:tc>
          <w:tcPr>
            <w:tcW w:w="1286"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89"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放大装置</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运用光学/电子原理进行影像放大，方便老年人使用</w:t>
            </w:r>
          </w:p>
        </w:tc>
        <w:tc>
          <w:tcPr>
            <w:tcW w:w="1286"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569"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932"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自助进食器具</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辅助老年人进食，包括防洒碗(盘)、助食筷、弯柄勺(叉)、饮水杯(壶)</w:t>
            </w:r>
          </w:p>
        </w:tc>
        <w:tc>
          <w:tcPr>
            <w:tcW w:w="1286"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Before w:val="1"/>
          <w:wBefore w:w="107" w:type="dxa"/>
          <w:trHeight w:val="881" w:hRule="atLeast"/>
        </w:trPr>
        <w:tc>
          <w:tcPr>
            <w:tcW w:w="686"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932"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c>
          <w:tcPr>
            <w:tcW w:w="1232" w:type="dxa"/>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助听器</w:t>
            </w:r>
          </w:p>
        </w:tc>
        <w:tc>
          <w:tcPr>
            <w:tcW w:w="6214" w:type="dxa"/>
            <w:vAlign w:val="center"/>
          </w:tcPr>
          <w:p>
            <w:pPr>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帮助老年人听清声音来源，增加与周围的交流，包括盒式助听器、耳内助听器、 耳背助听器、骨传导助听器等</w:t>
            </w:r>
          </w:p>
        </w:tc>
        <w:tc>
          <w:tcPr>
            <w:tcW w:w="1286"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中央财政补助资金支持的服务项目分为基础项目和可选项目，基础项目是必须配置的项目，可选项目是根据老年人实际情况和需求进行个性化配置 的项目。下列可选项目也为必须配置的项目：适老化改造配置项目(1-13项) 中的可选项目7项选2项(不可重复选);智能化改造配置项目(14-23项)中 的可选项目4项选1项；老年用品配置项目(24-28项)中的可选项目5项选3 项(不可重复选)。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2、以上产品价格包含产品的运输、仓储、配送、上门安装、调试、培训、数据上传、1年的售后维修维护和入户制定“一对一”床位建设方案及回访服务的所有费用，超出部分由投标人自行承担。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3、以上产品采购清单中如有属于医疗器械的产品，在合同履行期间需提供该类产品生产厂家的医疗器械生产许可证；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4、以上产品采购清单中如涉及采购的产品属于强制采购的节能产品品目清单范围的，在合同履行期间须提供强制采购的节能产品品目清单范围的产品。</w:t>
      </w:r>
    </w:p>
    <w:p>
      <w:pPr>
        <w:rPr>
          <w:rFonts w:hint="eastAsia"/>
          <w:b/>
          <w:bCs/>
          <w:color w:val="auto"/>
          <w:sz w:val="28"/>
          <w:szCs w:val="28"/>
          <w:highlight w:val="none"/>
        </w:rPr>
      </w:pPr>
      <w:r>
        <w:rPr>
          <w:rFonts w:hint="eastAsia"/>
          <w:b/>
          <w:bCs/>
          <w:color w:val="auto"/>
          <w:sz w:val="28"/>
          <w:szCs w:val="28"/>
          <w:highlight w:val="none"/>
          <w:lang w:val="en-US" w:eastAsia="zh-CN"/>
        </w:rPr>
        <w:t>附表2、</w:t>
      </w:r>
      <w:r>
        <w:rPr>
          <w:rFonts w:hint="eastAsia"/>
          <w:b/>
          <w:bCs/>
          <w:color w:val="auto"/>
          <w:sz w:val="28"/>
          <w:szCs w:val="28"/>
          <w:highlight w:val="none"/>
        </w:rPr>
        <w:t>居家养老上门服务基本项目参考清单</w:t>
      </w:r>
    </w:p>
    <w:p>
      <w:pPr>
        <w:pStyle w:val="18"/>
        <w:rPr>
          <w:rFonts w:hint="eastAsia"/>
          <w:color w:val="auto"/>
          <w:highlight w:val="none"/>
        </w:rPr>
      </w:pPr>
    </w:p>
    <w:tbl>
      <w:tblPr>
        <w:tblStyle w:val="78"/>
        <w:tblW w:w="9419"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1107"/>
        <w:gridCol w:w="1477"/>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34" w:hRule="atLeast"/>
        </w:trPr>
        <w:tc>
          <w:tcPr>
            <w:tcW w:w="110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 别</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5"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生活照料服务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助餐</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上门烹饪、协助老年人前往老年助餐点就餐、送餐上门等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1"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助浴</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上门助浴或协助前往老年人助浴点进行身体清洁等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22"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助洁</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洗漱、剪发剃须、洗脚、剪指(趾)甲等身体助洁服务，居家清 洁、衣物洗涤、物品整理等普通助洁服务。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1"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助行</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协助行走、陪伴外出、参加活动等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42"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助急</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紧急呼叫受理、紧急转介等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9"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助医</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陪同就医、治疗陪伴等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96"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基础照护服务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排泄护理</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排尿护理、排便护理、排气护理等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08"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护理协助</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为老年人进行保暖和物理降温，协助和指导翻身、拍背、褥疮预 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41"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康复护理</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包括康复评估、计划制定、康复指导、康复理疗等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14"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用药照护</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包括用药提醒、用药指导及不良反应观察等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50"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生活照护</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协助穿(脱)衣、饮食照护、睡眠照护等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17"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探访关爱服务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远程服务</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接受与协助老年人电话呼叫和紧急求助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26"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上门探访</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了解掌握老年人的健康状况、精神状况、安全情况、卫生状况、 居室环境、服务需求等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7"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健康管理服务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信息采集</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采集老年人的体检信息、既往疾病史等健康信息，建立老年人健 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56"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健康咨询</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为老年人提供防跌倒、疾病预防、膳食营养、康复保健等指导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56"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健康干预</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制定服务方案，为老年人的生活起居、慢病调理等提供干预服务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76"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常规生理指标监测</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监测体温、体重、血压、呼吸、心率、血糖等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6"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委托代办服务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代购日常用品</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代购日常生活用品、果蔬等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73"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代缴日常费用</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代缴水、电、气、通讯费等日常费用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60"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代订代取业务</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代订车票、预约车辆，代取送信函、文件和物品等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22"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代为申请服务</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代为申请法律援助、救助服务等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6" w:hRule="atLeast"/>
        </w:trPr>
        <w:tc>
          <w:tcPr>
            <w:tcW w:w="1107" w:type="dxa"/>
            <w:vMerge w:val="restart"/>
            <w:tcBorders>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精神慰藉服务</w:t>
            </w: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陪伴支持</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定期协助有意愿的老年人外出活动或前往服务机构参加集体活动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74" w:hRule="atLeast"/>
        </w:trPr>
        <w:tc>
          <w:tcPr>
            <w:tcW w:w="1107" w:type="dxa"/>
            <w:vMerge w:val="continue"/>
            <w:tcBorders>
              <w:top w:val="nil"/>
              <w:bottom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情绪疏导</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与老年人进行谈心、交流，耐心倾听老年人的诉说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8" w:hRule="atLeast"/>
        </w:trPr>
        <w:tc>
          <w:tcPr>
            <w:tcW w:w="1107" w:type="dxa"/>
            <w:vMerge w:val="continue"/>
            <w:tcBorders>
              <w:top w:val="nil"/>
            </w:tcBorders>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p>
        </w:tc>
        <w:tc>
          <w:tcPr>
            <w:tcW w:w="1477" w:type="dxa"/>
            <w:vAlign w:val="center"/>
          </w:tcPr>
          <w:p>
            <w:pPr>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心理慰藉</w:t>
            </w:r>
          </w:p>
        </w:tc>
        <w:tc>
          <w:tcPr>
            <w:tcW w:w="6835" w:type="dxa"/>
            <w:vAlign w:val="center"/>
          </w:tcPr>
          <w:p>
            <w:pPr>
              <w:keepLines/>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通过心理健康教育、心理干预手段调整老年人心理状态</w:t>
            </w:r>
          </w:p>
        </w:tc>
      </w:tr>
    </w:tbl>
    <w:p>
      <w:pPr>
        <w:rPr>
          <w:rFonts w:hint="eastAsia" w:ascii="宋体" w:hAnsi="宋体" w:eastAsia="宋体" w:cs="宋体"/>
          <w:color w:val="auto"/>
          <w:sz w:val="21"/>
          <w:szCs w:val="21"/>
          <w:highlight w:val="none"/>
        </w:rPr>
      </w:pPr>
    </w:p>
    <w:p>
      <w:pPr>
        <w:rPr>
          <w:rFonts w:hint="eastAsia"/>
          <w:color w:val="auto"/>
          <w:highlight w:val="none"/>
        </w:rPr>
      </w:pPr>
      <w:r>
        <w:rPr>
          <w:rFonts w:hint="eastAsia"/>
          <w:color w:val="auto"/>
          <w:highlight w:val="none"/>
        </w:rPr>
        <w:br w:type="page"/>
      </w:r>
    </w:p>
    <w:p>
      <w:pPr>
        <w:bidi w:val="0"/>
        <w:spacing w:line="360" w:lineRule="auto"/>
        <w:jc w:val="left"/>
        <w:rPr>
          <w:rFonts w:hint="eastAsia" w:ascii="宋体" w:hAnsi="宋体" w:eastAsia="宋体" w:cs="宋体"/>
          <w:b/>
          <w:bCs/>
          <w:sz w:val="24"/>
          <w:szCs w:val="24"/>
          <w:lang w:val="en-US" w:eastAsia="zh-CN"/>
        </w:rPr>
      </w:pPr>
      <w:r>
        <w:rPr>
          <w:rFonts w:hint="eastAsia"/>
          <w:b/>
          <w:bCs/>
          <w:color w:val="auto"/>
          <w:highlight w:val="none"/>
          <w:lang w:val="en-US" w:eastAsia="zh-CN"/>
        </w:rPr>
        <w:t>附表3、</w:t>
      </w:r>
      <w:r>
        <w:rPr>
          <w:rFonts w:hint="eastAsia" w:ascii="宋体" w:hAnsi="宋体" w:eastAsia="宋体" w:cs="宋体"/>
          <w:b/>
          <w:bCs/>
          <w:sz w:val="24"/>
          <w:szCs w:val="24"/>
          <w:lang w:val="en-US" w:eastAsia="zh-CN"/>
        </w:rPr>
        <w:t>家庭养老床位建设项目清单</w:t>
      </w:r>
    </w:p>
    <w:tbl>
      <w:tblPr>
        <w:tblStyle w:val="29"/>
        <w:tblW w:w="5275" w:type="pct"/>
        <w:tblInd w:w="-129" w:type="dxa"/>
        <w:tblLayout w:type="fixed"/>
        <w:tblCellMar>
          <w:top w:w="0" w:type="dxa"/>
          <w:left w:w="108" w:type="dxa"/>
          <w:bottom w:w="0" w:type="dxa"/>
          <w:right w:w="108" w:type="dxa"/>
        </w:tblCellMar>
      </w:tblPr>
      <w:tblGrid>
        <w:gridCol w:w="492"/>
        <w:gridCol w:w="458"/>
        <w:gridCol w:w="394"/>
        <w:gridCol w:w="655"/>
        <w:gridCol w:w="681"/>
        <w:gridCol w:w="904"/>
        <w:gridCol w:w="3092"/>
        <w:gridCol w:w="782"/>
        <w:gridCol w:w="723"/>
        <w:gridCol w:w="1655"/>
      </w:tblGrid>
      <w:tr>
        <w:tblPrEx>
          <w:tblCellMar>
            <w:top w:w="0" w:type="dxa"/>
            <w:left w:w="108" w:type="dxa"/>
            <w:bottom w:w="0" w:type="dxa"/>
            <w:right w:w="108" w:type="dxa"/>
          </w:tblCellMar>
        </w:tblPrEx>
        <w:trPr>
          <w:trHeight w:val="46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一、适老化改造</w:t>
            </w:r>
          </w:p>
        </w:tc>
      </w:tr>
      <w:tr>
        <w:tblPrEx>
          <w:tblCellMar>
            <w:top w:w="0" w:type="dxa"/>
            <w:left w:w="108" w:type="dxa"/>
            <w:bottom w:w="0" w:type="dxa"/>
            <w:right w:w="108" w:type="dxa"/>
          </w:tblCellMar>
        </w:tblPrEx>
        <w:trPr>
          <w:trHeight w:val="773"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类别</w:t>
            </w: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具体内容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项目类型</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产品名称</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性能参数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最高限价</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元）</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参考图片</w:t>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地面改造</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防滑处理</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在卫生间、厨房、卧室等区域，铺设防滑砖或者防滑地胶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10"/>
                <w:sz w:val="18"/>
                <w:szCs w:val="18"/>
              </w:rPr>
              <w:t>防滑砖</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1.老旧破损地砖拆除，垃圾清运，地面处理找</w:t>
            </w:r>
            <w:r>
              <w:rPr>
                <w:rFonts w:hint="eastAsia" w:ascii="宋体" w:hAnsi="宋体" w:eastAsia="宋体" w:cs="宋体"/>
                <w:spacing w:val="-7"/>
                <w:sz w:val="18"/>
                <w:szCs w:val="18"/>
              </w:rPr>
              <w:t>平；</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2.水泥黄沙底面处理；</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5"/>
                <w:sz w:val="18"/>
                <w:szCs w:val="18"/>
              </w:rPr>
              <w:t>3.防滑地砖铺设；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4.含地漏，防水微处理；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1"/>
                <w:sz w:val="18"/>
                <w:szCs w:val="18"/>
              </w:rPr>
              <w:t>5.如非原房屋结构原因，与地砖连接的室内外</w:t>
            </w:r>
            <w:r>
              <w:rPr>
                <w:rFonts w:hint="eastAsia" w:ascii="宋体" w:hAnsi="宋体" w:eastAsia="宋体" w:cs="宋体"/>
                <w:spacing w:val="-2"/>
                <w:sz w:val="18"/>
                <w:szCs w:val="18"/>
              </w:rPr>
              <w:t>地面标高差≤1.5cm。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spacing w:val="-7"/>
                <w:sz w:val="18"/>
                <w:szCs w:val="18"/>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default" w:ascii="宋体" w:hAnsi="宋体" w:eastAsia="宋体" w:cs="宋体"/>
                <w:color w:val="000000"/>
                <w:kern w:val="0"/>
                <w:sz w:val="18"/>
                <w:szCs w:val="18"/>
                <w:lang w:val="en-US" w:eastAsia="zh-CN" w:bidi="ar-SA"/>
              </w:rPr>
            </w:pPr>
            <w:r>
              <w:rPr>
                <w:rFonts w:hint="eastAsia" w:ascii="宋体" w:hAnsi="宋体" w:cs="宋体"/>
                <w:spacing w:val="-4"/>
                <w:sz w:val="18"/>
                <w:szCs w:val="18"/>
                <w:lang w:val="en-US" w:eastAsia="zh-CN"/>
              </w:rPr>
              <w:t>233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33"/>
                <w:sz w:val="18"/>
                <w:szCs w:val="18"/>
              </w:rPr>
              <w:drawing>
                <wp:inline distT="0" distB="0" distL="0" distR="0">
                  <wp:extent cx="1000760" cy="1048385"/>
                  <wp:effectExtent l="0" t="0" r="8890" b="18415"/>
                  <wp:docPr id="74" name="IM 6"/>
                  <wp:cNvGraphicFramePr/>
                  <a:graphic xmlns:a="http://schemas.openxmlformats.org/drawingml/2006/main">
                    <a:graphicData uri="http://schemas.openxmlformats.org/drawingml/2006/picture">
                      <pic:pic xmlns:pic="http://schemas.openxmlformats.org/drawingml/2006/picture">
                        <pic:nvPicPr>
                          <pic:cNvPr id="74" name="IM 6"/>
                          <pic:cNvPicPr/>
                        </pic:nvPicPr>
                        <pic:blipFill>
                          <a:blip r:embed="rId10"/>
                          <a:stretch>
                            <a:fillRect/>
                          </a:stretch>
                        </pic:blipFill>
                        <pic:spPr>
                          <a:xfrm>
                            <a:off x="0" y="0"/>
                            <a:ext cx="1001268" cy="10485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spacing w:val="-10"/>
                <w:sz w:val="18"/>
                <w:szCs w:val="18"/>
              </w:rPr>
              <w:t>防滑地</w:t>
            </w:r>
            <w:r>
              <w:rPr>
                <w:rFonts w:hint="eastAsia" w:ascii="宋体" w:hAnsi="宋体" w:eastAsia="宋体" w:cs="宋体"/>
                <w:sz w:val="18"/>
                <w:szCs w:val="18"/>
              </w:rPr>
              <w:t>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2"/>
                <w:sz w:val="18"/>
                <w:szCs w:val="18"/>
              </w:rPr>
              <w:t>1.材质：软性PVC/TPE；</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3"/>
                <w:sz w:val="18"/>
                <w:szCs w:val="18"/>
              </w:rPr>
              <w:t>2.尺寸：≥300*300mm；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3"/>
                <w:sz w:val="18"/>
                <w:szCs w:val="18"/>
              </w:rPr>
              <w:t>3.防滑性能好，可任意裁剪拼接；</w:t>
            </w:r>
          </w:p>
          <w:p>
            <w:pPr>
              <w:widowControl/>
              <w:suppressAutoHyphens w:val="0"/>
              <w:spacing w:line="240" w:lineRule="auto"/>
              <w:jc w:val="left"/>
              <w:rPr>
                <w:rFonts w:hint="eastAsia" w:ascii="宋体" w:hAnsi="宋体" w:eastAsia="宋体" w:cs="宋体"/>
                <w:color w:val="000000"/>
                <w:kern w:val="0"/>
                <w:sz w:val="18"/>
                <w:szCs w:val="18"/>
                <w:lang w:val="en-US" w:eastAsia="zh-CN" w:bidi="ar-SA"/>
              </w:rPr>
            </w:pPr>
            <w:r>
              <w:rPr>
                <w:rFonts w:hint="eastAsia" w:ascii="宋体" w:hAnsi="宋体" w:eastAsia="宋体" w:cs="宋体"/>
                <w:spacing w:val="-1"/>
                <w:sz w:val="18"/>
                <w:szCs w:val="18"/>
              </w:rPr>
              <w:t>4.拼接安装，便于清洁拆洗。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default" w:ascii="宋体" w:hAnsi="宋体" w:eastAsia="宋体" w:cs="宋体"/>
                <w:color w:val="000000"/>
                <w:kern w:val="0"/>
                <w:sz w:val="18"/>
                <w:szCs w:val="18"/>
                <w:lang w:val="en-US" w:eastAsia="zh-CN" w:bidi="ar-SA"/>
              </w:rPr>
            </w:pPr>
            <w:r>
              <w:rPr>
                <w:rFonts w:hint="eastAsia" w:ascii="宋体" w:hAnsi="宋体" w:cs="宋体"/>
                <w:spacing w:val="-12"/>
                <w:sz w:val="18"/>
                <w:szCs w:val="18"/>
                <w:lang w:val="en-US" w:eastAsia="zh-CN"/>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3"/>
                <w:sz w:val="18"/>
                <w:szCs w:val="18"/>
              </w:rPr>
              <w:drawing>
                <wp:inline distT="0" distB="0" distL="0" distR="0">
                  <wp:extent cx="1019175" cy="759460"/>
                  <wp:effectExtent l="0" t="0" r="9525" b="2540"/>
                  <wp:docPr id="75" name="IM 8"/>
                  <wp:cNvGraphicFramePr/>
                  <a:graphic xmlns:a="http://schemas.openxmlformats.org/drawingml/2006/main">
                    <a:graphicData uri="http://schemas.openxmlformats.org/drawingml/2006/picture">
                      <pic:pic xmlns:pic="http://schemas.openxmlformats.org/drawingml/2006/picture">
                        <pic:nvPicPr>
                          <pic:cNvPr id="75" name="IM 8"/>
                          <pic:cNvPicPr/>
                        </pic:nvPicPr>
                        <pic:blipFill>
                          <a:blip r:embed="rId11"/>
                          <a:stretch>
                            <a:fillRect/>
                          </a:stretch>
                        </pic:blipFill>
                        <pic:spPr>
                          <a:xfrm>
                            <a:off x="0" y="0"/>
                            <a:ext cx="1019555" cy="759713"/>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10"/>
                <w:sz w:val="18"/>
                <w:szCs w:val="18"/>
              </w:rPr>
              <w:t>防滑脚</w:t>
            </w:r>
            <w:r>
              <w:rPr>
                <w:rFonts w:hint="eastAsia" w:ascii="宋体" w:hAnsi="宋体" w:eastAsia="宋体" w:cs="宋体"/>
                <w:sz w:val="18"/>
                <w:szCs w:val="18"/>
              </w:rPr>
              <w:t>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4"/>
                <w:sz w:val="18"/>
                <w:szCs w:val="18"/>
              </w:rPr>
              <w:t>1.尺寸：≥580*880mm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2"/>
                <w:sz w:val="18"/>
                <w:szCs w:val="18"/>
              </w:rPr>
              <w:t>2.材质：PVC/TPE材质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1"/>
                <w:sz w:val="18"/>
                <w:szCs w:val="18"/>
              </w:rPr>
              <w:t>3.正面小圆点按摩，真空吸盘可轻松吸附于光</w:t>
            </w:r>
            <w:r>
              <w:rPr>
                <w:rFonts w:hint="eastAsia" w:ascii="宋体" w:hAnsi="宋体" w:eastAsia="宋体" w:cs="宋体"/>
                <w:spacing w:val="-3"/>
                <w:sz w:val="18"/>
                <w:szCs w:val="18"/>
              </w:rPr>
              <w:t>滑地面，不会偏移</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6"/>
                <w:sz w:val="18"/>
                <w:szCs w:val="18"/>
                <w:lang w:val="en-US" w:eastAsia="zh-CN"/>
              </w:rPr>
              <w:t>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1"/>
                <w:sz w:val="18"/>
                <w:szCs w:val="18"/>
              </w:rPr>
              <w:drawing>
                <wp:inline distT="0" distB="0" distL="0" distR="0">
                  <wp:extent cx="1048385" cy="667385"/>
                  <wp:effectExtent l="0" t="0" r="18415" b="18415"/>
                  <wp:docPr id="76" name="IM 10"/>
                  <wp:cNvGraphicFramePr/>
                  <a:graphic xmlns:a="http://schemas.openxmlformats.org/drawingml/2006/main">
                    <a:graphicData uri="http://schemas.openxmlformats.org/drawingml/2006/picture">
                      <pic:pic xmlns:pic="http://schemas.openxmlformats.org/drawingml/2006/picture">
                        <pic:nvPicPr>
                          <pic:cNvPr id="76" name="IM 10"/>
                          <pic:cNvPicPr/>
                        </pic:nvPicPr>
                        <pic:blipFill>
                          <a:blip r:embed="rId12"/>
                          <a:stretch>
                            <a:fillRect/>
                          </a:stretch>
                        </pic:blipFill>
                        <pic:spPr>
                          <a:xfrm>
                            <a:off x="0" y="0"/>
                            <a:ext cx="1048511" cy="6675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高差处理</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铺设水泥坡道或者加设橡胶等材质的可移动式坡道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水泥坡</w:t>
            </w:r>
            <w:r>
              <w:rPr>
                <w:rFonts w:hint="eastAsia" w:ascii="宋体" w:hAnsi="宋体" w:eastAsia="宋体" w:cs="宋体"/>
                <w:sz w:val="18"/>
                <w:szCs w:val="18"/>
              </w:rPr>
              <w:t>道</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1.材质：水泥.砂子</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2.尺寸：根据门厅、过道等处实际高低差（大</w:t>
            </w:r>
            <w:r>
              <w:rPr>
                <w:rFonts w:hint="eastAsia" w:ascii="宋体" w:hAnsi="宋体" w:eastAsia="宋体" w:cs="宋体"/>
                <w:spacing w:val="-3"/>
                <w:sz w:val="18"/>
                <w:szCs w:val="18"/>
              </w:rPr>
              <w:t>于50mm）设计施工样式</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3.坡道坡度比≤1：8（根据现场实际情况定）</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4.表面作防滑条纹处理。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7"/>
                <w:sz w:val="18"/>
                <w:szCs w:val="18"/>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lang w:val="en-US" w:eastAsia="zh-CN"/>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4"/>
                <w:sz w:val="18"/>
                <w:szCs w:val="18"/>
                <w:lang w:val="en-US" w:eastAsia="zh-CN"/>
              </w:rPr>
              <w:t>230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9"/>
                <w:sz w:val="18"/>
                <w:szCs w:val="18"/>
              </w:rPr>
              <w:drawing>
                <wp:inline distT="0" distB="0" distL="0" distR="0">
                  <wp:extent cx="828675" cy="929640"/>
                  <wp:effectExtent l="0" t="0" r="9525" b="3810"/>
                  <wp:docPr id="77" name="IM 12"/>
                  <wp:cNvGraphicFramePr/>
                  <a:graphic xmlns:a="http://schemas.openxmlformats.org/drawingml/2006/main">
                    <a:graphicData uri="http://schemas.openxmlformats.org/drawingml/2006/picture">
                      <pic:pic xmlns:pic="http://schemas.openxmlformats.org/drawingml/2006/picture">
                        <pic:nvPicPr>
                          <pic:cNvPr id="77" name="IM 12"/>
                          <pic:cNvPicPr/>
                        </pic:nvPicPr>
                        <pic:blipFill>
                          <a:blip r:embed="rId13"/>
                          <a:stretch>
                            <a:fillRect/>
                          </a:stretch>
                        </pic:blipFill>
                        <pic:spPr>
                          <a:xfrm>
                            <a:off x="0" y="0"/>
                            <a:ext cx="829055" cy="92964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实心橡</w:t>
            </w:r>
            <w:r>
              <w:rPr>
                <w:rFonts w:hint="eastAsia" w:ascii="宋体" w:hAnsi="宋体" w:eastAsia="宋体" w:cs="宋体"/>
                <w:spacing w:val="-6"/>
                <w:sz w:val="18"/>
                <w:szCs w:val="18"/>
              </w:rPr>
              <w:t>胶坡道</w:t>
            </w:r>
            <w:r>
              <w:rPr>
                <w:rFonts w:hint="eastAsia" w:ascii="宋体" w:hAnsi="宋体" w:eastAsia="宋体" w:cs="宋体"/>
                <w:sz w:val="18"/>
                <w:szCs w:val="18"/>
              </w:rPr>
              <w:t>1</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1.参考尺寸：900*150*20mm，900*150*25mm；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2.材质：实心橡胶；</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3.适用于有高低差处，便于轮椅或腿脚不便老</w:t>
            </w:r>
            <w:r>
              <w:rPr>
                <w:rFonts w:hint="eastAsia" w:ascii="宋体" w:hAnsi="宋体" w:eastAsia="宋体" w:cs="宋体"/>
                <w:spacing w:val="-5"/>
                <w:sz w:val="18"/>
                <w:szCs w:val="18"/>
              </w:rPr>
              <w:t>人通行；</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4.免打孔安装。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4"/>
                <w:sz w:val="18"/>
                <w:szCs w:val="18"/>
                <w:lang w:val="en-US" w:eastAsia="zh-CN"/>
              </w:rPr>
              <w:t>180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6"/>
                <w:sz w:val="18"/>
                <w:szCs w:val="18"/>
              </w:rPr>
              <w:drawing>
                <wp:inline distT="0" distB="0" distL="0" distR="0">
                  <wp:extent cx="999490" cy="828675"/>
                  <wp:effectExtent l="0" t="0" r="10160" b="9525"/>
                  <wp:docPr id="78" name="IM 14"/>
                  <wp:cNvGraphicFramePr/>
                  <a:graphic xmlns:a="http://schemas.openxmlformats.org/drawingml/2006/main">
                    <a:graphicData uri="http://schemas.openxmlformats.org/drawingml/2006/picture">
                      <pic:pic xmlns:pic="http://schemas.openxmlformats.org/drawingml/2006/picture">
                        <pic:nvPicPr>
                          <pic:cNvPr id="78" name="IM 14"/>
                          <pic:cNvPicPr/>
                        </pic:nvPicPr>
                        <pic:blipFill>
                          <a:blip r:embed="rId14"/>
                          <a:stretch>
                            <a:fillRect/>
                          </a:stretch>
                        </pic:blipFill>
                        <pic:spPr>
                          <a:xfrm>
                            <a:off x="0" y="0"/>
                            <a:ext cx="999743" cy="8290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实心橡</w:t>
            </w:r>
            <w:r>
              <w:rPr>
                <w:rFonts w:hint="eastAsia" w:ascii="宋体" w:hAnsi="宋体" w:eastAsia="宋体" w:cs="宋体"/>
                <w:spacing w:val="-4"/>
                <w:sz w:val="18"/>
                <w:szCs w:val="18"/>
              </w:rPr>
              <w:t>胶坡道</w:t>
            </w:r>
            <w:r>
              <w:rPr>
                <w:rFonts w:hint="eastAsia" w:ascii="宋体" w:hAnsi="宋体" w:eastAsia="宋体" w:cs="宋体"/>
                <w:sz w:val="18"/>
                <w:szCs w:val="18"/>
              </w:rPr>
              <w:t>2</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1.参考尺寸：900*200*30mm，900*200*35mm；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2.材质：实心橡胶；</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3.适用于有高低差处，便于轮椅或腿脚不便老</w:t>
            </w:r>
            <w:r>
              <w:rPr>
                <w:rFonts w:hint="eastAsia" w:ascii="宋体" w:hAnsi="宋体" w:eastAsia="宋体" w:cs="宋体"/>
                <w:spacing w:val="-5"/>
                <w:sz w:val="18"/>
                <w:szCs w:val="18"/>
              </w:rPr>
              <w:t>人通行；</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4.免打孔安装。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4"/>
                <w:sz w:val="18"/>
                <w:szCs w:val="18"/>
                <w:lang w:val="en-US" w:eastAsia="zh-CN"/>
              </w:rPr>
              <w:t>260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6"/>
                <w:sz w:val="18"/>
                <w:szCs w:val="18"/>
              </w:rPr>
              <w:drawing>
                <wp:inline distT="0" distB="0" distL="0" distR="0">
                  <wp:extent cx="1000760" cy="828675"/>
                  <wp:effectExtent l="0" t="0" r="8890" b="9525"/>
                  <wp:docPr id="79" name="IM 16"/>
                  <wp:cNvGraphicFramePr/>
                  <a:graphic xmlns:a="http://schemas.openxmlformats.org/drawingml/2006/main">
                    <a:graphicData uri="http://schemas.openxmlformats.org/drawingml/2006/picture">
                      <pic:pic xmlns:pic="http://schemas.openxmlformats.org/drawingml/2006/picture">
                        <pic:nvPicPr>
                          <pic:cNvPr id="79" name="IM 16"/>
                          <pic:cNvPicPr/>
                        </pic:nvPicPr>
                        <pic:blipFill>
                          <a:blip r:embed="rId15"/>
                          <a:stretch>
                            <a:fillRect/>
                          </a:stretch>
                        </pic:blipFill>
                        <pic:spPr>
                          <a:xfrm>
                            <a:off x="0" y="0"/>
                            <a:ext cx="1001268" cy="8290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实心橡</w:t>
            </w:r>
            <w:r>
              <w:rPr>
                <w:rFonts w:hint="eastAsia" w:ascii="宋体" w:hAnsi="宋体" w:eastAsia="宋体" w:cs="宋体"/>
                <w:spacing w:val="-4"/>
                <w:sz w:val="18"/>
                <w:szCs w:val="18"/>
              </w:rPr>
              <w:t>胶坡道</w:t>
            </w:r>
            <w:r>
              <w:rPr>
                <w:rFonts w:hint="eastAsia" w:ascii="宋体" w:hAnsi="宋体" w:eastAsia="宋体" w:cs="宋体"/>
                <w:sz w:val="18"/>
                <w:szCs w:val="18"/>
              </w:rPr>
              <w:t>3</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1.参考尺寸：900*200*40mm，900*250*45mm；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2.材质：实心橡胶；</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3.适用于有高低差处，便于轮椅或腿脚不便老</w:t>
            </w:r>
            <w:r>
              <w:rPr>
                <w:rFonts w:hint="eastAsia" w:ascii="宋体" w:hAnsi="宋体" w:eastAsia="宋体" w:cs="宋体"/>
                <w:spacing w:val="-5"/>
                <w:sz w:val="18"/>
                <w:szCs w:val="18"/>
              </w:rPr>
              <w:t>人通行；</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4.免打孔安装。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lang w:val="en-US" w:eastAsia="zh-CN"/>
              </w:rPr>
              <w:t>330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6"/>
                <w:sz w:val="18"/>
                <w:szCs w:val="18"/>
              </w:rPr>
              <w:drawing>
                <wp:inline distT="0" distB="0" distL="0" distR="0">
                  <wp:extent cx="1000760" cy="828675"/>
                  <wp:effectExtent l="0" t="0" r="8890" b="9525"/>
                  <wp:docPr id="80" name="IM 18"/>
                  <wp:cNvGraphicFramePr/>
                  <a:graphic xmlns:a="http://schemas.openxmlformats.org/drawingml/2006/main">
                    <a:graphicData uri="http://schemas.openxmlformats.org/drawingml/2006/picture">
                      <pic:pic xmlns:pic="http://schemas.openxmlformats.org/drawingml/2006/picture">
                        <pic:nvPicPr>
                          <pic:cNvPr id="80" name="IM 18"/>
                          <pic:cNvPicPr/>
                        </pic:nvPicPr>
                        <pic:blipFill>
                          <a:blip r:embed="rId14"/>
                          <a:stretch>
                            <a:fillRect/>
                          </a:stretch>
                        </pic:blipFill>
                        <pic:spPr>
                          <a:xfrm>
                            <a:off x="0" y="0"/>
                            <a:ext cx="1001268" cy="8290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PE坡道</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1.参考尺寸：500×500×50/70/90/110mm，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2.材质：PE材质；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3.适用于室外；</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4.需打孔安装固定。</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lang w:val="en-US" w:eastAsia="zh-CN"/>
              </w:rPr>
              <w:t>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2"/>
                <w:sz w:val="18"/>
                <w:szCs w:val="18"/>
              </w:rPr>
              <w:drawing>
                <wp:inline distT="0" distB="0" distL="0" distR="0">
                  <wp:extent cx="1037590" cy="705485"/>
                  <wp:effectExtent l="0" t="0" r="10160" b="18415"/>
                  <wp:docPr id="81" name="IM 20"/>
                  <wp:cNvGraphicFramePr/>
                  <a:graphic xmlns:a="http://schemas.openxmlformats.org/drawingml/2006/main">
                    <a:graphicData uri="http://schemas.openxmlformats.org/drawingml/2006/picture">
                      <pic:pic xmlns:pic="http://schemas.openxmlformats.org/drawingml/2006/picture">
                        <pic:nvPicPr>
                          <pic:cNvPr id="81" name="IM 20"/>
                          <pic:cNvPicPr/>
                        </pic:nvPicPr>
                        <pic:blipFill>
                          <a:blip r:embed="rId16"/>
                          <a:stretch>
                            <a:fillRect/>
                          </a:stretch>
                        </pic:blipFill>
                        <pic:spPr>
                          <a:xfrm>
                            <a:off x="0" y="0"/>
                            <a:ext cx="1037844" cy="7056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铝合金</w:t>
            </w:r>
            <w:r>
              <w:rPr>
                <w:rFonts w:hint="eastAsia" w:ascii="宋体" w:hAnsi="宋体" w:eastAsia="宋体" w:cs="宋体"/>
                <w:spacing w:val="-7"/>
                <w:sz w:val="18"/>
                <w:szCs w:val="18"/>
              </w:rPr>
              <w:t>坡道</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1.可组装可拆卸门槛斜坡道</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2.实用性强，轻便，耐用。多支撑脚分布式承</w:t>
            </w:r>
            <w:r>
              <w:rPr>
                <w:rFonts w:hint="eastAsia" w:ascii="宋体" w:hAnsi="宋体" w:eastAsia="宋体" w:cs="宋体"/>
                <w:spacing w:val="1"/>
                <w:sz w:val="18"/>
                <w:szCs w:val="18"/>
              </w:rPr>
              <w:t>重</w:t>
            </w:r>
            <w:r>
              <w:rPr>
                <w:rFonts w:hint="eastAsia" w:ascii="宋体" w:hAnsi="宋体" w:eastAsia="宋体" w:cs="宋体"/>
                <w:spacing w:val="-8"/>
                <w:sz w:val="18"/>
                <w:szCs w:val="18"/>
              </w:rPr>
              <w:t>（＞</w:t>
            </w:r>
            <w:r>
              <w:rPr>
                <w:rFonts w:hint="eastAsia" w:ascii="宋体" w:hAnsi="宋体" w:eastAsia="宋体" w:cs="宋体"/>
                <w:spacing w:val="1"/>
                <w:sz w:val="18"/>
                <w:szCs w:val="18"/>
              </w:rPr>
              <w:t>300</w:t>
            </w:r>
            <w:r>
              <w:rPr>
                <w:rFonts w:hint="eastAsia" w:ascii="宋体" w:hAnsi="宋体" w:eastAsia="宋体" w:cs="宋体"/>
                <w:sz w:val="18"/>
                <w:szCs w:val="18"/>
              </w:rPr>
              <w:t>kg</w:t>
            </w:r>
            <w:r>
              <w:rPr>
                <w:rFonts w:hint="eastAsia" w:ascii="宋体" w:hAnsi="宋体" w:eastAsia="宋体" w:cs="宋体"/>
                <w:spacing w:val="-8"/>
                <w:sz w:val="18"/>
                <w:szCs w:val="18"/>
              </w:rPr>
              <w:t>），</w:t>
            </w:r>
            <w:r>
              <w:rPr>
                <w:rFonts w:hint="eastAsia" w:ascii="宋体" w:hAnsi="宋体" w:eastAsia="宋体" w:cs="宋体"/>
                <w:spacing w:val="1"/>
                <w:sz w:val="18"/>
                <w:szCs w:val="18"/>
              </w:rPr>
              <w:t>受力均匀不塌陷，表面防滑纹</w:t>
            </w:r>
            <w:r>
              <w:rPr>
                <w:rFonts w:hint="eastAsia" w:ascii="宋体" w:hAnsi="宋体" w:eastAsia="宋体" w:cs="宋体"/>
                <w:spacing w:val="-1"/>
                <w:sz w:val="18"/>
                <w:szCs w:val="18"/>
              </w:rPr>
              <w:t>路+防滑凹，防滑性更高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7"/>
                <w:sz w:val="18"/>
                <w:szCs w:val="18"/>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3"/>
                <w:sz w:val="18"/>
                <w:szCs w:val="18"/>
                <w:lang w:val="en-US" w:eastAsia="zh-CN"/>
              </w:rPr>
              <w:t>600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1"/>
                <w:sz w:val="18"/>
                <w:szCs w:val="18"/>
              </w:rPr>
              <w:drawing>
                <wp:inline distT="0" distB="0" distL="0" distR="0">
                  <wp:extent cx="1056005" cy="692150"/>
                  <wp:effectExtent l="0" t="0" r="10795" b="12700"/>
                  <wp:docPr id="82" name="IM 22"/>
                  <wp:cNvGraphicFramePr/>
                  <a:graphic xmlns:a="http://schemas.openxmlformats.org/drawingml/2006/main">
                    <a:graphicData uri="http://schemas.openxmlformats.org/drawingml/2006/picture">
                      <pic:pic xmlns:pic="http://schemas.openxmlformats.org/drawingml/2006/picture">
                        <pic:nvPicPr>
                          <pic:cNvPr id="82" name="IM 22"/>
                          <pic:cNvPicPr/>
                        </pic:nvPicPr>
                        <pic:blipFill>
                          <a:blip r:embed="rId17"/>
                          <a:stretch>
                            <a:fillRect/>
                          </a:stretch>
                        </pic:blipFill>
                        <pic:spPr>
                          <a:xfrm>
                            <a:off x="0" y="0"/>
                            <a:ext cx="1056131" cy="692658"/>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0" w:leftChars="0" w:firstLine="0"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5"/>
                <w:sz w:val="18"/>
                <w:szCs w:val="18"/>
              </w:rPr>
              <w:t>平整硬</w:t>
            </w:r>
            <w:r>
              <w:rPr>
                <w:rFonts w:hint="eastAsia" w:ascii="宋体" w:hAnsi="宋体" w:eastAsia="宋体" w:cs="宋体"/>
                <w:sz w:val="18"/>
                <w:szCs w:val="18"/>
              </w:rPr>
              <w:t>化</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1.材质：水泥、砂子；</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pacing w:val="-1"/>
                <w:sz w:val="18"/>
                <w:szCs w:val="18"/>
              </w:rPr>
              <w:t>2.屋内（外）地面水泥平整硬化，方便轮椅进</w:t>
            </w:r>
            <w:r>
              <w:rPr>
                <w:rFonts w:hint="eastAsia" w:ascii="宋体" w:hAnsi="宋体" w:eastAsia="宋体" w:cs="宋体"/>
                <w:spacing w:val="-6"/>
                <w:sz w:val="18"/>
                <w:szCs w:val="18"/>
              </w:rPr>
              <w:t>出，老人行走。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lang w:val="en-US" w:eastAsia="zh-CN"/>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spacing w:val="-4"/>
                <w:sz w:val="18"/>
                <w:szCs w:val="18"/>
                <w:lang w:val="en-US" w:eastAsia="zh-CN"/>
              </w:rPr>
              <w:t>280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position w:val="-24"/>
                <w:sz w:val="18"/>
                <w:szCs w:val="18"/>
              </w:rPr>
              <w:drawing>
                <wp:inline distT="0" distB="0" distL="0" distR="0">
                  <wp:extent cx="774700" cy="561975"/>
                  <wp:effectExtent l="0" t="0" r="6350" b="9525"/>
                  <wp:docPr id="83" name="IM 24"/>
                  <wp:cNvGraphicFramePr/>
                  <a:graphic xmlns:a="http://schemas.openxmlformats.org/drawingml/2006/main">
                    <a:graphicData uri="http://schemas.openxmlformats.org/drawingml/2006/picture">
                      <pic:pic xmlns:pic="http://schemas.openxmlformats.org/drawingml/2006/picture">
                        <pic:nvPicPr>
                          <pic:cNvPr id="83" name="IM 24"/>
                          <pic:cNvPicPr/>
                        </pic:nvPicPr>
                        <pic:blipFill>
                          <a:blip r:embed="rId18"/>
                          <a:stretch>
                            <a:fillRect/>
                          </a:stretch>
                        </pic:blipFill>
                        <pic:spPr>
                          <a:xfrm>
                            <a:off x="0" y="0"/>
                            <a:ext cx="774700" cy="56197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安装扶手</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安装扶手</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w:t>
            </w:r>
            <w:r>
              <w:rPr>
                <w:rFonts w:hint="eastAsia" w:ascii="宋体" w:hAnsi="宋体" w:eastAsia="宋体" w:cs="宋体"/>
                <w:color w:val="000000"/>
                <w:kern w:val="0"/>
                <w:sz w:val="18"/>
                <w:szCs w:val="18"/>
                <w:lang w:val="en-US" w:eastAsia="zh-CN"/>
              </w:rPr>
              <w:t>公共区域</w:t>
            </w:r>
            <w:r>
              <w:rPr>
                <w:rFonts w:hint="eastAsia" w:ascii="宋体" w:hAnsi="宋体" w:eastAsia="宋体" w:cs="宋体"/>
                <w:color w:val="000000"/>
                <w:kern w:val="0"/>
                <w:sz w:val="18"/>
                <w:szCs w:val="18"/>
              </w:rPr>
              <w:t>安装扶手，包括</w:t>
            </w:r>
            <w:r>
              <w:rPr>
                <w:rFonts w:hint="eastAsia" w:ascii="宋体" w:hAnsi="宋体" w:eastAsia="宋体" w:cs="宋体"/>
                <w:color w:val="000000"/>
                <w:kern w:val="0"/>
                <w:sz w:val="18"/>
                <w:szCs w:val="18"/>
                <w:lang w:val="en-US" w:eastAsia="zh-CN"/>
              </w:rPr>
              <w:t>不锈钢落地扶手、过道扶手</w:t>
            </w:r>
            <w:r>
              <w:rPr>
                <w:rFonts w:hint="eastAsia" w:ascii="宋体" w:hAnsi="宋体" w:eastAsia="宋体" w:cs="宋体"/>
                <w:color w:val="000000"/>
                <w:kern w:val="0"/>
                <w:sz w:val="18"/>
                <w:szCs w:val="18"/>
              </w:rPr>
              <w:t>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不锈钢</w:t>
            </w:r>
            <w:r>
              <w:rPr>
                <w:rFonts w:hint="eastAsia" w:ascii="宋体" w:hAnsi="宋体" w:eastAsia="宋体" w:cs="宋体"/>
                <w:spacing w:val="-6"/>
                <w:sz w:val="18"/>
                <w:szCs w:val="18"/>
              </w:rPr>
              <w:t>落地扶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1.材质：201不锈钢；</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w:t>
            </w:r>
            <w:r>
              <w:rPr>
                <w:rFonts w:hint="eastAsia" w:ascii="宋体" w:hAnsi="宋体" w:eastAsia="宋体" w:cs="宋体"/>
                <w:position w:val="-13"/>
                <w:sz w:val="18"/>
                <w:szCs w:val="18"/>
              </w:rPr>
              <w:drawing>
                <wp:inline distT="0" distB="0" distL="0" distR="0">
                  <wp:extent cx="135255" cy="209550"/>
                  <wp:effectExtent l="0" t="0" r="17145" b="0"/>
                  <wp:docPr id="84" name="IM 26"/>
                  <wp:cNvGraphicFramePr/>
                  <a:graphic xmlns:a="http://schemas.openxmlformats.org/drawingml/2006/main">
                    <a:graphicData uri="http://schemas.openxmlformats.org/drawingml/2006/picture">
                      <pic:pic xmlns:pic="http://schemas.openxmlformats.org/drawingml/2006/picture">
                        <pic:nvPicPr>
                          <pic:cNvPr id="84" name="IM 26"/>
                          <pic:cNvPicPr/>
                        </pic:nvPicPr>
                        <pic:blipFill>
                          <a:blip r:embed="rId19"/>
                          <a:stretch>
                            <a:fillRect/>
                          </a:stretch>
                        </pic:blipFill>
                        <pic:spPr>
                          <a:xfrm>
                            <a:off x="0" y="0"/>
                            <a:ext cx="135440" cy="209863"/>
                          </a:xfrm>
                          <a:prstGeom prst="rect">
                            <a:avLst/>
                          </a:prstGeom>
                        </pic:spPr>
                      </pic:pic>
                    </a:graphicData>
                  </a:graphic>
                </wp:inline>
              </w:drawing>
            </w:r>
            <w:r>
              <w:rPr>
                <w:rFonts w:hint="eastAsia" w:ascii="宋体" w:hAnsi="宋体" w:eastAsia="宋体" w:cs="宋体"/>
                <w:spacing w:val="-1"/>
                <w:sz w:val="18"/>
                <w:szCs w:val="18"/>
              </w:rPr>
              <w:t>寸：直径为35-50mm，管壁厚度为0.70.8mm，落地柱安装起步，高度800-</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1200mm，高度根据实际需求的位置来确定，如果</w:t>
            </w:r>
            <w:r>
              <w:rPr>
                <w:rFonts w:hint="eastAsia" w:ascii="宋体" w:hAnsi="宋体" w:eastAsia="宋体" w:cs="宋体"/>
                <w:spacing w:val="-2"/>
                <w:sz w:val="18"/>
                <w:szCs w:val="18"/>
              </w:rPr>
              <w:t>做扶手用则不宜超过1000mm，如果做栏杆阻挡</w:t>
            </w:r>
            <w:r>
              <w:rPr>
                <w:rFonts w:hint="eastAsia" w:ascii="宋体" w:hAnsi="宋体" w:eastAsia="宋体" w:cs="宋体"/>
                <w:spacing w:val="-3"/>
                <w:sz w:val="18"/>
                <w:szCs w:val="18"/>
              </w:rPr>
              <w:t>用，则不宜低于1000mm；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3.适用于室外坡道、楼梯或临空侧护栏。</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rPr>
              <w:t>310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66775" cy="1048385"/>
                  <wp:effectExtent l="0" t="0" r="9525" b="1841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867156" cy="10485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过道扶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1.外管材质：ABS材质或抗菌尼龙，直径</w:t>
            </w:r>
            <w:r>
              <w:rPr>
                <w:rFonts w:hint="eastAsia" w:ascii="宋体" w:hAnsi="宋体" w:eastAsia="宋体" w:cs="宋体"/>
                <w:spacing w:val="-3"/>
                <w:sz w:val="18"/>
                <w:szCs w:val="18"/>
              </w:rPr>
              <w:t>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2.内管材质：铝合金或不锈钢内管，直径</w:t>
            </w:r>
            <w:r>
              <w:rPr>
                <w:rFonts w:hint="eastAsia" w:ascii="宋体" w:hAnsi="宋体" w:eastAsia="宋体" w:cs="宋体"/>
                <w:spacing w:val="-2"/>
                <w:sz w:val="18"/>
                <w:szCs w:val="18"/>
              </w:rPr>
              <w:t>28mm；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3.扶手表面使用抗老化、耐腐蚀耐火材料，能有效抑制大肠杆菌、金黄色葡萄球菌等细菌，扶手表面采用防滑浮点设计，厚度为0.5mm；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4.长度根据实际需求定制；</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5.适合室内过道用。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8"/>
                <w:sz w:val="18"/>
                <w:szCs w:val="18"/>
                <w:lang w:val="en-US" w:eastAsia="zh-CN"/>
              </w:rPr>
              <w:t>130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5"/>
                <w:sz w:val="18"/>
                <w:szCs w:val="18"/>
              </w:rPr>
              <w:drawing>
                <wp:inline distT="0" distB="0" distL="0" distR="0">
                  <wp:extent cx="847090" cy="1113790"/>
                  <wp:effectExtent l="0" t="0" r="10160" b="1016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847343" cy="1114044"/>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门改造</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门槛移除</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移除门槛，便利老年人进出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3"/>
                <w:sz w:val="18"/>
                <w:szCs w:val="18"/>
              </w:rPr>
              <w:t>门槛移</w:t>
            </w:r>
            <w:r>
              <w:rPr>
                <w:rFonts w:hint="eastAsia" w:ascii="宋体" w:hAnsi="宋体" w:eastAsia="宋体" w:cs="宋体"/>
                <w:sz w:val="18"/>
                <w:szCs w:val="18"/>
              </w:rPr>
              <w:t>除</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1.适合水泥地面，不包括木质结构房屋；</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2.拆除原有门槛石并清理原水泥层，定制并安</w:t>
            </w:r>
            <w:r>
              <w:rPr>
                <w:rFonts w:hint="eastAsia" w:ascii="宋体" w:hAnsi="宋体" w:eastAsia="宋体" w:cs="宋体"/>
                <w:spacing w:val="-2"/>
                <w:sz w:val="18"/>
                <w:szCs w:val="18"/>
              </w:rPr>
              <w:t>装新门槛石与地面瓷砖保持水平。</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2"/>
                <w:sz w:val="18"/>
                <w:szCs w:val="18"/>
                <w:lang w:val="en-US" w:eastAsia="zh-CN"/>
              </w:rPr>
              <w:t>176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57885" cy="1057275"/>
                  <wp:effectExtent l="0" t="0" r="18415" b="952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858011" cy="10576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5"/>
                <w:sz w:val="18"/>
                <w:szCs w:val="18"/>
              </w:rPr>
              <w:t>平开门</w:t>
            </w:r>
            <w:r>
              <w:rPr>
                <w:rFonts w:hint="eastAsia" w:ascii="宋体" w:hAnsi="宋体" w:eastAsia="宋体" w:cs="宋体"/>
                <w:spacing w:val="-9"/>
                <w:sz w:val="18"/>
                <w:szCs w:val="18"/>
              </w:rPr>
              <w:t>改推拉</w:t>
            </w:r>
            <w:r>
              <w:rPr>
                <w:rFonts w:hint="eastAsia" w:ascii="宋体" w:hAnsi="宋体" w:eastAsia="宋体" w:cs="宋体"/>
                <w:sz w:val="18"/>
                <w:szCs w:val="18"/>
              </w:rPr>
              <w:t>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平开门</w:t>
            </w:r>
            <w:r>
              <w:rPr>
                <w:rFonts w:hint="eastAsia" w:ascii="宋体" w:hAnsi="宋体" w:eastAsia="宋体" w:cs="宋体"/>
                <w:spacing w:val="-9"/>
                <w:sz w:val="18"/>
                <w:szCs w:val="18"/>
              </w:rPr>
              <w:t>改推拉</w:t>
            </w:r>
            <w:r>
              <w:rPr>
                <w:rFonts w:hint="eastAsia" w:ascii="宋体" w:hAnsi="宋体" w:eastAsia="宋体" w:cs="宋体"/>
                <w:sz w:val="18"/>
                <w:szCs w:val="18"/>
              </w:rPr>
              <w:t>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1.方便开启，增加通行宽度和辅助操作空</w:t>
            </w:r>
            <w:r>
              <w:rPr>
                <w:rFonts w:hint="eastAsia" w:ascii="宋体" w:hAnsi="宋体" w:eastAsia="宋体" w:cs="宋体"/>
                <w:spacing w:val="-2"/>
                <w:sz w:val="18"/>
                <w:szCs w:val="18"/>
              </w:rPr>
              <w:t>间；</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2.拆除原有门框门扇；</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3.门框三周（约100mm）内墙面修补批灰，修补</w:t>
            </w:r>
            <w:r>
              <w:rPr>
                <w:rFonts w:hint="eastAsia" w:ascii="宋体" w:hAnsi="宋体" w:eastAsia="宋体" w:cs="宋体"/>
                <w:spacing w:val="-2"/>
                <w:sz w:val="18"/>
                <w:szCs w:val="18"/>
              </w:rPr>
              <w:t>处理后与原墙面尽量保持一致；</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4.根据现有门洞和墙体条件，定制铝合金推拉门，包含轨道、门套、拉手、门扇玻璃（单层钢化）五金件、防撞块等配件，安装完成达到交付</w:t>
            </w:r>
            <w:r>
              <w:rPr>
                <w:rFonts w:hint="eastAsia" w:ascii="宋体" w:hAnsi="宋体" w:eastAsia="宋体" w:cs="宋体"/>
                <w:spacing w:val="-3"/>
                <w:sz w:val="18"/>
                <w:szCs w:val="18"/>
              </w:rPr>
              <w:t>使用条件；</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5.不包含墙体拓宽，同时墙体宽度不够时，不</w:t>
            </w:r>
            <w:r>
              <w:rPr>
                <w:rFonts w:hint="eastAsia" w:ascii="宋体" w:hAnsi="宋体" w:eastAsia="宋体" w:cs="宋体"/>
                <w:spacing w:val="-2"/>
                <w:sz w:val="18"/>
                <w:szCs w:val="18"/>
              </w:rPr>
              <w:t>适合此项改造；</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6.门洞超高非标门（高度超2200mm</w:t>
            </w:r>
            <w:r>
              <w:rPr>
                <w:rFonts w:hint="eastAsia" w:ascii="宋体" w:hAnsi="宋体" w:eastAsia="宋体" w:cs="宋体"/>
                <w:spacing w:val="-3"/>
                <w:sz w:val="18"/>
                <w:szCs w:val="18"/>
              </w:rPr>
              <w:t>）不符合改</w:t>
            </w:r>
            <w:r>
              <w:rPr>
                <w:rFonts w:hint="eastAsia" w:ascii="宋体" w:hAnsi="宋体" w:eastAsia="宋体" w:cs="宋体"/>
                <w:spacing w:val="-4"/>
                <w:sz w:val="18"/>
                <w:szCs w:val="18"/>
              </w:rPr>
              <w:t>造条件。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3"/>
                <w:sz w:val="18"/>
                <w:szCs w:val="18"/>
                <w:lang w:val="en-US" w:eastAsia="zh-CN"/>
              </w:rPr>
              <w:t>680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2"/>
                <w:sz w:val="18"/>
                <w:szCs w:val="18"/>
              </w:rPr>
              <w:drawing>
                <wp:inline distT="0" distB="0" distL="0" distR="0">
                  <wp:extent cx="1017905" cy="705485"/>
                  <wp:effectExtent l="0" t="0" r="10795" b="1841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1018031" cy="7056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房门拓宽</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对卫生间、厨房等空间较窄的门洞进行拓宽，改善通过性，方便轮椅进出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房门拓</w:t>
            </w:r>
            <w:r>
              <w:rPr>
                <w:rFonts w:hint="eastAsia" w:ascii="宋体" w:hAnsi="宋体" w:eastAsia="宋体" w:cs="宋体"/>
                <w:sz w:val="18"/>
                <w:szCs w:val="18"/>
              </w:rPr>
              <w:t>宽</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1.对卫生间.厨房等空间较窄的门洞进行拓宽，</w:t>
            </w:r>
            <w:r>
              <w:rPr>
                <w:rFonts w:hint="eastAsia" w:ascii="宋体" w:hAnsi="宋体" w:eastAsia="宋体" w:cs="宋体"/>
                <w:spacing w:val="-3"/>
                <w:sz w:val="18"/>
                <w:szCs w:val="18"/>
              </w:rPr>
              <w:t>改善通行性，方便轮椅进出；</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2.根据现场条件拆除门边墙体，门边洞口</w:t>
            </w:r>
            <w:r>
              <w:rPr>
                <w:rFonts w:hint="eastAsia" w:ascii="宋体" w:hAnsi="宋体" w:eastAsia="宋体" w:cs="宋体"/>
                <w:spacing w:val="-2"/>
                <w:sz w:val="18"/>
                <w:szCs w:val="18"/>
              </w:rPr>
              <w:t>三周粉</w:t>
            </w:r>
            <w:r>
              <w:rPr>
                <w:rFonts w:hint="eastAsia" w:ascii="宋体" w:hAnsi="宋体" w:eastAsia="宋体" w:cs="宋体"/>
                <w:spacing w:val="-3"/>
                <w:sz w:val="18"/>
                <w:szCs w:val="18"/>
              </w:rPr>
              <w:t>刷修补平整；</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3.若原有墙面铺贴为瓷砖，拆除后瓷砖铺贴修补完成（尽量与原墙面瓷砖颜色接近</w:t>
            </w:r>
            <w:r>
              <w:rPr>
                <w:rFonts w:hint="eastAsia" w:ascii="宋体" w:hAnsi="宋体" w:eastAsia="宋体" w:cs="宋体"/>
                <w:spacing w:val="5"/>
                <w:sz w:val="18"/>
                <w:szCs w:val="18"/>
              </w:rPr>
              <w:t>）；</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4.安装平开门或推拉门（门材质为铝合金或木</w:t>
            </w:r>
            <w:r>
              <w:rPr>
                <w:rFonts w:hint="eastAsia" w:ascii="宋体" w:hAnsi="宋体" w:eastAsia="宋体" w:cs="宋体"/>
                <w:spacing w:val="-3"/>
                <w:sz w:val="18"/>
                <w:szCs w:val="18"/>
              </w:rPr>
              <w:t>门，具体以业主沟通认可为准</w:t>
            </w:r>
            <w:r>
              <w:rPr>
                <w:rFonts w:hint="eastAsia" w:ascii="宋体" w:hAnsi="宋体" w:eastAsia="宋体" w:cs="宋体"/>
                <w:spacing w:val="18"/>
                <w:sz w:val="18"/>
                <w:szCs w:val="18"/>
              </w:rPr>
              <w:t>），</w:t>
            </w:r>
            <w:r>
              <w:rPr>
                <w:rFonts w:hint="eastAsia" w:ascii="宋体" w:hAnsi="宋体" w:eastAsia="宋体" w:cs="宋体"/>
                <w:spacing w:val="-3"/>
                <w:sz w:val="18"/>
                <w:szCs w:val="18"/>
              </w:rPr>
              <w:t>包含门套、门</w:t>
            </w:r>
            <w:r>
              <w:rPr>
                <w:rFonts w:hint="eastAsia" w:ascii="宋体" w:hAnsi="宋体" w:eastAsia="宋体" w:cs="宋体"/>
                <w:spacing w:val="-2"/>
                <w:sz w:val="18"/>
                <w:szCs w:val="18"/>
              </w:rPr>
              <w:t>扇、轨道、五金件等；</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5.拓宽改造后达到交付使用；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6.砖混结构或现场鉴定为危险结构的不符合改造</w:t>
            </w:r>
            <w:r>
              <w:rPr>
                <w:rFonts w:hint="eastAsia" w:ascii="宋体" w:hAnsi="宋体" w:eastAsia="宋体" w:cs="宋体"/>
                <w:spacing w:val="-6"/>
                <w:sz w:val="18"/>
                <w:szCs w:val="18"/>
              </w:rPr>
              <w:t>条件。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7"/>
                <w:sz w:val="18"/>
                <w:szCs w:val="18"/>
              </w:rPr>
              <w:t>平方</w:t>
            </w: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eastAsia="宋体" w:cs="宋体"/>
                <w:color w:val="000000"/>
                <w:kern w:val="0"/>
                <w:sz w:val="18"/>
                <w:szCs w:val="18"/>
                <w:lang w:val="en-US" w:eastAsia="zh-CN"/>
              </w:rPr>
              <w:t>650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57885" cy="1057275"/>
                  <wp:effectExtent l="0" t="0" r="18415"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858011" cy="1057655"/>
                          </a:xfrm>
                          <a:prstGeom prst="rect">
                            <a:avLst/>
                          </a:prstGeom>
                        </pic:spPr>
                      </pic:pic>
                    </a:graphicData>
                  </a:graphic>
                </wp:inline>
              </w:drawing>
            </w:r>
          </w:p>
        </w:tc>
      </w:tr>
      <w:tr>
        <w:tblPrEx>
          <w:tblCellMar>
            <w:top w:w="0" w:type="dxa"/>
            <w:left w:w="108" w:type="dxa"/>
            <w:bottom w:w="0" w:type="dxa"/>
            <w:right w:w="108" w:type="dxa"/>
          </w:tblCellMar>
        </w:tblPrEx>
        <w:trPr>
          <w:trHeight w:val="3743"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下压式门把手改造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可用单手手掌或者手指轻松操作，增加摩擦力和稳定性，方便老年人开门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下压式</w:t>
            </w:r>
            <w:r>
              <w:rPr>
                <w:rFonts w:hint="eastAsia" w:ascii="宋体" w:hAnsi="宋体" w:eastAsia="宋体" w:cs="宋体"/>
                <w:spacing w:val="-9"/>
                <w:sz w:val="18"/>
                <w:szCs w:val="18"/>
              </w:rPr>
              <w:t>门把手</w:t>
            </w:r>
            <w:r>
              <w:rPr>
                <w:rFonts w:hint="eastAsia" w:ascii="宋体" w:hAnsi="宋体" w:eastAsia="宋体" w:cs="宋体"/>
                <w:spacing w:val="-13"/>
                <w:sz w:val="18"/>
                <w:szCs w:val="18"/>
              </w:rPr>
              <w:t>改造</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1.拆除原有球形锁具；</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2.安装下压式门把手，带钥匙；</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3.球形锁具孔径＞55mm，或下压门把手宽度无法覆盖原孔距时，需征得业主同意后方可安装；</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4.适配门厚度为30mm-50mm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5.现有门扇已损坏，或不符合安装条件的需停止</w:t>
            </w:r>
            <w:r>
              <w:rPr>
                <w:rFonts w:hint="eastAsia" w:ascii="宋体" w:hAnsi="宋体" w:eastAsia="宋体" w:cs="宋体"/>
                <w:spacing w:val="-3"/>
                <w:sz w:val="18"/>
                <w:szCs w:val="18"/>
              </w:rPr>
              <w:t>评估此项。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lang w:val="en-US" w:eastAsia="zh-CN"/>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lang w:val="en-US" w:eastAsia="zh-CN"/>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lang w:val="en-US" w:eastAsia="zh-CN"/>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8"/>
                <w:sz w:val="18"/>
                <w:szCs w:val="18"/>
                <w:lang w:val="en-US" w:eastAsia="zh-CN"/>
              </w:rPr>
              <w:t>260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57885" cy="1057275"/>
                  <wp:effectExtent l="0" t="0" r="18415" b="952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858011" cy="10576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6"/>
                <w:sz w:val="18"/>
                <w:szCs w:val="18"/>
              </w:rPr>
              <w:t>安装闪</w:t>
            </w:r>
            <w:r>
              <w:rPr>
                <w:rFonts w:hint="eastAsia" w:ascii="宋体" w:hAnsi="宋体" w:eastAsia="宋体" w:cs="宋体"/>
                <w:spacing w:val="-7"/>
                <w:sz w:val="18"/>
                <w:szCs w:val="18"/>
              </w:rPr>
              <w:t>光振动</w:t>
            </w:r>
            <w:r>
              <w:rPr>
                <w:rFonts w:hint="eastAsia" w:ascii="宋体" w:hAnsi="宋体" w:eastAsia="宋体" w:cs="宋体"/>
                <w:spacing w:val="-10"/>
                <w:sz w:val="18"/>
                <w:szCs w:val="18"/>
              </w:rPr>
              <w:t>门铃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6"/>
                <w:sz w:val="18"/>
                <w:szCs w:val="18"/>
              </w:rPr>
              <w:t>安装闪</w:t>
            </w:r>
            <w:r>
              <w:rPr>
                <w:rFonts w:hint="eastAsia" w:ascii="宋体" w:hAnsi="宋体" w:eastAsia="宋体" w:cs="宋体"/>
                <w:spacing w:val="-7"/>
                <w:sz w:val="18"/>
                <w:szCs w:val="18"/>
              </w:rPr>
              <w:t>光振动</w:t>
            </w:r>
            <w:r>
              <w:rPr>
                <w:rFonts w:hint="eastAsia" w:ascii="宋体" w:hAnsi="宋体" w:eastAsia="宋体" w:cs="宋体"/>
                <w:spacing w:val="-10"/>
                <w:sz w:val="18"/>
                <w:szCs w:val="18"/>
              </w:rPr>
              <w:t>门铃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安装闪</w:t>
            </w:r>
            <w:r>
              <w:rPr>
                <w:rFonts w:hint="eastAsia" w:ascii="宋体" w:hAnsi="宋体" w:eastAsia="宋体" w:cs="宋体"/>
                <w:spacing w:val="-7"/>
                <w:sz w:val="18"/>
                <w:szCs w:val="18"/>
              </w:rPr>
              <w:t>光振动</w:t>
            </w:r>
            <w:r>
              <w:rPr>
                <w:rFonts w:hint="eastAsia" w:ascii="宋体" w:hAnsi="宋体" w:eastAsia="宋体" w:cs="宋体"/>
                <w:spacing w:val="-10"/>
                <w:sz w:val="18"/>
                <w:szCs w:val="18"/>
              </w:rPr>
              <w:t>门铃</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1.组合：1个主机，1个门铃；</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2.主机供电方式：220V插座；</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3.门铃供电方式：自带手指按压发电功能，终</w:t>
            </w:r>
            <w:r>
              <w:rPr>
                <w:rFonts w:hint="eastAsia" w:ascii="宋体" w:hAnsi="宋体" w:eastAsia="宋体" w:cs="宋体"/>
                <w:spacing w:val="-3"/>
                <w:sz w:val="18"/>
                <w:szCs w:val="18"/>
              </w:rPr>
              <w:t>身不用电池；</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4.免布线安装；</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5.主机自带≥32首和弦铃声；</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6.主机音量4档可调。</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8"/>
                <w:sz w:val="18"/>
                <w:szCs w:val="18"/>
                <w:lang w:val="en-US" w:eastAsia="zh-CN"/>
              </w:rPr>
              <w:t>120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7"/>
                <w:sz w:val="18"/>
                <w:szCs w:val="18"/>
              </w:rPr>
              <w:drawing>
                <wp:inline distT="0" distB="0" distL="0" distR="0">
                  <wp:extent cx="1000760" cy="561975"/>
                  <wp:effectExtent l="0" t="0" r="8890" b="952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1001268" cy="5623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卧室改造</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安装床边护栏（抓杆）</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辅助老年人起身、上下床，防止翻身滚下床</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起身扶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1.底座参考尺寸：500*600mm；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2.高度：750mm-850mm(±50mm</w:t>
            </w:r>
            <w:r>
              <w:rPr>
                <w:rFonts w:hint="eastAsia" w:ascii="宋体" w:hAnsi="宋体" w:eastAsia="宋体" w:cs="宋体"/>
                <w:spacing w:val="15"/>
                <w:sz w:val="18"/>
                <w:szCs w:val="18"/>
              </w:rPr>
              <w:t>），</w:t>
            </w:r>
            <w:r>
              <w:rPr>
                <w:rFonts w:hint="eastAsia" w:ascii="宋体" w:hAnsi="宋体" w:eastAsia="宋体" w:cs="宋体"/>
                <w:spacing w:val="-2"/>
                <w:sz w:val="18"/>
                <w:szCs w:val="18"/>
              </w:rPr>
              <w:t>多档可调</w:t>
            </w:r>
            <w:r>
              <w:rPr>
                <w:rFonts w:hint="eastAsia" w:ascii="宋体" w:hAnsi="宋体" w:eastAsia="宋体" w:cs="宋体"/>
                <w:spacing w:val="-10"/>
                <w:sz w:val="18"/>
                <w:szCs w:val="18"/>
              </w:rPr>
              <w:t>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3.底座采用钢板，表面烤漆，稳固安全；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4.固定立柱套管采用直径42mm碳钢机加工而</w:t>
            </w:r>
            <w:r>
              <w:rPr>
                <w:rFonts w:hint="eastAsia" w:ascii="宋体" w:hAnsi="宋体" w:eastAsia="宋体" w:cs="宋体"/>
                <w:spacing w:val="-1"/>
                <w:sz w:val="18"/>
                <w:szCs w:val="18"/>
              </w:rPr>
              <w:t>成，采用整体螺丝固定的方式，安全可靠；</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5.扶手可调节部分采用高强度不锈钢，内衬不</w:t>
            </w:r>
            <w:r>
              <w:rPr>
                <w:rFonts w:hint="eastAsia" w:ascii="宋体" w:hAnsi="宋体" w:eastAsia="宋体" w:cs="宋体"/>
                <w:spacing w:val="-2"/>
                <w:sz w:val="18"/>
                <w:szCs w:val="18"/>
              </w:rPr>
              <w:t>锈钢，外面套管采用高强度ABS材质，表面采用</w:t>
            </w:r>
            <w:r>
              <w:rPr>
                <w:rFonts w:hint="eastAsia" w:ascii="宋体" w:hAnsi="宋体" w:eastAsia="宋体" w:cs="宋体"/>
                <w:spacing w:val="-1"/>
                <w:sz w:val="18"/>
                <w:szCs w:val="18"/>
              </w:rPr>
              <w:t>防滑设计，增加了安全性和舒适度，ABS</w:t>
            </w:r>
            <w:r>
              <w:rPr>
                <w:rFonts w:hint="eastAsia" w:ascii="宋体" w:hAnsi="宋体" w:eastAsia="宋体" w:cs="宋体"/>
                <w:spacing w:val="-2"/>
                <w:sz w:val="18"/>
                <w:szCs w:val="18"/>
              </w:rPr>
              <w:t>材料具</w:t>
            </w:r>
            <w:r>
              <w:rPr>
                <w:rFonts w:hint="eastAsia" w:ascii="宋体" w:hAnsi="宋体" w:eastAsia="宋体" w:cs="宋体"/>
                <w:spacing w:val="-1"/>
                <w:sz w:val="18"/>
                <w:szCs w:val="18"/>
              </w:rPr>
              <w:t>有抗冲击，耐高温，耐低温，易清洁，不易滋生</w:t>
            </w:r>
            <w:r>
              <w:rPr>
                <w:rFonts w:hint="eastAsia" w:ascii="宋体" w:hAnsi="宋体" w:eastAsia="宋体" w:cs="宋体"/>
                <w:spacing w:val="-2"/>
                <w:sz w:val="18"/>
                <w:szCs w:val="18"/>
              </w:rPr>
              <w:t>细菌的特性。</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3"/>
                <w:sz w:val="18"/>
                <w:szCs w:val="18"/>
                <w:lang w:val="en-US" w:eastAsia="zh-CN"/>
              </w:rPr>
              <w:t>560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2"/>
                <w:sz w:val="18"/>
                <w:szCs w:val="18"/>
              </w:rPr>
              <w:drawing>
                <wp:inline distT="0" distB="0" distL="0" distR="0">
                  <wp:extent cx="1086485" cy="1028700"/>
                  <wp:effectExtent l="0" t="0" r="18415"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1086611" cy="10287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床边护</w:t>
            </w:r>
            <w:r>
              <w:rPr>
                <w:rFonts w:hint="eastAsia" w:ascii="宋体" w:hAnsi="宋体" w:eastAsia="宋体" w:cs="宋体"/>
                <w:sz w:val="18"/>
                <w:szCs w:val="18"/>
              </w:rPr>
              <w:t>栏</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1.材质：铝合金上管，加厚不锈钢支架，含金</w:t>
            </w:r>
            <w:r>
              <w:rPr>
                <w:rFonts w:hint="eastAsia" w:ascii="宋体" w:hAnsi="宋体" w:eastAsia="宋体" w:cs="宋体"/>
                <w:spacing w:val="-2"/>
                <w:sz w:val="18"/>
                <w:szCs w:val="18"/>
              </w:rPr>
              <w:t>属连接件，折叠按键；</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2.颜色：木纹色；</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3.折叠护栏档位数：≥3档；</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4.护栏高度：≥40cm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5.适合平板床、内嵌床，现场经鉴定床体结构老化，或不符合安装条件的应停止评估此项。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8"/>
                <w:sz w:val="18"/>
                <w:szCs w:val="18"/>
                <w:lang w:val="en-US" w:eastAsia="zh-CN"/>
              </w:rPr>
              <w:t>216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3"/>
                <w:sz w:val="18"/>
                <w:szCs w:val="18"/>
              </w:rPr>
              <w:drawing>
                <wp:inline distT="0" distB="0" distL="0" distR="0">
                  <wp:extent cx="1095375" cy="752475"/>
                  <wp:effectExtent l="0" t="0" r="9525" b="952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1095755" cy="7528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配置护理床</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帮助失能老年人完成起身、侧翻、上下床、吃饭等动作，辅助喂食、处理排泄物等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ABS多</w:t>
            </w:r>
            <w:r>
              <w:rPr>
                <w:rFonts w:hint="eastAsia" w:ascii="宋体" w:hAnsi="宋体" w:eastAsia="宋体" w:cs="宋体"/>
                <w:spacing w:val="-6"/>
                <w:sz w:val="18"/>
                <w:szCs w:val="18"/>
              </w:rPr>
              <w:t>功能护</w:t>
            </w:r>
            <w:r>
              <w:rPr>
                <w:rFonts w:hint="eastAsia" w:ascii="宋体" w:hAnsi="宋体" w:eastAsia="宋体" w:cs="宋体"/>
                <w:spacing w:val="-8"/>
                <w:sz w:val="18"/>
                <w:szCs w:val="18"/>
              </w:rPr>
              <w:t>理床</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1</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规格尺寸:≥2120*960*560</w:t>
            </w:r>
            <w:r>
              <w:rPr>
                <w:rFonts w:hint="eastAsia" w:ascii="宋体" w:hAnsi="宋体" w:eastAsia="宋体" w:cs="宋体"/>
                <w:spacing w:val="-1"/>
                <w:sz w:val="18"/>
                <w:szCs w:val="18"/>
                <w:lang w:val="en-US" w:eastAsia="zh-CN"/>
              </w:rPr>
              <w:t>m</w:t>
            </w:r>
            <w:r>
              <w:rPr>
                <w:rFonts w:hint="eastAsia" w:ascii="宋体" w:hAnsi="宋体" w:eastAsia="宋体" w:cs="宋体"/>
                <w:spacing w:val="-1"/>
                <w:sz w:val="18"/>
                <w:szCs w:val="18"/>
              </w:rPr>
              <w:t>m护理床采用3个摇把，分别是起背摇把，曲腿摇把，以及左右翻身摇把，便孔采用推拉科式方便便捷，床体机器人全自动焊接，工艺更精美，采用静电喷涂技术及国水标准冷乳钢材。起背角度:0~75度:抬腿角度:0~35度，床体高度:500mm士5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2.</w:t>
            </w:r>
            <w:r>
              <w:rPr>
                <w:rFonts w:hint="eastAsia" w:ascii="宋体" w:hAnsi="宋体" w:eastAsia="宋体" w:cs="宋体"/>
                <w:spacing w:val="-1"/>
                <w:sz w:val="18"/>
                <w:szCs w:val="18"/>
              </w:rPr>
              <w:t>床体骨架采用≥40*80*1.0mm的成型方管焊接而成，管厚≥1.0mm，床体坚固，可承载&gt;200kg。</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3.</w:t>
            </w:r>
            <w:r>
              <w:rPr>
                <w:rFonts w:hint="eastAsia" w:ascii="宋体" w:hAnsi="宋体" w:eastAsia="宋体" w:cs="宋体"/>
                <w:spacing w:val="-1"/>
                <w:sz w:val="18"/>
                <w:szCs w:val="18"/>
              </w:rPr>
              <w:t>床面采用0.8mm厚低碳钢方管，便于透气，起背具有防侧滑功能，床体采用环保抗菌粉末静电喷涂而成，具有防腐防锈，外观精美等特点。</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4.</w:t>
            </w:r>
            <w:r>
              <w:rPr>
                <w:rFonts w:hint="eastAsia" w:ascii="宋体" w:hAnsi="宋体" w:eastAsia="宋体" w:cs="宋体"/>
                <w:spacing w:val="-1"/>
                <w:sz w:val="18"/>
                <w:szCs w:val="18"/>
              </w:rPr>
              <w:t>床头床尾板采用高级ABS材料一次吹塑成型，床头颜色为浅蓝色，锁紧件全部采用钢件，对称式快速插座，可快速拆卸，床尾板外侧配置透明床头卡。</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5.</w:t>
            </w:r>
            <w:r>
              <w:rPr>
                <w:rFonts w:hint="eastAsia" w:ascii="宋体" w:hAnsi="宋体" w:eastAsia="宋体" w:cs="宋体"/>
                <w:spacing w:val="-1"/>
                <w:sz w:val="18"/>
                <w:szCs w:val="18"/>
              </w:rPr>
              <w:t>不锈钢折叠护栏采用D型加厚铝合金材质上杆，表面硬化处理，护栏自锁机构隐藏式一次成型枪把，五档不锈钢护栏产柱，可收缩平放。</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6.</w:t>
            </w:r>
            <w:r>
              <w:rPr>
                <w:rFonts w:hint="eastAsia" w:ascii="宋体" w:hAnsi="宋体" w:eastAsia="宋体" w:cs="宋体"/>
                <w:spacing w:val="-1"/>
                <w:sz w:val="18"/>
                <w:szCs w:val="18"/>
              </w:rPr>
              <w:t>摇炳采用钢制折叠摇把。</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7.</w:t>
            </w:r>
            <w:r>
              <w:rPr>
                <w:rFonts w:hint="eastAsia" w:ascii="宋体" w:hAnsi="宋体" w:eastAsia="宋体" w:cs="宋体"/>
                <w:spacing w:val="-1"/>
                <w:sz w:val="18"/>
                <w:szCs w:val="18"/>
              </w:rPr>
              <w:t>配置125mm静音脚轮，高稳定性联动系统，刹车稳定方便，防水、防尘。</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lang w:val="en-US" w:eastAsia="zh-CN"/>
              </w:rPr>
              <w:t>8.</w:t>
            </w:r>
            <w:r>
              <w:rPr>
                <w:rFonts w:hint="eastAsia" w:ascii="宋体" w:hAnsi="宋体" w:eastAsia="宋体" w:cs="宋体"/>
                <w:spacing w:val="-1"/>
                <w:sz w:val="18"/>
                <w:szCs w:val="18"/>
              </w:rPr>
              <w:t>床垫采用6公分床垫，4公分椰棕+2公分海绵，外套高级防水帆布，床套前后配有拉链，可方便拆装。</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1"/>
                <w:sz w:val="18"/>
                <w:szCs w:val="18"/>
                <w:lang w:val="en-US" w:eastAsia="zh-CN"/>
              </w:rPr>
              <w:t>9.</w:t>
            </w:r>
            <w:r>
              <w:rPr>
                <w:rFonts w:hint="eastAsia" w:ascii="宋体" w:hAnsi="宋体" w:eastAsia="宋体" w:cs="宋体"/>
                <w:spacing w:val="-1"/>
                <w:sz w:val="18"/>
                <w:szCs w:val="18"/>
              </w:rPr>
              <w:t>标准配置:床体、餐桌板，洗头盆，便盆，输液架、床头床尾、护栏、床垫、螺丝包、说明书、静音轮。</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张</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3"/>
                <w:sz w:val="18"/>
                <w:szCs w:val="18"/>
                <w:lang w:val="en-US" w:eastAsia="zh-CN"/>
              </w:rPr>
              <w:t>2239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1000760" cy="990600"/>
                  <wp:effectExtent l="0" t="0" r="889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1001268" cy="990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木质双摇护理</w:t>
            </w:r>
            <w:r>
              <w:rPr>
                <w:rFonts w:hint="eastAsia" w:ascii="宋体" w:hAnsi="宋体" w:eastAsia="宋体" w:cs="宋体"/>
                <w:sz w:val="18"/>
                <w:szCs w:val="18"/>
              </w:rPr>
              <w:t>床</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5"/>
                <w:sz w:val="18"/>
                <w:szCs w:val="18"/>
              </w:rPr>
              <w:t>1、颗粒板床头床尾；参考尺寸：</w:t>
            </w:r>
            <w:r>
              <w:rPr>
                <w:rFonts w:hint="eastAsia" w:ascii="宋体" w:hAnsi="宋体" w:eastAsia="宋体" w:cs="宋体"/>
                <w:spacing w:val="-1"/>
                <w:sz w:val="18"/>
                <w:szCs w:val="18"/>
              </w:rPr>
              <w:t>20</w:t>
            </w:r>
            <w:r>
              <w:rPr>
                <w:rFonts w:hint="eastAsia" w:ascii="宋体" w:hAnsi="宋体" w:eastAsia="宋体" w:cs="宋体"/>
                <w:spacing w:val="-1"/>
                <w:sz w:val="18"/>
                <w:szCs w:val="18"/>
                <w:lang w:val="en-US" w:eastAsia="zh-CN"/>
              </w:rPr>
              <w:t>2</w:t>
            </w:r>
            <w:r>
              <w:rPr>
                <w:rFonts w:hint="eastAsia" w:ascii="宋体" w:hAnsi="宋体" w:eastAsia="宋体" w:cs="宋体"/>
                <w:spacing w:val="-1"/>
                <w:sz w:val="18"/>
                <w:szCs w:val="18"/>
              </w:rPr>
              <w:t>0mm*10</w:t>
            </w:r>
            <w:r>
              <w:rPr>
                <w:rFonts w:hint="eastAsia" w:ascii="宋体" w:hAnsi="宋体" w:eastAsia="宋体" w:cs="宋体"/>
                <w:spacing w:val="-1"/>
                <w:sz w:val="18"/>
                <w:szCs w:val="18"/>
                <w:lang w:val="en-US" w:eastAsia="zh-CN"/>
              </w:rPr>
              <w:t>2</w:t>
            </w:r>
            <w:r>
              <w:rPr>
                <w:rFonts w:hint="eastAsia" w:ascii="宋体" w:hAnsi="宋体" w:eastAsia="宋体" w:cs="宋体"/>
                <w:spacing w:val="-1"/>
                <w:sz w:val="18"/>
                <w:szCs w:val="18"/>
              </w:rPr>
              <w:t>0mm*</w:t>
            </w:r>
            <w:r>
              <w:rPr>
                <w:rFonts w:hint="eastAsia" w:ascii="宋体" w:hAnsi="宋体" w:eastAsia="宋体" w:cs="宋体"/>
                <w:spacing w:val="-1"/>
                <w:sz w:val="18"/>
                <w:szCs w:val="18"/>
                <w:lang w:val="en-US" w:eastAsia="zh-CN"/>
              </w:rPr>
              <w:t>48</w:t>
            </w:r>
            <w:r>
              <w:rPr>
                <w:rFonts w:hint="eastAsia" w:ascii="宋体" w:hAnsi="宋体" w:eastAsia="宋体" w:cs="宋体"/>
                <w:spacing w:val="-1"/>
                <w:sz w:val="18"/>
                <w:szCs w:val="18"/>
              </w:rPr>
              <w:t>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2、床架采用80×40×0.9</w:t>
            </w:r>
            <w:r>
              <w:rPr>
                <w:rFonts w:hint="eastAsia" w:ascii="宋体" w:hAnsi="宋体" w:eastAsia="宋体" w:cs="宋体"/>
                <w:sz w:val="18"/>
                <w:szCs w:val="18"/>
              </w:rPr>
              <w:t>mm</w:t>
            </w:r>
            <w:r>
              <w:rPr>
                <w:rFonts w:hint="eastAsia" w:ascii="宋体" w:hAnsi="宋体" w:eastAsia="宋体" w:cs="宋体"/>
                <w:spacing w:val="1"/>
                <w:sz w:val="18"/>
                <w:szCs w:val="18"/>
              </w:rPr>
              <w:t>厚冷轧钢管焊接而</w:t>
            </w:r>
            <w:r>
              <w:rPr>
                <w:rFonts w:hint="eastAsia" w:ascii="宋体" w:hAnsi="宋体" w:eastAsia="宋体" w:cs="宋体"/>
                <w:spacing w:val="-4"/>
                <w:sz w:val="18"/>
                <w:szCs w:val="18"/>
              </w:rPr>
              <w:t>成，床体承载力≥240㎏，能充分保证病床的承</w:t>
            </w:r>
            <w:r>
              <w:rPr>
                <w:rFonts w:hint="eastAsia" w:ascii="宋体" w:hAnsi="宋体" w:eastAsia="宋体" w:cs="宋体"/>
                <w:spacing w:val="-2"/>
                <w:sz w:val="18"/>
                <w:szCs w:val="18"/>
              </w:rPr>
              <w:t>载能力和使用寿命</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2"/>
                <w:sz w:val="18"/>
                <w:szCs w:val="18"/>
              </w:rPr>
              <w:t>3、小条形床板采用0.7mm厚带钢冲弓字槽而成</w:t>
            </w:r>
            <w:r>
              <w:rPr>
                <w:rFonts w:hint="eastAsia" w:ascii="宋体" w:hAnsi="宋体" w:eastAsia="宋体" w:cs="宋体"/>
                <w:spacing w:val="-1"/>
                <w:sz w:val="18"/>
                <w:szCs w:val="18"/>
              </w:rPr>
              <w:t>坚固耐用。床面为凹面，且强度高，具有防滑功</w:t>
            </w:r>
            <w:r>
              <w:rPr>
                <w:rFonts w:hint="eastAsia" w:ascii="宋体" w:hAnsi="宋体" w:eastAsia="宋体" w:cs="宋体"/>
                <w:spacing w:val="-10"/>
                <w:sz w:val="18"/>
                <w:szCs w:val="18"/>
              </w:rPr>
              <w:t>能。</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9"/>
                <w:sz w:val="18"/>
                <w:szCs w:val="18"/>
              </w:rPr>
              <w:t>4、起背折起角度0。-</w:t>
            </w:r>
            <w:r>
              <w:rPr>
                <w:rFonts w:hint="eastAsia" w:ascii="宋体" w:hAnsi="宋体" w:eastAsia="宋体" w:cs="宋体"/>
                <w:spacing w:val="-19"/>
                <w:sz w:val="18"/>
                <w:szCs w:val="18"/>
                <w:lang w:val="en-US" w:eastAsia="zh-CN"/>
              </w:rPr>
              <w:t>7</w:t>
            </w:r>
            <w:r>
              <w:rPr>
                <w:rFonts w:hint="eastAsia" w:ascii="宋体" w:hAnsi="宋体" w:eastAsia="宋体" w:cs="宋体"/>
                <w:spacing w:val="-19"/>
                <w:sz w:val="18"/>
                <w:szCs w:val="18"/>
              </w:rPr>
              <w:t>0°,曲腿折起角度0。-</w:t>
            </w:r>
            <w:r>
              <w:rPr>
                <w:rFonts w:hint="eastAsia" w:ascii="宋体" w:hAnsi="宋体" w:eastAsia="宋体" w:cs="宋体"/>
                <w:spacing w:val="-19"/>
                <w:sz w:val="18"/>
                <w:szCs w:val="18"/>
                <w:lang w:val="en-US" w:eastAsia="zh-CN"/>
              </w:rPr>
              <w:t>3</w:t>
            </w:r>
            <w:r>
              <w:rPr>
                <w:rFonts w:hint="eastAsia" w:ascii="宋体" w:hAnsi="宋体" w:eastAsia="宋体" w:cs="宋体"/>
                <w:spacing w:val="-2"/>
                <w:sz w:val="18"/>
                <w:szCs w:val="18"/>
              </w:rPr>
              <w:t>5°</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3"/>
                <w:sz w:val="18"/>
                <w:szCs w:val="18"/>
              </w:rPr>
              <w:t>5、型号为180的塑料件手柄，摇杆传动关节件</w:t>
            </w:r>
            <w:r>
              <w:rPr>
                <w:rFonts w:hint="eastAsia" w:ascii="宋体" w:hAnsi="宋体" w:eastAsia="宋体" w:cs="宋体"/>
                <w:spacing w:val="2"/>
                <w:sz w:val="18"/>
                <w:szCs w:val="18"/>
              </w:rPr>
              <w:t>采用全钢件，升降丝杠采用45#钢挤压成型</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2"/>
                <w:sz w:val="18"/>
                <w:szCs w:val="18"/>
              </w:rPr>
              <w:t>6、床脚采用40*40*0.9mm方管焊接</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7、采用4分椰棕2分高密度海绵材质，面</w:t>
            </w:r>
            <w:r>
              <w:rPr>
                <w:rFonts w:hint="eastAsia" w:ascii="宋体" w:hAnsi="宋体" w:eastAsia="宋体" w:cs="宋体"/>
                <w:spacing w:val="-1"/>
                <w:sz w:val="18"/>
                <w:szCs w:val="18"/>
              </w:rPr>
              <w:t>料为</w:t>
            </w:r>
            <w:r>
              <w:rPr>
                <w:rFonts w:hint="eastAsia" w:ascii="宋体" w:hAnsi="宋体" w:eastAsia="宋体" w:cs="宋体"/>
                <w:spacing w:val="-2"/>
                <w:sz w:val="18"/>
                <w:szCs w:val="18"/>
              </w:rPr>
              <w:t>防水布料，长*宽*厚约1890*890*6</w:t>
            </w:r>
            <w:r>
              <w:rPr>
                <w:rFonts w:hint="eastAsia" w:ascii="宋体" w:hAnsi="宋体" w:eastAsia="宋体" w:cs="宋体"/>
                <w:spacing w:val="-3"/>
                <w:sz w:val="18"/>
                <w:szCs w:val="18"/>
              </w:rPr>
              <w:t>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8、铝合金折叠护栏，全覆式防夹手，可收缩平</w:t>
            </w:r>
            <w:r>
              <w:rPr>
                <w:rFonts w:hint="eastAsia" w:ascii="宋体" w:hAnsi="宋体" w:eastAsia="宋体" w:cs="宋体"/>
                <w:spacing w:val="-2"/>
                <w:sz w:val="18"/>
                <w:szCs w:val="18"/>
              </w:rPr>
              <w:t>放，强力支柱；D型铝合金横梁，表面做硬化处理。上、下支座为工程塑料组合而成，中部为5支铝合金支柱，护栏开关为自锁隐藏型ABS工程</w:t>
            </w:r>
            <w:r>
              <w:rPr>
                <w:rFonts w:hint="eastAsia" w:ascii="宋体" w:hAnsi="宋体" w:eastAsia="宋体" w:cs="宋体"/>
                <w:spacing w:val="-1"/>
                <w:sz w:val="18"/>
                <w:szCs w:val="18"/>
              </w:rPr>
              <w:t>塑料。操作便利，强度高，经久耐用。护栏上还可放置移动式餐板，充分体现功能的多样性，满</w:t>
            </w:r>
            <w:r>
              <w:rPr>
                <w:rFonts w:hint="eastAsia" w:ascii="宋体" w:hAnsi="宋体" w:eastAsia="宋体" w:cs="宋体"/>
                <w:spacing w:val="-2"/>
                <w:sz w:val="18"/>
                <w:szCs w:val="18"/>
              </w:rPr>
              <w:t>足病患的需要。</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2"/>
                <w:sz w:val="18"/>
                <w:szCs w:val="18"/>
              </w:rPr>
              <w:t>9、木餐桌长955mm，宽300mm，厚度15mm。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10、5寸静音轮耐酸碱、抗腐蚀、防缠绕、</w:t>
            </w:r>
            <w:r>
              <w:rPr>
                <w:rFonts w:hint="eastAsia" w:ascii="宋体" w:hAnsi="宋体" w:eastAsia="宋体" w:cs="宋体"/>
                <w:spacing w:val="-3"/>
                <w:sz w:val="18"/>
                <w:szCs w:val="18"/>
              </w:rPr>
              <w:t>不易</w:t>
            </w:r>
            <w:r>
              <w:rPr>
                <w:rFonts w:hint="eastAsia" w:ascii="宋体" w:hAnsi="宋体" w:eastAsia="宋体" w:cs="宋体"/>
                <w:spacing w:val="-1"/>
                <w:sz w:val="18"/>
                <w:szCs w:val="18"/>
              </w:rPr>
              <w:t>生锈、制动稳定可靠，滚动平稳无噪音。分体刹</w:t>
            </w:r>
            <w:r>
              <w:rPr>
                <w:rFonts w:hint="eastAsia" w:ascii="宋体" w:hAnsi="宋体" w:eastAsia="宋体" w:cs="宋体"/>
                <w:spacing w:val="-10"/>
                <w:sz w:val="18"/>
                <w:szCs w:val="18"/>
              </w:rPr>
              <w:t>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张</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6"/>
                <w:sz w:val="18"/>
                <w:szCs w:val="18"/>
                <w:lang w:val="en-US" w:eastAsia="zh-CN"/>
              </w:rPr>
              <w:t>2650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2"/>
                <w:sz w:val="18"/>
                <w:szCs w:val="18"/>
              </w:rPr>
              <w:drawing>
                <wp:inline distT="0" distB="0" distL="0" distR="0">
                  <wp:extent cx="1066800" cy="1028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1066800" cy="10287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5"/>
                <w:sz w:val="18"/>
                <w:szCs w:val="18"/>
              </w:rPr>
              <w:t>调节式</w:t>
            </w:r>
            <w:r>
              <w:rPr>
                <w:rFonts w:hint="eastAsia" w:ascii="宋体" w:hAnsi="宋体" w:eastAsia="宋体" w:cs="宋体"/>
                <w:spacing w:val="-7"/>
                <w:sz w:val="18"/>
                <w:szCs w:val="18"/>
              </w:rPr>
              <w:t>靠背器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1"/>
                <w:sz w:val="18"/>
                <w:szCs w:val="18"/>
              </w:rPr>
              <w:t>辅助卧床瘫痪偏瘫老人坐起</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调节式</w:t>
            </w:r>
            <w:r>
              <w:rPr>
                <w:rFonts w:hint="eastAsia" w:ascii="宋体" w:hAnsi="宋体" w:eastAsia="宋体" w:cs="宋体"/>
                <w:spacing w:val="-7"/>
                <w:sz w:val="18"/>
                <w:szCs w:val="18"/>
              </w:rPr>
              <w:t>靠背器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1</w:t>
            </w:r>
            <w:r>
              <w:rPr>
                <w:rFonts w:hint="eastAsia" w:ascii="宋体" w:hAnsi="宋体" w:eastAsia="宋体" w:cs="宋体"/>
                <w:spacing w:val="-1"/>
                <w:sz w:val="18"/>
                <w:szCs w:val="18"/>
                <w:lang w:val="en-US" w:eastAsia="zh-CN"/>
              </w:rPr>
              <w:t>.</w:t>
            </w:r>
            <w:r>
              <w:rPr>
                <w:rFonts w:hint="eastAsia" w:ascii="宋体" w:hAnsi="宋体" w:eastAsia="宋体" w:cs="宋体"/>
                <w:spacing w:val="-1"/>
                <w:sz w:val="18"/>
                <w:szCs w:val="18"/>
              </w:rPr>
              <w:t>产品尺寸：85*56*</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2</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折叠尺寸：71*65*10cm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3</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主架：由Q235B优质高碳钢管焊接而成，抗冲击，韧性强，承重高，钢管规格Φ22.2*1.2mm；采用可折叠结构，携带方便，占地面积小，免工具安装，方便使用，整体高度五档可调节。 表面采用高温粉体烤漆处理。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4</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扶手：PVC防滑扶手，防滑耐用，可上翻。</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靠背垫：600D牛津布坐垫，抗拉强度高。</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lang w:val="en-US" w:eastAsia="zh-CN"/>
              </w:rPr>
              <w:t>210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57885" cy="1057275"/>
                  <wp:effectExtent l="0" t="0" r="18415" b="952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1"/>
                          <a:stretch>
                            <a:fillRect/>
                          </a:stretch>
                        </pic:blipFill>
                        <pic:spPr>
                          <a:xfrm>
                            <a:off x="0" y="0"/>
                            <a:ext cx="858011" cy="10576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配置防压疮垫</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避免长期乘坐轮椅或卧床的老年人发生严重压疮，包括防压疮坐垫、靠垫或床垫等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10"/>
                <w:sz w:val="18"/>
                <w:szCs w:val="18"/>
              </w:rPr>
              <w:t>防褥疮坐垫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1.参考尺寸：480*480mm；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2.材质：PVC材质，轻巧耐拉伸，承重效果佳；</w:t>
            </w:r>
            <w:r>
              <w:rPr>
                <w:rFonts w:hint="eastAsia" w:ascii="宋体" w:hAnsi="宋体" w:eastAsia="宋体" w:cs="宋体"/>
                <w:spacing w:val="-4"/>
                <w:sz w:val="18"/>
                <w:szCs w:val="18"/>
              </w:rPr>
              <w:t>3.25个25mm内径小孔，均匀分布在坐垫上，与</w:t>
            </w:r>
            <w:r>
              <w:rPr>
                <w:rFonts w:hint="eastAsia" w:ascii="宋体" w:hAnsi="宋体" w:eastAsia="宋体" w:cs="宋体"/>
                <w:spacing w:val="-1"/>
                <w:sz w:val="18"/>
                <w:szCs w:val="18"/>
              </w:rPr>
              <w:t>气室交错形成波浪凹凸表层，分散臀部、腿部的</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8"/>
                <w:sz w:val="18"/>
                <w:szCs w:val="18"/>
              </w:rPr>
              <w:t>压力，更加透气；</w:t>
            </w:r>
            <w:r>
              <w:rPr>
                <w:rFonts w:hint="eastAsia" w:ascii="宋体" w:hAnsi="宋体" w:eastAsia="宋体" w:cs="宋体"/>
                <w:spacing w:val="-1"/>
                <w:sz w:val="18"/>
                <w:szCs w:val="18"/>
              </w:rPr>
              <w:t>4.承重≥100kg；</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1"/>
                <w:sz w:val="18"/>
                <w:szCs w:val="18"/>
              </w:rPr>
              <w:t>5.配备专用打气筒，充气方便快捷。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3"/>
                <w:sz w:val="18"/>
                <w:szCs w:val="18"/>
              </w:rPr>
              <w:t>45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970280" cy="1000760"/>
                  <wp:effectExtent l="0" t="0" r="1270" b="889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2"/>
                          <a:stretch>
                            <a:fillRect/>
                          </a:stretch>
                        </pic:blipFill>
                        <pic:spPr>
                          <a:xfrm>
                            <a:off x="0" y="0"/>
                            <a:ext cx="970788" cy="10012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0"/>
                <w:sz w:val="18"/>
                <w:szCs w:val="18"/>
              </w:rPr>
              <w:t>靠垫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1.参考尺寸：500*250*150mm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2.材质：全棉布套+高密度海绵</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3.回弹性好，柔软贴合舒适。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6"/>
                <w:sz w:val="18"/>
                <w:szCs w:val="18"/>
              </w:rPr>
              <w:t>35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4"/>
                <w:sz w:val="18"/>
                <w:szCs w:val="18"/>
              </w:rPr>
              <w:drawing>
                <wp:inline distT="0" distB="0" distL="0" distR="0">
                  <wp:extent cx="1056005" cy="790575"/>
                  <wp:effectExtent l="0" t="0" r="10795" b="952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3"/>
                          <a:stretch>
                            <a:fillRect/>
                          </a:stretch>
                        </pic:blipFill>
                        <pic:spPr>
                          <a:xfrm>
                            <a:off x="0" y="0"/>
                            <a:ext cx="1056131" cy="790829"/>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0"/>
                <w:sz w:val="18"/>
                <w:szCs w:val="18"/>
              </w:rPr>
              <w:t>防褥疮</w:t>
            </w:r>
            <w:r>
              <w:rPr>
                <w:rFonts w:hint="eastAsia" w:ascii="宋体" w:hAnsi="宋体" w:eastAsia="宋体" w:cs="宋体"/>
                <w:spacing w:val="-8"/>
                <w:sz w:val="18"/>
                <w:szCs w:val="18"/>
              </w:rPr>
              <w:t>床垫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1.防止长期卧床老人出现褥疮，可有效体压分</w:t>
            </w:r>
            <w:r>
              <w:rPr>
                <w:rFonts w:hint="eastAsia" w:ascii="宋体" w:hAnsi="宋体" w:eastAsia="宋体" w:cs="宋体"/>
                <w:spacing w:val="-7"/>
                <w:sz w:val="18"/>
                <w:szCs w:val="18"/>
              </w:rPr>
              <w:t>散；</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2.参考尺寸：2000*900mm；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3.材质：PVC；</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4.条形波动；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5.低噪音设计。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380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7"/>
                <w:sz w:val="18"/>
                <w:szCs w:val="18"/>
              </w:rPr>
              <w:drawing>
                <wp:inline distT="0" distB="0" distL="0" distR="0">
                  <wp:extent cx="970280" cy="886460"/>
                  <wp:effectExtent l="0" t="0" r="1270" b="889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4"/>
                          <a:stretch>
                            <a:fillRect/>
                          </a:stretch>
                        </pic:blipFill>
                        <pic:spPr>
                          <a:xfrm>
                            <a:off x="0" y="0"/>
                            <a:ext cx="970788" cy="8869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3D床垫</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1.材质：树脂纤维高分子芯材；</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2.性能：高反弹、透气好、可水洗、耐用；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3.参考尺寸：1200/1500*2000*80mm。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3"/>
                <w:sz w:val="18"/>
                <w:szCs w:val="18"/>
              </w:rPr>
              <w:t>800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6"/>
                <w:sz w:val="18"/>
                <w:szCs w:val="18"/>
              </w:rPr>
              <w:drawing>
                <wp:inline distT="0" distB="0" distL="0" distR="0">
                  <wp:extent cx="1008380" cy="533400"/>
                  <wp:effectExtent l="0" t="0" r="127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5"/>
                          <a:stretch>
                            <a:fillRect/>
                          </a:stretch>
                        </pic:blipFill>
                        <pic:spPr>
                          <a:xfrm>
                            <a:off x="0" y="0"/>
                            <a:ext cx="1008888" cy="5334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如厕洗浴设备改造</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安装扶手</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在如厕区或者洗浴区安装扶手，包括一字形扶手、U形扶手、L形扶手、135°扶手、T形扶手或者助力扶手等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6"/>
                <w:sz w:val="18"/>
                <w:szCs w:val="18"/>
              </w:rPr>
              <w:t>一字扶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1.尺寸：长度</w:t>
            </w:r>
            <w:r>
              <w:rPr>
                <w:rFonts w:hint="eastAsia" w:ascii="宋体" w:hAnsi="宋体" w:eastAsia="宋体" w:cs="宋体"/>
                <w:color w:val="FF0000"/>
                <w:spacing w:val="-2"/>
                <w:sz w:val="18"/>
                <w:szCs w:val="18"/>
              </w:rPr>
              <w:t>≥</w:t>
            </w:r>
            <w:r>
              <w:rPr>
                <w:rFonts w:hint="eastAsia" w:ascii="宋体" w:hAnsi="宋体" w:eastAsia="宋体" w:cs="宋体"/>
                <w:spacing w:val="-2"/>
                <w:sz w:val="18"/>
                <w:szCs w:val="18"/>
              </w:rPr>
              <w:t>430mm；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2.外管材质：ABS材质或抗菌尼龙，</w:t>
            </w:r>
            <w:r>
              <w:rPr>
                <w:rFonts w:hint="eastAsia" w:ascii="宋体" w:hAnsi="宋体" w:eastAsia="宋体" w:cs="宋体"/>
                <w:spacing w:val="-2"/>
                <w:sz w:val="18"/>
                <w:szCs w:val="18"/>
              </w:rPr>
              <w:t>直径</w:t>
            </w:r>
            <w:r>
              <w:rPr>
                <w:rFonts w:hint="eastAsia" w:ascii="宋体" w:hAnsi="宋体" w:eastAsia="宋体" w:cs="宋体"/>
                <w:spacing w:val="-3"/>
                <w:sz w:val="18"/>
                <w:szCs w:val="18"/>
              </w:rPr>
              <w:t>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3.内管材质：铝合金或不锈钢内管，直径</w:t>
            </w:r>
            <w:r>
              <w:rPr>
                <w:rFonts w:hint="eastAsia" w:ascii="宋体" w:hAnsi="宋体" w:eastAsia="宋体" w:cs="宋体"/>
                <w:spacing w:val="-2"/>
                <w:sz w:val="18"/>
                <w:szCs w:val="18"/>
              </w:rPr>
              <w:t>28mm；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1"/>
                <w:sz w:val="18"/>
                <w:szCs w:val="18"/>
              </w:rPr>
              <w:t>4.扶手表面使用抗老化、耐腐蚀耐火材料，能有效抑制大肠杆菌、金黄色葡萄球菌等细菌，扶手表面采用防滑浮点设计，厚度为0.5mm。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5"/>
                <w:sz w:val="18"/>
                <w:szCs w:val="18"/>
                <w:lang w:val="en-US" w:eastAsia="zh-CN"/>
              </w:rPr>
              <w:t>8</w:t>
            </w:r>
            <w:r>
              <w:rPr>
                <w:rFonts w:hint="eastAsia" w:ascii="宋体" w:hAnsi="宋体" w:eastAsia="宋体" w:cs="宋体"/>
                <w:spacing w:val="-5"/>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2"/>
                <w:sz w:val="18"/>
                <w:szCs w:val="18"/>
              </w:rPr>
              <w:drawing>
                <wp:inline distT="0" distB="0" distL="0" distR="0">
                  <wp:extent cx="1066165" cy="705485"/>
                  <wp:effectExtent l="0" t="0" r="635" b="1841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6"/>
                          <a:stretch>
                            <a:fillRect/>
                          </a:stretch>
                        </pic:blipFill>
                        <pic:spPr>
                          <a:xfrm>
                            <a:off x="0" y="0"/>
                            <a:ext cx="1066799" cy="7056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9"/>
                <w:sz w:val="18"/>
                <w:szCs w:val="18"/>
              </w:rPr>
              <w:t>U型上</w:t>
            </w:r>
            <w:r>
              <w:rPr>
                <w:rFonts w:hint="eastAsia" w:ascii="宋体" w:hAnsi="宋体" w:eastAsia="宋体" w:cs="宋体"/>
                <w:spacing w:val="-5"/>
                <w:sz w:val="18"/>
                <w:szCs w:val="18"/>
              </w:rPr>
              <w:t>翻扶手（马桶</w:t>
            </w:r>
            <w:r>
              <w:rPr>
                <w:rFonts w:hint="eastAsia" w:ascii="宋体" w:hAnsi="宋体" w:eastAsia="宋体" w:cs="宋体"/>
                <w:spacing w:val="-10"/>
                <w:sz w:val="18"/>
                <w:szCs w:val="18"/>
              </w:rPr>
              <w:t>扶手）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1.参考尺寸：600*700mm；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2.外管材质：ABS材质或抗菌尼龙，</w:t>
            </w:r>
            <w:r>
              <w:rPr>
                <w:rFonts w:hint="eastAsia" w:ascii="宋体" w:hAnsi="宋体" w:eastAsia="宋体" w:cs="宋体"/>
                <w:spacing w:val="-2"/>
                <w:sz w:val="18"/>
                <w:szCs w:val="18"/>
              </w:rPr>
              <w:t>直径</w:t>
            </w:r>
            <w:r>
              <w:rPr>
                <w:rFonts w:hint="eastAsia" w:ascii="宋体" w:hAnsi="宋体" w:eastAsia="宋体" w:cs="宋体"/>
                <w:spacing w:val="-3"/>
                <w:sz w:val="18"/>
                <w:szCs w:val="18"/>
              </w:rPr>
              <w:t>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3.内管材质：铝合金或不锈钢内管，直径</w:t>
            </w:r>
            <w:r>
              <w:rPr>
                <w:rFonts w:hint="eastAsia" w:ascii="宋体" w:hAnsi="宋体" w:eastAsia="宋体" w:cs="宋体"/>
                <w:spacing w:val="-2"/>
                <w:sz w:val="18"/>
                <w:szCs w:val="18"/>
              </w:rPr>
              <w:t>28mm；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4.带不锈钢底座，可上翻；</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5.扶手表面使用抗老化、耐腐蚀耐火材料，能有效抑制大肠杆菌、金黄色葡萄球菌等细菌，扶手表面采用防滑浮点设计，厚度为0.5mm。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182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2"/>
                <w:sz w:val="18"/>
                <w:szCs w:val="18"/>
              </w:rPr>
              <w:drawing>
                <wp:inline distT="0" distB="0" distL="0" distR="0">
                  <wp:extent cx="1007110" cy="701040"/>
                  <wp:effectExtent l="0" t="0" r="2540" b="381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7"/>
                          <a:stretch>
                            <a:fillRect/>
                          </a:stretch>
                        </pic:blipFill>
                        <pic:spPr>
                          <a:xfrm>
                            <a:off x="0" y="0"/>
                            <a:ext cx="1007363" cy="70104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10"/>
                <w:sz w:val="18"/>
                <w:szCs w:val="18"/>
              </w:rPr>
              <w:t>L型扶</w:t>
            </w:r>
            <w:r>
              <w:rPr>
                <w:rFonts w:hint="eastAsia" w:ascii="宋体" w:hAnsi="宋体" w:eastAsia="宋体" w:cs="宋体"/>
                <w:spacing w:val="-6"/>
                <w:sz w:val="18"/>
                <w:szCs w:val="18"/>
              </w:rPr>
              <w:t>手（淋</w:t>
            </w:r>
            <w:r>
              <w:rPr>
                <w:rFonts w:hint="eastAsia" w:ascii="宋体" w:hAnsi="宋体" w:eastAsia="宋体" w:cs="宋体"/>
                <w:spacing w:val="-8"/>
                <w:sz w:val="18"/>
                <w:szCs w:val="18"/>
              </w:rPr>
              <w:t>浴扶</w:t>
            </w:r>
            <w:r>
              <w:rPr>
                <w:rFonts w:hint="eastAsia" w:ascii="宋体" w:hAnsi="宋体" w:eastAsia="宋体" w:cs="宋体"/>
                <w:spacing w:val="-9"/>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1.参考尺寸：600*400mm；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2"/>
                <w:sz w:val="18"/>
                <w:szCs w:val="18"/>
              </w:rPr>
              <w:t>2.外管材质：ABS材质或抗菌尼龙，直径35mm；</w:t>
            </w:r>
            <w:r>
              <w:rPr>
                <w:rFonts w:hint="eastAsia" w:ascii="宋体" w:hAnsi="宋体" w:eastAsia="宋体" w:cs="宋体"/>
                <w:spacing w:val="-3"/>
                <w:sz w:val="18"/>
                <w:szCs w:val="18"/>
              </w:rPr>
              <w:t>3.内管材质：铝合金或不锈钢内管，直径28mm；</w:t>
            </w:r>
            <w:r>
              <w:rPr>
                <w:rFonts w:hint="eastAsia" w:ascii="宋体" w:hAnsi="宋体" w:eastAsia="宋体" w:cs="宋体"/>
                <w:spacing w:val="-1"/>
                <w:sz w:val="18"/>
                <w:szCs w:val="18"/>
              </w:rPr>
              <w:t>4.扶手表面使用抗老化、耐腐蚀耐火材料，能有效抑制大肠杆菌、金黄色葡萄球菌等细菌，扶手表面采用防滑浮点设计，厚度为0.5mm。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55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1046480" cy="1010285"/>
                  <wp:effectExtent l="0" t="0" r="1270" b="1841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8"/>
                          <a:stretch>
                            <a:fillRect/>
                          </a:stretch>
                        </pic:blipFill>
                        <pic:spPr>
                          <a:xfrm>
                            <a:off x="0" y="0"/>
                            <a:ext cx="1046987" cy="10104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0"/>
                <w:sz w:val="18"/>
                <w:szCs w:val="18"/>
              </w:rPr>
              <w:t>135度</w:t>
            </w:r>
            <w:r>
              <w:rPr>
                <w:rFonts w:hint="eastAsia" w:ascii="宋体" w:hAnsi="宋体" w:eastAsia="宋体" w:cs="宋体"/>
                <w:spacing w:val="-8"/>
                <w:sz w:val="18"/>
                <w:szCs w:val="18"/>
              </w:rPr>
              <w:t>扶手</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（淋浴</w:t>
            </w:r>
            <w:r>
              <w:rPr>
                <w:rFonts w:hint="eastAsia" w:ascii="宋体" w:hAnsi="宋体" w:eastAsia="宋体" w:cs="宋体"/>
                <w:spacing w:val="-11"/>
                <w:sz w:val="18"/>
                <w:szCs w:val="18"/>
              </w:rPr>
              <w:t>扶手）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1.参考尺寸：450*450mm；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2.外管材质：ABS材质或抗菌尼龙，</w:t>
            </w:r>
            <w:r>
              <w:rPr>
                <w:rFonts w:hint="eastAsia" w:ascii="宋体" w:hAnsi="宋体" w:eastAsia="宋体" w:cs="宋体"/>
                <w:spacing w:val="-2"/>
                <w:sz w:val="18"/>
                <w:szCs w:val="18"/>
              </w:rPr>
              <w:t>直径</w:t>
            </w:r>
            <w:r>
              <w:rPr>
                <w:rFonts w:hint="eastAsia" w:ascii="宋体" w:hAnsi="宋体" w:eastAsia="宋体" w:cs="宋体"/>
                <w:spacing w:val="-3"/>
                <w:sz w:val="18"/>
                <w:szCs w:val="18"/>
              </w:rPr>
              <w:t>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3.内管材质：铝合金或不锈钢内管，直径</w:t>
            </w:r>
            <w:r>
              <w:rPr>
                <w:rFonts w:hint="eastAsia" w:ascii="宋体" w:hAnsi="宋体" w:eastAsia="宋体" w:cs="宋体"/>
                <w:spacing w:val="-2"/>
                <w:sz w:val="18"/>
                <w:szCs w:val="18"/>
              </w:rPr>
              <w:t>28mm；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4.扶手表面使用抗老化、耐腐蚀耐火材料，能有效抑制大肠杆菌、金黄色葡萄球菌等细菌，扶手表面采用防滑浮点设计，厚度为0.5mm。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5</w:t>
            </w:r>
            <w:r>
              <w:rPr>
                <w:rFonts w:hint="eastAsia" w:ascii="宋体" w:hAnsi="宋体" w:eastAsia="宋体" w:cs="宋体"/>
                <w:spacing w:val="-8"/>
                <w:sz w:val="18"/>
                <w:szCs w:val="18"/>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9"/>
                <w:sz w:val="18"/>
                <w:szCs w:val="18"/>
              </w:rPr>
              <w:drawing>
                <wp:inline distT="0" distB="0" distL="0" distR="0">
                  <wp:extent cx="952500" cy="6096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9"/>
                          <a:stretch>
                            <a:fillRect/>
                          </a:stretch>
                        </pic:blipFill>
                        <pic:spPr>
                          <a:xfrm>
                            <a:off x="0" y="0"/>
                            <a:ext cx="952500" cy="609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T形扶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1.参考尺寸：700*500mm；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2.外管材质：ABS材质或抗菌尼龙，</w:t>
            </w:r>
            <w:r>
              <w:rPr>
                <w:rFonts w:hint="eastAsia" w:ascii="宋体" w:hAnsi="宋体" w:eastAsia="宋体" w:cs="宋体"/>
                <w:spacing w:val="-2"/>
                <w:sz w:val="18"/>
                <w:szCs w:val="18"/>
              </w:rPr>
              <w:t>直径</w:t>
            </w:r>
            <w:r>
              <w:rPr>
                <w:rFonts w:hint="eastAsia" w:ascii="宋体" w:hAnsi="宋体" w:eastAsia="宋体" w:cs="宋体"/>
                <w:spacing w:val="-3"/>
                <w:sz w:val="18"/>
                <w:szCs w:val="18"/>
              </w:rPr>
              <w:t>35mm；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3.内管材质：铝合金或不锈钢内管，直径</w:t>
            </w:r>
            <w:r>
              <w:rPr>
                <w:rFonts w:hint="eastAsia" w:ascii="宋体" w:hAnsi="宋体" w:eastAsia="宋体" w:cs="宋体"/>
                <w:spacing w:val="-2"/>
                <w:sz w:val="18"/>
                <w:szCs w:val="18"/>
              </w:rPr>
              <w:t>28mm；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4.扶手表面使用抗老化、耐腐蚀耐火材料，能有效抑制大肠杆菌、金黄色葡萄球菌等细菌，扶手表面采用防滑浮点设计，厚度为0.5mm。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4"/>
                <w:sz w:val="18"/>
                <w:szCs w:val="18"/>
              </w:rPr>
              <w:t>2</w:t>
            </w:r>
            <w:r>
              <w:rPr>
                <w:rFonts w:hint="eastAsia" w:ascii="宋体" w:hAnsi="宋体" w:eastAsia="宋体" w:cs="宋体"/>
                <w:spacing w:val="-4"/>
                <w:sz w:val="18"/>
                <w:szCs w:val="18"/>
                <w:lang w:val="en-US" w:eastAsia="zh-CN"/>
              </w:rPr>
              <w:t>4</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8"/>
                <w:sz w:val="18"/>
                <w:szCs w:val="18"/>
              </w:rPr>
              <w:drawing>
                <wp:inline distT="0" distB="0" distL="0" distR="0">
                  <wp:extent cx="876300" cy="901700"/>
                  <wp:effectExtent l="0" t="0" r="0" b="1270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0"/>
                          <a:stretch>
                            <a:fillRect/>
                          </a:stretch>
                        </pic:blipFill>
                        <pic:spPr>
                          <a:xfrm>
                            <a:off x="0" y="0"/>
                            <a:ext cx="876300" cy="902208"/>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坐便器</w:t>
            </w:r>
            <w:r>
              <w:rPr>
                <w:rFonts w:hint="eastAsia" w:ascii="宋体" w:hAnsi="宋体" w:eastAsia="宋体" w:cs="宋体"/>
                <w:spacing w:val="-5"/>
                <w:sz w:val="18"/>
                <w:szCs w:val="18"/>
              </w:rPr>
              <w:t>助力扶</w:t>
            </w:r>
            <w:r>
              <w:rPr>
                <w:rFonts w:hint="eastAsia" w:ascii="宋体" w:hAnsi="宋体" w:eastAsia="宋体" w:cs="宋体"/>
                <w:sz w:val="18"/>
                <w:szCs w:val="18"/>
              </w:rPr>
              <w:t>手</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1.参考尺寸：宽670*纵深700*高550-670mm；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2.材质：扶手架主体为高强度碳钢管焊接而</w:t>
            </w:r>
            <w:r>
              <w:rPr>
                <w:rFonts w:hint="eastAsia" w:ascii="宋体" w:hAnsi="宋体" w:eastAsia="宋体" w:cs="宋体"/>
                <w:spacing w:val="-2"/>
                <w:sz w:val="18"/>
                <w:szCs w:val="18"/>
              </w:rPr>
              <w:t>成，整体白色烤漆处理；</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3.扶手盖为蓝色pp材质，表面防滑纹路；</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4.扶手高度5档调节：550-670mm；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5.前连接杆可调节角度，可贴合不同造型马</w:t>
            </w:r>
            <w:r>
              <w:rPr>
                <w:rFonts w:hint="eastAsia" w:ascii="宋体" w:hAnsi="宋体" w:eastAsia="宋体" w:cs="宋体"/>
                <w:spacing w:val="-4"/>
                <w:sz w:val="18"/>
                <w:szCs w:val="18"/>
              </w:rPr>
              <w:t>桶，夹角处设有高弹性无横切口NBR套管；</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6.扶手具有自动锁止开关，防止意外后翻，每</w:t>
            </w:r>
            <w:r>
              <w:rPr>
                <w:rFonts w:hint="eastAsia" w:ascii="宋体" w:hAnsi="宋体" w:eastAsia="宋体" w:cs="宋体"/>
                <w:spacing w:val="-2"/>
                <w:sz w:val="18"/>
                <w:szCs w:val="18"/>
              </w:rPr>
              <w:t>侧扶手承重可达80kg；</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7.底脚采用高强度钢板整体冲压成型，具有防</w:t>
            </w:r>
            <w:r>
              <w:rPr>
                <w:rFonts w:hint="eastAsia" w:ascii="宋体" w:hAnsi="宋体" w:eastAsia="宋体" w:cs="宋体"/>
                <w:spacing w:val="-2"/>
                <w:sz w:val="18"/>
                <w:szCs w:val="18"/>
              </w:rPr>
              <w:t>绊脚缓坡，底脚四周包围防滑橡胶条。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rPr>
            </w:pPr>
            <w:r>
              <w:rPr>
                <w:rFonts w:hint="eastAsia" w:ascii="宋体" w:hAnsi="宋体" w:eastAsia="宋体" w:cs="宋体"/>
                <w:spacing w:val="-4"/>
                <w:sz w:val="18"/>
                <w:szCs w:val="18"/>
                <w:lang w:val="en-US" w:eastAsia="zh-CN"/>
              </w:rPr>
              <w:t>390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1037590" cy="990600"/>
                  <wp:effectExtent l="0" t="0" r="1016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1"/>
                          <a:stretch>
                            <a:fillRect/>
                          </a:stretch>
                        </pic:blipFill>
                        <pic:spPr>
                          <a:xfrm>
                            <a:off x="0" y="0"/>
                            <a:ext cx="1037843" cy="990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一体式马桶扶</w:t>
            </w:r>
            <w:r>
              <w:rPr>
                <w:rFonts w:hint="eastAsia" w:ascii="宋体" w:hAnsi="宋体" w:eastAsia="宋体" w:cs="宋体"/>
                <w:spacing w:val="-8"/>
                <w:sz w:val="18"/>
                <w:szCs w:val="18"/>
              </w:rPr>
              <w:t>手架</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1、参考尺寸：宽570*纵深540*高650m</w:t>
            </w:r>
            <w:r>
              <w:rPr>
                <w:rFonts w:hint="eastAsia" w:ascii="宋体" w:hAnsi="宋体" w:eastAsia="宋体" w:cs="宋体"/>
                <w:spacing w:val="-3"/>
                <w:sz w:val="18"/>
                <w:szCs w:val="18"/>
              </w:rPr>
              <w:t>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2、材质：PP+碳钢+TPE；</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3、适配马桶缸体座高：370-440mm；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4、可上翻扶手结构方便用户起身、移位，扶手部位采用柔性防滑材质，提升用户舒适度；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5、体积轻巧，曲线设计，造型简洁，无需打孔安装，产品直接安装在坐便器与坐便器盖板之</w:t>
            </w:r>
            <w:r>
              <w:rPr>
                <w:rFonts w:hint="eastAsia" w:ascii="宋体" w:hAnsi="宋体" w:eastAsia="宋体" w:cs="宋体"/>
                <w:spacing w:val="-9"/>
                <w:sz w:val="18"/>
                <w:szCs w:val="18"/>
              </w:rPr>
              <w:t>间。</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200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7"/>
                <w:sz w:val="18"/>
                <w:szCs w:val="18"/>
              </w:rPr>
              <w:drawing>
                <wp:inline distT="0" distB="0" distL="0" distR="0">
                  <wp:extent cx="1008380" cy="1181100"/>
                  <wp:effectExtent l="0" t="0" r="127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2"/>
                          <a:stretch>
                            <a:fillRect/>
                          </a:stretch>
                        </pic:blipFill>
                        <pic:spPr>
                          <a:xfrm>
                            <a:off x="0" y="0"/>
                            <a:ext cx="1008888" cy="11811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淋浴改造</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抽拉水龙头改</w:t>
            </w:r>
            <w:r>
              <w:rPr>
                <w:rFonts w:hint="eastAsia" w:ascii="宋体" w:hAnsi="宋体" w:eastAsia="宋体" w:cs="宋体"/>
                <w:sz w:val="18"/>
                <w:szCs w:val="18"/>
              </w:rPr>
              <w:t>造</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1、拆除原有水龙头，并清理有关垃圾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2.水路改造至合适位置，304不锈钢进水软管。</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3.墙面粉平.安装新抽拉水龙头</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spacing w:val="-4"/>
                <w:sz w:val="18"/>
                <w:szCs w:val="18"/>
                <w:lang w:val="en-US" w:eastAsia="zh-CN"/>
              </w:rPr>
              <w:t>280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9"/>
                <w:sz w:val="18"/>
                <w:szCs w:val="18"/>
              </w:rPr>
              <w:drawing>
                <wp:inline distT="0" distB="0" distL="0" distR="0">
                  <wp:extent cx="876300" cy="618490"/>
                  <wp:effectExtent l="0" t="0" r="0" b="10160"/>
                  <wp:docPr id="85" name="IM 74"/>
                  <wp:cNvGraphicFramePr/>
                  <a:graphic xmlns:a="http://schemas.openxmlformats.org/drawingml/2006/main">
                    <a:graphicData uri="http://schemas.openxmlformats.org/drawingml/2006/picture">
                      <pic:pic xmlns:pic="http://schemas.openxmlformats.org/drawingml/2006/picture">
                        <pic:nvPicPr>
                          <pic:cNvPr id="85" name="IM 74"/>
                          <pic:cNvPicPr/>
                        </pic:nvPicPr>
                        <pic:blipFill>
                          <a:blip r:embed="rId43"/>
                          <a:stretch>
                            <a:fillRect/>
                          </a:stretch>
                        </pic:blipFill>
                        <pic:spPr>
                          <a:xfrm>
                            <a:off x="0" y="0"/>
                            <a:ext cx="876300" cy="618744"/>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更换淋浴花洒</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1.拆除原有淋浴花洒，并清理有关垃圾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2.水路改造至合适位置</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3.墙面粉平.安装新太阳花洒，手握花洒</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0"/>
                <w:sz w:val="18"/>
                <w:szCs w:val="18"/>
              </w:rPr>
            </w:pPr>
            <w:r>
              <w:rPr>
                <w:rFonts w:hint="eastAsia" w:ascii="宋体" w:hAnsi="宋体" w:eastAsia="宋体" w:cs="宋体"/>
                <w:spacing w:val="-3"/>
                <w:sz w:val="18"/>
                <w:szCs w:val="18"/>
              </w:rPr>
              <w:t>680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4"/>
                <w:sz w:val="18"/>
                <w:szCs w:val="18"/>
              </w:rPr>
              <w:drawing>
                <wp:inline distT="0" distB="0" distL="0" distR="0">
                  <wp:extent cx="627380" cy="781685"/>
                  <wp:effectExtent l="0" t="0" r="1270" b="18415"/>
                  <wp:docPr id="86" name="IM 76"/>
                  <wp:cNvGraphicFramePr/>
                  <a:graphic xmlns:a="http://schemas.openxmlformats.org/drawingml/2006/main">
                    <a:graphicData uri="http://schemas.openxmlformats.org/drawingml/2006/picture">
                      <pic:pic xmlns:pic="http://schemas.openxmlformats.org/drawingml/2006/picture">
                        <pic:nvPicPr>
                          <pic:cNvPr id="86" name="IM 76"/>
                          <pic:cNvPicPr/>
                        </pic:nvPicPr>
                        <pic:blipFill>
                          <a:blip r:embed="rId44"/>
                          <a:stretch>
                            <a:fillRect/>
                          </a:stretch>
                        </pic:blipFill>
                        <pic:spPr>
                          <a:xfrm>
                            <a:off x="0" y="0"/>
                            <a:ext cx="627888" cy="7818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配置淋浴椅</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辅助老年人洗澡用，避免老年人滑倒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折叠淋</w:t>
            </w:r>
            <w:r>
              <w:rPr>
                <w:rFonts w:hint="eastAsia" w:ascii="宋体" w:hAnsi="宋体" w:eastAsia="宋体" w:cs="宋体"/>
                <w:spacing w:val="-8"/>
                <w:sz w:val="18"/>
                <w:szCs w:val="18"/>
              </w:rPr>
              <w:t>浴椅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5"/>
                <w:sz w:val="18"/>
                <w:szCs w:val="18"/>
              </w:rPr>
            </w:pPr>
            <w:r>
              <w:rPr>
                <w:rFonts w:hint="eastAsia" w:ascii="宋体" w:hAnsi="宋体" w:eastAsia="宋体" w:cs="宋体"/>
                <w:spacing w:val="-5"/>
                <w:sz w:val="18"/>
                <w:szCs w:val="18"/>
              </w:rPr>
              <w:t>展开：宽5</w:t>
            </w:r>
            <w:r>
              <w:rPr>
                <w:rFonts w:hint="eastAsia" w:ascii="宋体" w:hAnsi="宋体" w:eastAsia="宋体" w:cs="宋体"/>
                <w:spacing w:val="-5"/>
                <w:sz w:val="18"/>
                <w:szCs w:val="18"/>
                <w:lang w:val="en-US" w:eastAsia="zh-CN"/>
              </w:rPr>
              <w:t>2</w:t>
            </w:r>
            <w:r>
              <w:rPr>
                <w:rFonts w:hint="eastAsia" w:ascii="宋体" w:hAnsi="宋体" w:eastAsia="宋体" w:cs="宋体"/>
                <w:spacing w:val="-5"/>
                <w:sz w:val="18"/>
                <w:szCs w:val="18"/>
              </w:rPr>
              <w:t>0</w:t>
            </w:r>
            <w:r>
              <w:rPr>
                <w:rFonts w:hint="eastAsia" w:ascii="宋体" w:hAnsi="宋体" w:eastAsia="宋体" w:cs="宋体"/>
                <w:spacing w:val="-5"/>
                <w:sz w:val="18"/>
                <w:szCs w:val="18"/>
                <w:lang w:val="en-US" w:eastAsia="zh-CN"/>
              </w:rPr>
              <w:t>mm</w:t>
            </w:r>
            <w:r>
              <w:rPr>
                <w:rFonts w:hint="eastAsia" w:ascii="宋体" w:hAnsi="宋体" w:eastAsia="宋体" w:cs="宋体"/>
                <w:spacing w:val="-5"/>
                <w:sz w:val="18"/>
                <w:szCs w:val="18"/>
              </w:rPr>
              <w:t>*纵深5</w:t>
            </w:r>
            <w:r>
              <w:rPr>
                <w:rFonts w:hint="eastAsia" w:ascii="宋体" w:hAnsi="宋体" w:eastAsia="宋体" w:cs="宋体"/>
                <w:spacing w:val="-5"/>
                <w:sz w:val="18"/>
                <w:szCs w:val="18"/>
                <w:lang w:val="en-US" w:eastAsia="zh-CN"/>
              </w:rPr>
              <w:t>4</w:t>
            </w:r>
            <w:r>
              <w:rPr>
                <w:rFonts w:hint="eastAsia" w:ascii="宋体" w:hAnsi="宋体" w:eastAsia="宋体" w:cs="宋体"/>
                <w:spacing w:val="-5"/>
                <w:sz w:val="18"/>
                <w:szCs w:val="18"/>
              </w:rPr>
              <w:t>0</w:t>
            </w:r>
            <w:r>
              <w:rPr>
                <w:rFonts w:hint="eastAsia" w:ascii="宋体" w:hAnsi="宋体" w:eastAsia="宋体" w:cs="宋体"/>
                <w:spacing w:val="-5"/>
                <w:sz w:val="18"/>
                <w:szCs w:val="18"/>
                <w:lang w:val="en-US" w:eastAsia="zh-CN"/>
              </w:rPr>
              <w:t>-</w:t>
            </w:r>
            <w:r>
              <w:rPr>
                <w:rFonts w:hint="eastAsia" w:ascii="宋体" w:hAnsi="宋体" w:eastAsia="宋体" w:cs="宋体"/>
                <w:spacing w:val="-5"/>
                <w:sz w:val="18"/>
                <w:szCs w:val="18"/>
              </w:rPr>
              <w:t>685</w:t>
            </w:r>
            <w:r>
              <w:rPr>
                <w:rFonts w:hint="eastAsia" w:ascii="宋体" w:hAnsi="宋体" w:eastAsia="宋体" w:cs="宋体"/>
                <w:spacing w:val="-5"/>
                <w:sz w:val="18"/>
                <w:szCs w:val="18"/>
                <w:lang w:val="en-US" w:eastAsia="zh-CN"/>
              </w:rPr>
              <w:t>mm</w:t>
            </w:r>
            <w:r>
              <w:rPr>
                <w:rFonts w:hint="eastAsia" w:ascii="宋体" w:hAnsi="宋体" w:eastAsia="宋体" w:cs="宋体"/>
                <w:spacing w:val="-5"/>
                <w:sz w:val="18"/>
                <w:szCs w:val="18"/>
              </w:rPr>
              <w:t>*高</w:t>
            </w:r>
            <w:r>
              <w:rPr>
                <w:rFonts w:hint="eastAsia" w:ascii="宋体" w:hAnsi="宋体" w:eastAsia="宋体" w:cs="宋体"/>
                <w:spacing w:val="-5"/>
                <w:sz w:val="18"/>
                <w:szCs w:val="18"/>
                <w:lang w:val="en-US" w:eastAsia="zh-CN"/>
              </w:rPr>
              <w:t>700-</w:t>
            </w:r>
            <w:r>
              <w:rPr>
                <w:rFonts w:hint="eastAsia" w:ascii="宋体" w:hAnsi="宋体" w:eastAsia="宋体" w:cs="宋体"/>
                <w:spacing w:val="-5"/>
                <w:sz w:val="18"/>
                <w:szCs w:val="18"/>
              </w:rPr>
              <w:t>845mm；</w:t>
            </w:r>
          </w:p>
          <w:p>
            <w:pPr>
              <w:pStyle w:val="7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2.折叠：宽5</w:t>
            </w:r>
            <w:r>
              <w:rPr>
                <w:rFonts w:hint="eastAsia" w:ascii="宋体" w:hAnsi="宋体" w:eastAsia="宋体" w:cs="宋体"/>
                <w:spacing w:val="-2"/>
                <w:sz w:val="18"/>
                <w:szCs w:val="18"/>
                <w:lang w:val="en-US" w:eastAsia="zh-CN"/>
              </w:rPr>
              <w:t>2</w:t>
            </w:r>
            <w:r>
              <w:rPr>
                <w:rFonts w:hint="eastAsia" w:ascii="宋体" w:hAnsi="宋体" w:eastAsia="宋体" w:cs="宋体"/>
                <w:spacing w:val="-2"/>
                <w:sz w:val="18"/>
                <w:szCs w:val="18"/>
              </w:rPr>
              <w:t>0*纵深</w:t>
            </w:r>
            <w:r>
              <w:rPr>
                <w:rFonts w:hint="eastAsia" w:ascii="宋体" w:hAnsi="宋体" w:eastAsia="宋体" w:cs="宋体"/>
                <w:spacing w:val="-2"/>
                <w:sz w:val="18"/>
                <w:szCs w:val="18"/>
                <w:lang w:val="en-US" w:eastAsia="zh-CN"/>
              </w:rPr>
              <w:t>22</w:t>
            </w:r>
            <w:r>
              <w:rPr>
                <w:rFonts w:hint="eastAsia" w:ascii="宋体" w:hAnsi="宋体" w:eastAsia="宋体" w:cs="宋体"/>
                <w:spacing w:val="-2"/>
                <w:sz w:val="18"/>
                <w:szCs w:val="18"/>
              </w:rPr>
              <w:t>0*高860</w:t>
            </w:r>
            <w:r>
              <w:rPr>
                <w:rFonts w:hint="eastAsia" w:ascii="宋体" w:hAnsi="宋体" w:eastAsia="宋体" w:cs="宋体"/>
                <w:spacing w:val="-2"/>
                <w:sz w:val="18"/>
                <w:szCs w:val="18"/>
                <w:lang w:val="en-US" w:eastAsia="zh-CN"/>
              </w:rPr>
              <w:t>-</w:t>
            </w:r>
            <w:r>
              <w:rPr>
                <w:rFonts w:hint="eastAsia" w:ascii="宋体" w:hAnsi="宋体" w:eastAsia="宋体" w:cs="宋体"/>
                <w:spacing w:val="-2"/>
                <w:sz w:val="18"/>
                <w:szCs w:val="18"/>
              </w:rPr>
              <w:t>990mm；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3.材质：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①椅架高强度铝合金，白色喷粉处理；</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②坐板背板为白色吹塑件PE材质；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③扶手盖主体为白色注塑件PP材质；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④扶手垫采用二次注塑工艺防滑TPE材质；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⑤坐垫、靠垫为高弹性EVA材质，可拆卸清洗；</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⑥脚垫为防霉防滑TPE材质。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4.座板高度六档调节：3</w:t>
            </w:r>
            <w:r>
              <w:rPr>
                <w:rFonts w:hint="eastAsia" w:ascii="宋体" w:hAnsi="宋体" w:eastAsia="宋体" w:cs="宋体"/>
                <w:spacing w:val="-1"/>
                <w:sz w:val="18"/>
                <w:szCs w:val="18"/>
                <w:lang w:val="en-US" w:eastAsia="zh-CN"/>
              </w:rPr>
              <w:t>5</w:t>
            </w:r>
            <w:r>
              <w:rPr>
                <w:rFonts w:hint="eastAsia" w:ascii="宋体" w:hAnsi="宋体" w:eastAsia="宋体" w:cs="宋体"/>
                <w:spacing w:val="-1"/>
                <w:sz w:val="18"/>
                <w:szCs w:val="18"/>
              </w:rPr>
              <w:t>0-</w:t>
            </w:r>
            <w:r>
              <w:rPr>
                <w:rFonts w:hint="eastAsia" w:ascii="宋体" w:hAnsi="宋体" w:eastAsia="宋体" w:cs="宋体"/>
                <w:spacing w:val="-1"/>
                <w:sz w:val="18"/>
                <w:szCs w:val="18"/>
                <w:lang w:val="en-US" w:eastAsia="zh-CN"/>
              </w:rPr>
              <w:t>45</w:t>
            </w:r>
            <w:r>
              <w:rPr>
                <w:rFonts w:hint="eastAsia" w:ascii="宋体" w:hAnsi="宋体" w:eastAsia="宋体" w:cs="宋体"/>
                <w:spacing w:val="-1"/>
                <w:sz w:val="18"/>
                <w:szCs w:val="18"/>
              </w:rPr>
              <w:t>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5.产品最小折叠厚度</w:t>
            </w:r>
            <w:r>
              <w:rPr>
                <w:rFonts w:hint="eastAsia" w:ascii="宋体" w:hAnsi="宋体" w:eastAsia="宋体" w:cs="宋体"/>
                <w:spacing w:val="-2"/>
                <w:sz w:val="18"/>
                <w:szCs w:val="18"/>
                <w:lang w:val="en-US" w:eastAsia="zh-CN"/>
              </w:rPr>
              <w:t>120-22</w:t>
            </w:r>
            <w:r>
              <w:rPr>
                <w:rFonts w:hint="eastAsia" w:ascii="宋体" w:hAnsi="宋体" w:eastAsia="宋体" w:cs="宋体"/>
                <w:spacing w:val="-2"/>
                <w:sz w:val="18"/>
                <w:szCs w:val="18"/>
              </w:rPr>
              <w:t>0mm，且无需靠墙也可平</w:t>
            </w:r>
            <w:r>
              <w:rPr>
                <w:rFonts w:hint="eastAsia" w:ascii="宋体" w:hAnsi="宋体" w:eastAsia="宋体" w:cs="宋体"/>
                <w:spacing w:val="-4"/>
                <w:sz w:val="18"/>
                <w:szCs w:val="18"/>
              </w:rPr>
              <w:t>稳站立；</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6.最大使用者体重：100kg。</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399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6"/>
                <w:sz w:val="18"/>
                <w:szCs w:val="18"/>
              </w:rPr>
              <w:drawing>
                <wp:inline distT="0" distB="0" distL="0" distR="0">
                  <wp:extent cx="999490" cy="1153160"/>
                  <wp:effectExtent l="0" t="0" r="10160" b="8890"/>
                  <wp:docPr id="95" name="IM 78"/>
                  <wp:cNvGraphicFramePr/>
                  <a:graphic xmlns:a="http://schemas.openxmlformats.org/drawingml/2006/main">
                    <a:graphicData uri="http://schemas.openxmlformats.org/drawingml/2006/picture">
                      <pic:pic xmlns:pic="http://schemas.openxmlformats.org/drawingml/2006/picture">
                        <pic:nvPicPr>
                          <pic:cNvPr id="95" name="IM 78"/>
                          <pic:cNvPicPr/>
                        </pic:nvPicPr>
                        <pic:blipFill>
                          <a:blip r:embed="rId45"/>
                          <a:stretch>
                            <a:fillRect/>
                          </a:stretch>
                        </pic:blipFill>
                        <pic:spPr>
                          <a:xfrm>
                            <a:off x="0" y="0"/>
                            <a:ext cx="999743" cy="11536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基础助</w:t>
            </w:r>
            <w:r>
              <w:rPr>
                <w:rFonts w:hint="eastAsia" w:ascii="宋体" w:hAnsi="宋体" w:eastAsia="宋体" w:cs="宋体"/>
                <w:spacing w:val="-8"/>
                <w:sz w:val="18"/>
                <w:szCs w:val="18"/>
              </w:rPr>
              <w:t>浴椅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1.材质：铝合金；</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2.尺寸：总高660～790mm（6档可调</w:t>
            </w:r>
            <w:r>
              <w:rPr>
                <w:rFonts w:hint="eastAsia" w:ascii="宋体" w:hAnsi="宋体" w:eastAsia="宋体" w:cs="宋体"/>
                <w:spacing w:val="19"/>
                <w:sz w:val="18"/>
                <w:szCs w:val="18"/>
              </w:rPr>
              <w:t>），</w:t>
            </w:r>
            <w:r>
              <w:rPr>
                <w:rFonts w:hint="eastAsia" w:ascii="宋体" w:hAnsi="宋体" w:eastAsia="宋体" w:cs="宋体"/>
                <w:spacing w:val="-3"/>
                <w:sz w:val="18"/>
                <w:szCs w:val="18"/>
              </w:rPr>
              <w:t>总长</w:t>
            </w:r>
            <w:r>
              <w:rPr>
                <w:rFonts w:hint="eastAsia" w:ascii="宋体" w:hAnsi="宋体" w:eastAsia="宋体" w:cs="宋体"/>
                <w:spacing w:val="-2"/>
                <w:sz w:val="18"/>
                <w:szCs w:val="18"/>
              </w:rPr>
              <w:t>430mm，总宽550mm，地面到坐板：370～</w:t>
            </w:r>
            <w:r>
              <w:rPr>
                <w:rFonts w:hint="eastAsia" w:ascii="宋体" w:hAnsi="宋体" w:eastAsia="宋体" w:cs="宋体"/>
                <w:spacing w:val="-3"/>
                <w:sz w:val="18"/>
                <w:szCs w:val="18"/>
              </w:rPr>
              <w:t>490mm，</w:t>
            </w:r>
            <w:r>
              <w:rPr>
                <w:rFonts w:hint="eastAsia" w:ascii="宋体" w:hAnsi="宋体" w:eastAsia="宋体" w:cs="宋体"/>
                <w:sz w:val="18"/>
                <w:szCs w:val="18"/>
              </w:rPr>
              <w:t>地面到扶手：550～680mm，扶手靠</w:t>
            </w:r>
            <w:r>
              <w:rPr>
                <w:rFonts w:hint="eastAsia" w:ascii="宋体" w:hAnsi="宋体" w:eastAsia="宋体" w:cs="宋体"/>
                <w:spacing w:val="-1"/>
                <w:sz w:val="18"/>
                <w:szCs w:val="18"/>
              </w:rPr>
              <w:t>背可拆卸。</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4"/>
                <w:sz w:val="18"/>
                <w:szCs w:val="18"/>
              </w:rPr>
              <w:t>3</w:t>
            </w:r>
            <w:r>
              <w:rPr>
                <w:rFonts w:hint="eastAsia" w:ascii="宋体" w:hAnsi="宋体" w:eastAsia="宋体" w:cs="宋体"/>
                <w:spacing w:val="-4"/>
                <w:sz w:val="18"/>
                <w:szCs w:val="18"/>
                <w:lang w:val="en-US" w:eastAsia="zh-CN"/>
              </w:rPr>
              <w:t>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4"/>
                <w:sz w:val="18"/>
                <w:szCs w:val="18"/>
              </w:rPr>
              <w:drawing>
                <wp:inline distT="0" distB="0" distL="0" distR="0">
                  <wp:extent cx="903605" cy="1104900"/>
                  <wp:effectExtent l="0" t="0" r="10795" b="0"/>
                  <wp:docPr id="87" name="IM 80"/>
                  <wp:cNvGraphicFramePr/>
                  <a:graphic xmlns:a="http://schemas.openxmlformats.org/drawingml/2006/main">
                    <a:graphicData uri="http://schemas.openxmlformats.org/drawingml/2006/picture">
                      <pic:pic xmlns:pic="http://schemas.openxmlformats.org/drawingml/2006/picture">
                        <pic:nvPicPr>
                          <pic:cNvPr id="87" name="IM 80"/>
                          <pic:cNvPicPr/>
                        </pic:nvPicPr>
                        <pic:blipFill>
                          <a:blip r:embed="rId46"/>
                          <a:stretch>
                            <a:fillRect/>
                          </a:stretch>
                        </pic:blipFill>
                        <pic:spPr>
                          <a:xfrm>
                            <a:off x="0" y="0"/>
                            <a:ext cx="903731" cy="11049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轮式助</w:t>
            </w:r>
            <w:r>
              <w:rPr>
                <w:rFonts w:hint="eastAsia" w:ascii="宋体" w:hAnsi="宋体" w:eastAsia="宋体" w:cs="宋体"/>
                <w:spacing w:val="-8"/>
                <w:sz w:val="18"/>
                <w:szCs w:val="18"/>
              </w:rPr>
              <w:t>浴椅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rPr>
              <w:t>1</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椅架采用加厚铝合金材质，表面雾银氧化处理，洗澡坐便室内轮椅三合一；</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rPr>
              <w:t>2</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10cm直径万向静音轮，四轮独立刹车；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3.</w:t>
            </w:r>
            <w:r>
              <w:rPr>
                <w:rFonts w:hint="eastAsia" w:ascii="宋体" w:hAnsi="宋体" w:eastAsia="宋体" w:cs="宋体"/>
                <w:spacing w:val="-2"/>
                <w:sz w:val="18"/>
                <w:szCs w:val="18"/>
              </w:rPr>
              <w:t>便桶采用HD-PE工程塑料，拆装方便、易清洁，便桶可上提可后抽；</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4.</w:t>
            </w:r>
            <w:r>
              <w:rPr>
                <w:rFonts w:hint="eastAsia" w:ascii="宋体" w:hAnsi="宋体" w:eastAsia="宋体" w:cs="宋体"/>
                <w:spacing w:val="-2"/>
                <w:sz w:val="18"/>
                <w:szCs w:val="18"/>
              </w:rPr>
              <w:t>坐板为pu皮质球拍型软座，pu皮质靠背；</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5.</w:t>
            </w:r>
            <w:r>
              <w:rPr>
                <w:rFonts w:hint="eastAsia" w:ascii="宋体" w:hAnsi="宋体" w:eastAsia="宋体" w:cs="宋体"/>
                <w:spacing w:val="-2"/>
                <w:sz w:val="18"/>
                <w:szCs w:val="18"/>
              </w:rPr>
              <w:t>扶手为优质ABS材质防滑扶手，扶手下方配备纸巾支架，拿取方便；</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6.</w:t>
            </w:r>
            <w:r>
              <w:rPr>
                <w:rFonts w:hint="eastAsia" w:ascii="宋体" w:hAnsi="宋体" w:eastAsia="宋体" w:cs="宋体"/>
                <w:spacing w:val="-2"/>
                <w:sz w:val="18"/>
                <w:szCs w:val="18"/>
              </w:rPr>
              <w:t>双侧加强双横杆设计，稳固不摇晃。</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7.</w:t>
            </w:r>
            <w:r>
              <w:rPr>
                <w:rFonts w:hint="eastAsia" w:ascii="宋体" w:hAnsi="宋体" w:eastAsia="宋体" w:cs="宋体"/>
                <w:spacing w:val="-2"/>
                <w:sz w:val="18"/>
                <w:szCs w:val="18"/>
              </w:rPr>
              <w:t>防前倾脚踏，可单个/整体翻折。</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8.</w:t>
            </w:r>
            <w:r>
              <w:rPr>
                <w:rFonts w:hint="eastAsia" w:ascii="宋体" w:hAnsi="宋体" w:eastAsia="宋体" w:cs="宋体"/>
                <w:spacing w:val="-2"/>
                <w:sz w:val="18"/>
                <w:szCs w:val="18"/>
              </w:rPr>
              <w:t>PE吹塑弧形靠背，双握把推手。</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9.</w:t>
            </w:r>
            <w:r>
              <w:rPr>
                <w:rFonts w:hint="eastAsia" w:ascii="宋体" w:hAnsi="宋体" w:eastAsia="宋体" w:cs="宋体"/>
                <w:spacing w:val="-2"/>
                <w:sz w:val="18"/>
                <w:szCs w:val="18"/>
              </w:rPr>
              <w:t>整体高度3档可调，总高91-96cm，宽度≥58cm，长度≥79cm，坐高50-55cm。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lang w:val="en-US" w:eastAsia="zh-CN"/>
              </w:rPr>
              <w:t>10.</w:t>
            </w:r>
            <w:r>
              <w:rPr>
                <w:rFonts w:hint="eastAsia" w:ascii="宋体" w:hAnsi="宋体" w:eastAsia="宋体" w:cs="宋体"/>
                <w:spacing w:val="-2"/>
                <w:sz w:val="18"/>
                <w:szCs w:val="18"/>
              </w:rPr>
              <w:t>可折叠，方便收纳。</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560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1"/>
                <w:sz w:val="18"/>
                <w:szCs w:val="18"/>
              </w:rPr>
              <w:drawing>
                <wp:inline distT="0" distB="0" distL="0" distR="0">
                  <wp:extent cx="970280" cy="990600"/>
                  <wp:effectExtent l="0" t="0" r="1270" b="0"/>
                  <wp:docPr id="88" name="IM 82"/>
                  <wp:cNvGraphicFramePr/>
                  <a:graphic xmlns:a="http://schemas.openxmlformats.org/drawingml/2006/main">
                    <a:graphicData uri="http://schemas.openxmlformats.org/drawingml/2006/picture">
                      <pic:pic xmlns:pic="http://schemas.openxmlformats.org/drawingml/2006/picture">
                        <pic:nvPicPr>
                          <pic:cNvPr id="88" name="IM 82"/>
                          <pic:cNvPicPr/>
                        </pic:nvPicPr>
                        <pic:blipFill>
                          <a:blip r:embed="rId47"/>
                          <a:stretch>
                            <a:fillRect/>
                          </a:stretch>
                        </pic:blipFill>
                        <pic:spPr>
                          <a:xfrm>
                            <a:off x="0" y="0"/>
                            <a:ext cx="970788" cy="990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助浴椅（带便</w:t>
            </w:r>
            <w:r>
              <w:rPr>
                <w:rFonts w:hint="eastAsia" w:ascii="宋体" w:hAnsi="宋体" w:eastAsia="宋体" w:cs="宋体"/>
                <w:spacing w:val="-8"/>
                <w:sz w:val="18"/>
                <w:szCs w:val="18"/>
              </w:rPr>
              <w:t>盆）</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1</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采用6063T5加强铝合金管材，壁厚1.2mm，表面雾银氧化工艺；</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2</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一体成型PE吹塑座板，加厚可粘贴防寒垫；</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3</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5档高度可调，宽58cm，长53cm，总高73-83cm，坐高39-49cm，座深37cm，座宽48cm；折叠后高73cm，宽58cm，长15cm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4</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一体式PE吹塑靠背；</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5</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高强度一体成型尼龙扶手，双安全折叠锁扣；</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6</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加大盾牌形防滑脚垫，304不锈钢螺丝；</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7</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一键折叠，开箱即用免安装，无障碍设计。</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8</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可拆卸便桶。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3"/>
                <w:sz w:val="18"/>
                <w:szCs w:val="18"/>
                <w:lang w:val="en-US" w:eastAsia="zh-CN"/>
              </w:rPr>
            </w:pPr>
            <w:r>
              <w:rPr>
                <w:rFonts w:hint="eastAsia" w:ascii="宋体" w:hAnsi="宋体" w:eastAsia="宋体" w:cs="宋体"/>
                <w:spacing w:val="-4"/>
                <w:sz w:val="18"/>
                <w:szCs w:val="18"/>
                <w:lang w:val="en-US" w:eastAsia="zh-CN"/>
              </w:rPr>
              <w:t>320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8"/>
                <w:sz w:val="18"/>
                <w:szCs w:val="18"/>
              </w:rPr>
              <w:drawing>
                <wp:inline distT="0" distB="0" distL="0" distR="0">
                  <wp:extent cx="961390" cy="1229360"/>
                  <wp:effectExtent l="0" t="0" r="10160" b="8890"/>
                  <wp:docPr id="89" name="IM 84"/>
                  <wp:cNvGraphicFramePr/>
                  <a:graphic xmlns:a="http://schemas.openxmlformats.org/drawingml/2006/main">
                    <a:graphicData uri="http://schemas.openxmlformats.org/drawingml/2006/picture">
                      <pic:pic xmlns:pic="http://schemas.openxmlformats.org/drawingml/2006/picture">
                        <pic:nvPicPr>
                          <pic:cNvPr id="89" name="IM 84"/>
                          <pic:cNvPicPr/>
                        </pic:nvPicPr>
                        <pic:blipFill>
                          <a:blip r:embed="rId48"/>
                          <a:stretch>
                            <a:fillRect/>
                          </a:stretch>
                        </pic:blipFill>
                        <pic:spPr>
                          <a:xfrm>
                            <a:off x="0" y="0"/>
                            <a:ext cx="961643" cy="12298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蹲便器改坐便器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蹲便改</w:t>
            </w:r>
            <w:r>
              <w:rPr>
                <w:rFonts w:hint="eastAsia" w:ascii="宋体" w:hAnsi="宋体" w:eastAsia="宋体" w:cs="宋体"/>
                <w:spacing w:val="-9"/>
                <w:sz w:val="18"/>
                <w:szCs w:val="18"/>
              </w:rPr>
              <w:t>马桶</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1.拆除原有蹲便器，并清理建筑垃圾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2.水路改造至合适位置</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3.地面粉平，安装新坐便器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6"/>
                <w:sz w:val="18"/>
                <w:szCs w:val="18"/>
                <w:lang w:val="en-US" w:eastAsia="zh-CN"/>
              </w:rPr>
              <w:t>950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1"/>
                <w:sz w:val="18"/>
                <w:szCs w:val="18"/>
              </w:rPr>
              <w:drawing>
                <wp:inline distT="0" distB="0" distL="0" distR="0">
                  <wp:extent cx="952500" cy="990600"/>
                  <wp:effectExtent l="0" t="0" r="0" b="0"/>
                  <wp:docPr id="92" name="IM 88"/>
                  <wp:cNvGraphicFramePr/>
                  <a:graphic xmlns:a="http://schemas.openxmlformats.org/drawingml/2006/main">
                    <a:graphicData uri="http://schemas.openxmlformats.org/drawingml/2006/picture">
                      <pic:pic xmlns:pic="http://schemas.openxmlformats.org/drawingml/2006/picture">
                        <pic:nvPicPr>
                          <pic:cNvPr id="92" name="IM 88"/>
                          <pic:cNvPicPr/>
                        </pic:nvPicPr>
                        <pic:blipFill>
                          <a:blip r:embed="rId49"/>
                          <a:stretch>
                            <a:fillRect/>
                          </a:stretch>
                        </pic:blipFill>
                        <pic:spPr>
                          <a:xfrm>
                            <a:off x="0" y="0"/>
                            <a:ext cx="952500" cy="990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消除蹲</w:t>
            </w:r>
            <w:r>
              <w:rPr>
                <w:rFonts w:hint="eastAsia" w:ascii="宋体" w:hAnsi="宋体" w:eastAsia="宋体" w:cs="宋体"/>
                <w:spacing w:val="-6"/>
                <w:sz w:val="18"/>
                <w:szCs w:val="18"/>
              </w:rPr>
              <w:t>便高低</w:t>
            </w:r>
            <w:r>
              <w:rPr>
                <w:rFonts w:hint="eastAsia" w:ascii="宋体" w:hAnsi="宋体" w:eastAsia="宋体" w:cs="宋体"/>
                <w:sz w:val="18"/>
                <w:szCs w:val="18"/>
              </w:rPr>
              <w:t>差</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1.拆除原有蹲便器抬高地面，并清理建筑垃圾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2.水路改造至合适位置</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3.地面粉平.防水处理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4.地面铺贴近色瓷砖</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6"/>
                <w:sz w:val="18"/>
                <w:szCs w:val="18"/>
                <w:lang w:val="en-US" w:eastAsia="zh-CN"/>
              </w:rPr>
              <w:t>950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1"/>
                <w:sz w:val="18"/>
                <w:szCs w:val="18"/>
              </w:rPr>
              <w:drawing>
                <wp:inline distT="0" distB="0" distL="0" distR="0">
                  <wp:extent cx="999490" cy="990600"/>
                  <wp:effectExtent l="0" t="0" r="1016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50"/>
                          <a:stretch>
                            <a:fillRect/>
                          </a:stretch>
                        </pic:blipFill>
                        <pic:spPr>
                          <a:xfrm>
                            <a:off x="0" y="0"/>
                            <a:ext cx="999744" cy="9906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坐便器</w:t>
            </w:r>
            <w:r>
              <w:rPr>
                <w:rFonts w:hint="eastAsia" w:ascii="宋体" w:hAnsi="宋体" w:eastAsia="宋体" w:cs="宋体"/>
                <w:spacing w:val="-8"/>
                <w:sz w:val="18"/>
                <w:szCs w:val="18"/>
              </w:rPr>
              <w:t>更换</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1.拆除原有老旧.损坏坐便器，并清理建筑垃圾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2.水路改造至合适位置</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3.安装新坐便器，做好密封处理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6"/>
                <w:sz w:val="18"/>
                <w:szCs w:val="18"/>
                <w:lang w:val="en-US" w:eastAsia="zh-CN"/>
              </w:rPr>
              <w:t>800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30"/>
                <w:sz w:val="18"/>
                <w:szCs w:val="18"/>
              </w:rPr>
              <w:drawing>
                <wp:inline distT="0" distB="0" distL="0" distR="0">
                  <wp:extent cx="932180" cy="981075"/>
                  <wp:effectExtent l="0" t="0" r="1270" b="9525"/>
                  <wp:docPr id="93" name="IM 92"/>
                  <wp:cNvGraphicFramePr/>
                  <a:graphic xmlns:a="http://schemas.openxmlformats.org/drawingml/2006/main">
                    <a:graphicData uri="http://schemas.openxmlformats.org/drawingml/2006/picture">
                      <pic:pic xmlns:pic="http://schemas.openxmlformats.org/drawingml/2006/picture">
                        <pic:nvPicPr>
                          <pic:cNvPr id="93" name="IM 92"/>
                          <pic:cNvPicPr/>
                        </pic:nvPicPr>
                        <pic:blipFill>
                          <a:blip r:embed="rId51"/>
                          <a:stretch>
                            <a:fillRect/>
                          </a:stretch>
                        </pic:blipFill>
                        <pic:spPr>
                          <a:xfrm>
                            <a:off x="0" y="0"/>
                            <a:ext cx="932688" cy="9814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eastAsia="zh-CN"/>
              </w:rPr>
            </w:pPr>
            <w:r>
              <w:rPr>
                <w:rFonts w:hint="eastAsia" w:ascii="宋体" w:hAnsi="宋体" w:eastAsia="宋体" w:cs="宋体"/>
                <w:spacing w:val="-7"/>
                <w:sz w:val="18"/>
                <w:szCs w:val="18"/>
              </w:rPr>
              <w:t>坐便</w:t>
            </w:r>
            <w:r>
              <w:rPr>
                <w:rFonts w:hint="eastAsia" w:ascii="宋体" w:hAnsi="宋体" w:eastAsia="宋体" w:cs="宋体"/>
                <w:spacing w:val="-7"/>
                <w:sz w:val="18"/>
                <w:szCs w:val="18"/>
                <w:lang w:val="en-US" w:eastAsia="zh-CN"/>
              </w:rPr>
              <w:t>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坐便椅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1.参考尺寸</w:t>
            </w:r>
            <w:r>
              <w:rPr>
                <w:rFonts w:hint="eastAsia" w:ascii="宋体" w:hAnsi="宋体" w:eastAsia="宋体" w:cs="宋体"/>
                <w:spacing w:val="-13"/>
                <w:sz w:val="18"/>
                <w:szCs w:val="18"/>
              </w:rPr>
              <w:t>：（</w:t>
            </w:r>
            <w:r>
              <w:rPr>
                <w:rFonts w:hint="eastAsia" w:ascii="宋体" w:hAnsi="宋体" w:eastAsia="宋体" w:cs="宋体"/>
                <w:sz w:val="18"/>
                <w:szCs w:val="18"/>
              </w:rPr>
              <w:t>760-840）*400*530mm(±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50mm</w:t>
            </w:r>
            <w:r>
              <w:rPr>
                <w:rFonts w:hint="eastAsia" w:ascii="宋体" w:hAnsi="宋体" w:eastAsia="宋体" w:cs="宋体"/>
                <w:sz w:val="18"/>
                <w:szCs w:val="18"/>
              </w:rPr>
              <w:t>）；</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2.材质：加厚钢管，吹塑双盖板；</w:t>
            </w:r>
            <w:r>
              <w:rPr>
                <w:rFonts w:hint="eastAsia" w:ascii="宋体" w:hAnsi="宋体" w:eastAsia="宋体" w:cs="宋体"/>
                <w:spacing w:val="-1"/>
                <w:sz w:val="18"/>
                <w:szCs w:val="18"/>
              </w:rPr>
              <w:t>3.坐宽：400mm(±20mm）。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w:t>
            </w:r>
            <w:r>
              <w:rPr>
                <w:rFonts w:hint="eastAsia" w:ascii="宋体" w:hAnsi="宋体" w:eastAsia="宋体" w:cs="宋体"/>
                <w:spacing w:val="-4"/>
                <w:sz w:val="18"/>
                <w:szCs w:val="18"/>
                <w:lang w:val="en-US" w:eastAsia="zh-CN"/>
              </w:rPr>
              <w:t>9</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position w:val="-25"/>
                <w:sz w:val="18"/>
                <w:szCs w:val="18"/>
              </w:rPr>
              <w:drawing>
                <wp:inline distT="0" distB="0" distL="0" distR="0">
                  <wp:extent cx="961390" cy="800100"/>
                  <wp:effectExtent l="0" t="0" r="1016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2"/>
                          <a:stretch>
                            <a:fillRect/>
                          </a:stretch>
                        </pic:blipFill>
                        <pic:spPr>
                          <a:xfrm>
                            <a:off x="0" y="0"/>
                            <a:ext cx="961643" cy="8001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移动坐</w:t>
            </w:r>
            <w:r>
              <w:rPr>
                <w:rFonts w:hint="eastAsia" w:ascii="宋体" w:hAnsi="宋体" w:eastAsia="宋体" w:cs="宋体"/>
                <w:spacing w:val="-7"/>
                <w:sz w:val="18"/>
                <w:szCs w:val="18"/>
              </w:rPr>
              <w:t>便宝</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1.材质：安全PP、PU软垫；</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2.实心内桶可拆卸，两边扶手可拆装；</w:t>
            </w:r>
            <w:r>
              <w:rPr>
                <w:rFonts w:hint="eastAsia" w:ascii="宋体" w:hAnsi="宋体" w:eastAsia="宋体" w:cs="宋体"/>
                <w:spacing w:val="-2"/>
                <w:sz w:val="18"/>
                <w:szCs w:val="18"/>
              </w:rPr>
              <w:t>3.高度可调节。</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w:t>
            </w:r>
            <w:r>
              <w:rPr>
                <w:rFonts w:hint="eastAsia" w:ascii="宋体" w:hAnsi="宋体" w:eastAsia="宋体" w:cs="宋体"/>
                <w:spacing w:val="-2"/>
                <w:sz w:val="18"/>
                <w:szCs w:val="18"/>
                <w:lang w:val="en-US" w:eastAsia="zh-CN"/>
              </w:rPr>
              <w:t>8</w:t>
            </w:r>
            <w:r>
              <w:rPr>
                <w:rFonts w:hint="eastAsia" w:ascii="宋体" w:hAnsi="宋体" w:eastAsia="宋体" w:cs="宋体"/>
                <w:spacing w:val="-2"/>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position w:val="-24"/>
                <w:sz w:val="18"/>
                <w:szCs w:val="18"/>
              </w:rPr>
            </w:pPr>
            <w:r>
              <w:rPr>
                <w:rFonts w:hint="eastAsia" w:ascii="宋体" w:hAnsi="宋体" w:eastAsia="宋体" w:cs="宋体"/>
                <w:sz w:val="18"/>
                <w:szCs w:val="18"/>
              </w:rPr>
              <w:drawing>
                <wp:inline distT="0" distB="0" distL="114300" distR="114300">
                  <wp:extent cx="812165" cy="764540"/>
                  <wp:effectExtent l="0" t="0" r="6985" b="165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3"/>
                          <a:stretch>
                            <a:fillRect/>
                          </a:stretch>
                        </pic:blipFill>
                        <pic:spPr>
                          <a:xfrm>
                            <a:off x="0" y="0"/>
                            <a:ext cx="812165" cy="7645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物理环境改造</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灯源改造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安装自动感应灯，辅助老年人起夜使用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7"/>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感应地</w:t>
            </w:r>
            <w:r>
              <w:rPr>
                <w:rFonts w:hint="eastAsia" w:ascii="宋体" w:hAnsi="宋体" w:eastAsia="宋体" w:cs="宋体"/>
                <w:sz w:val="18"/>
                <w:szCs w:val="18"/>
              </w:rPr>
              <w:t>灯</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选取合理位置，接线正确；</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感应距离是正面100度，3米以内，天黑的时</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候，走到它的感应范围，就自动亮起，人离开感</w:t>
            </w:r>
            <w:r>
              <w:rPr>
                <w:rFonts w:hint="eastAsia" w:ascii="宋体" w:hAnsi="宋体" w:eastAsia="宋体" w:cs="宋体"/>
                <w:spacing w:val="-4"/>
                <w:sz w:val="18"/>
                <w:szCs w:val="18"/>
              </w:rPr>
              <w:t>应范围，25秒正负5秒自动熄灭；</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6"/>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6"/>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2"/>
                <w:sz w:val="18"/>
                <w:szCs w:val="18"/>
                <w:lang w:val="en-US" w:eastAsia="zh-CN"/>
              </w:rPr>
            </w:pPr>
            <w:r>
              <w:rPr>
                <w:rFonts w:hint="eastAsia" w:ascii="宋体" w:hAnsi="宋体" w:eastAsia="宋体" w:cs="宋体"/>
                <w:spacing w:val="-6"/>
                <w:sz w:val="18"/>
                <w:szCs w:val="18"/>
                <w:lang w:val="en-US" w:eastAsia="zh-CN"/>
              </w:rPr>
              <w:t>85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6"/>
                <w:sz w:val="18"/>
                <w:szCs w:val="18"/>
              </w:rPr>
              <w:drawing>
                <wp:inline distT="0" distB="0" distL="0" distR="0">
                  <wp:extent cx="952500" cy="828675"/>
                  <wp:effectExtent l="0" t="0" r="0" b="9525"/>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54"/>
                          <a:stretch>
                            <a:fillRect/>
                          </a:stretch>
                        </pic:blipFill>
                        <pic:spPr>
                          <a:xfrm>
                            <a:off x="0" y="0"/>
                            <a:ext cx="952500" cy="8290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更换灯具，方便老人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更换灯</w:t>
            </w:r>
            <w:r>
              <w:rPr>
                <w:rFonts w:hint="eastAsia" w:ascii="宋体" w:hAnsi="宋体" w:eastAsia="宋体" w:cs="宋体"/>
                <w:sz w:val="18"/>
                <w:szCs w:val="18"/>
              </w:rPr>
              <w:t>具</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1.拆除原有灯具，采用LED光源，高透光</w:t>
            </w:r>
            <w:r>
              <w:rPr>
                <w:rFonts w:hint="eastAsia" w:ascii="宋体" w:hAnsi="宋体" w:eastAsia="宋体" w:cs="宋体"/>
                <w:spacing w:val="-3"/>
                <w:sz w:val="18"/>
                <w:szCs w:val="18"/>
              </w:rPr>
              <w:t>，光源</w:t>
            </w:r>
            <w:r>
              <w:rPr>
                <w:rFonts w:hint="eastAsia" w:ascii="宋体" w:hAnsi="宋体" w:eastAsia="宋体" w:cs="宋体"/>
                <w:spacing w:val="-2"/>
                <w:sz w:val="18"/>
                <w:szCs w:val="18"/>
              </w:rPr>
              <w:t>均匀柔和不刺眼；</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2.LED灯珠，亮度持久寿命长；</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3.灯体采用橡胶密封条增加密封性，可有效防止</w:t>
            </w:r>
            <w:r>
              <w:rPr>
                <w:rFonts w:hint="eastAsia" w:ascii="宋体" w:hAnsi="宋体" w:eastAsia="宋体" w:cs="宋体"/>
                <w:spacing w:val="-3"/>
                <w:sz w:val="18"/>
                <w:szCs w:val="18"/>
              </w:rPr>
              <w:t>灰尘蚊虫进入；</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4.外观简约大方，适配多种场景。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2"/>
                <w:sz w:val="18"/>
                <w:szCs w:val="18"/>
                <w:lang w:val="en-US" w:eastAsia="zh-CN"/>
              </w:rPr>
            </w:pPr>
            <w:r>
              <w:rPr>
                <w:rFonts w:hint="eastAsia" w:ascii="宋体" w:hAnsi="宋体" w:eastAsia="宋体" w:cs="宋体"/>
                <w:spacing w:val="-8"/>
                <w:sz w:val="18"/>
                <w:szCs w:val="18"/>
                <w:lang w:val="en-US" w:eastAsia="zh-CN"/>
              </w:rPr>
              <w:t>95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1"/>
                <w:sz w:val="18"/>
                <w:szCs w:val="18"/>
              </w:rPr>
              <w:drawing>
                <wp:inline distT="0" distB="0" distL="0" distR="0">
                  <wp:extent cx="903605" cy="685800"/>
                  <wp:effectExtent l="0" t="0" r="10795"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55"/>
                          <a:stretch>
                            <a:fillRect/>
                          </a:stretch>
                        </pic:blipFill>
                        <pic:spPr>
                          <a:xfrm>
                            <a:off x="0" y="0"/>
                            <a:ext cx="903731" cy="6858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电源插座及开关改造</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根据情况进行高/低位、大面板、夜间指示改造，方便老年人使用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开关插</w:t>
            </w:r>
            <w:r>
              <w:rPr>
                <w:rFonts w:hint="eastAsia" w:ascii="宋体" w:hAnsi="宋体" w:eastAsia="宋体" w:cs="宋体"/>
                <w:spacing w:val="-6"/>
                <w:sz w:val="18"/>
                <w:szCs w:val="18"/>
              </w:rPr>
              <w:t>座改造</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1.配合电气线路改造，根据电路改造标准，实现灯具门边和床头双控，方便老人起居；</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2.参考尺寸：86盒型，86*86*25mm；</w:t>
            </w:r>
            <w:r>
              <w:rPr>
                <w:rFonts w:hint="eastAsia" w:ascii="宋体" w:hAnsi="宋体" w:eastAsia="宋体" w:cs="宋体"/>
                <w:spacing w:val="-2"/>
                <w:sz w:val="18"/>
                <w:szCs w:val="18"/>
              </w:rPr>
              <w:t>3.明盒安装。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2"/>
                <w:sz w:val="18"/>
                <w:szCs w:val="18"/>
                <w:lang w:val="en-US" w:eastAsia="zh-CN"/>
              </w:rPr>
            </w:pPr>
            <w:r>
              <w:rPr>
                <w:rFonts w:hint="eastAsia" w:ascii="宋体" w:hAnsi="宋体" w:eastAsia="宋体" w:cs="宋体"/>
                <w:spacing w:val="-6"/>
                <w:sz w:val="18"/>
                <w:szCs w:val="18"/>
                <w:lang w:val="en-US" w:eastAsia="zh-CN"/>
              </w:rPr>
              <w:t>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6"/>
                <w:sz w:val="18"/>
                <w:szCs w:val="18"/>
              </w:rPr>
              <w:drawing>
                <wp:inline distT="0" distB="0" distL="0" distR="0">
                  <wp:extent cx="990600" cy="848360"/>
                  <wp:effectExtent l="0" t="0" r="0" b="889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6"/>
                          <a:stretch>
                            <a:fillRect/>
                          </a:stretch>
                        </pic:blipFill>
                        <pic:spPr>
                          <a:xfrm>
                            <a:off x="0" y="0"/>
                            <a:ext cx="990600" cy="8488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3"/>
                <w:sz w:val="18"/>
                <w:szCs w:val="18"/>
              </w:rPr>
              <w:t>电路改</w:t>
            </w:r>
            <w:r>
              <w:rPr>
                <w:rFonts w:hint="eastAsia" w:ascii="宋体" w:hAnsi="宋体" w:eastAsia="宋体" w:cs="宋体"/>
                <w:sz w:val="18"/>
                <w:szCs w:val="18"/>
              </w:rPr>
              <w:t>造</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1.更换室内老化或裸漏的电气线路；</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2.明线布线，整体保证横平竖直；</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3.铜芯规格：空调.热水器.油烟机线4mm²,插</w:t>
            </w:r>
            <w:r>
              <w:rPr>
                <w:rFonts w:hint="eastAsia" w:ascii="宋体" w:hAnsi="宋体" w:eastAsia="宋体" w:cs="宋体"/>
                <w:spacing w:val="-9"/>
                <w:sz w:val="18"/>
                <w:szCs w:val="18"/>
              </w:rPr>
              <w:t>座线2.5mm²,灯具线1.5mm²;</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4.内芯材质：高纯度无氧铜；</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5.纯铜，节能阻燃，安全；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6.PVC套管保护。</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6"/>
                <w:sz w:val="18"/>
                <w:szCs w:val="18"/>
                <w:lang w:val="en-US" w:eastAsia="zh-CN"/>
              </w:rPr>
              <w:t>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7"/>
                <w:sz w:val="18"/>
                <w:szCs w:val="18"/>
              </w:rPr>
              <w:drawing>
                <wp:inline distT="0" distB="0" distL="0" distR="0">
                  <wp:extent cx="952500" cy="866775"/>
                  <wp:effectExtent l="0" t="0" r="0" b="9525"/>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7"/>
                          <a:stretch>
                            <a:fillRect/>
                          </a:stretch>
                        </pic:blipFill>
                        <pic:spPr>
                          <a:xfrm>
                            <a:off x="0" y="0"/>
                            <a:ext cx="952500" cy="8671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8"/>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强电箱</w:t>
            </w:r>
            <w:r>
              <w:rPr>
                <w:rFonts w:hint="eastAsia" w:ascii="宋体" w:hAnsi="宋体" w:eastAsia="宋体" w:cs="宋体"/>
                <w:spacing w:val="-6"/>
                <w:sz w:val="18"/>
                <w:szCs w:val="18"/>
              </w:rPr>
              <w:t>及漏电保护器</w:t>
            </w:r>
            <w:r>
              <w:rPr>
                <w:rFonts w:hint="eastAsia" w:ascii="宋体" w:hAnsi="宋体" w:eastAsia="宋体" w:cs="宋体"/>
                <w:spacing w:val="-9"/>
                <w:sz w:val="18"/>
                <w:szCs w:val="18"/>
              </w:rPr>
              <w:t>装置</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1.强电箱应符合国家有关标准，总控空气开关1</w:t>
            </w:r>
            <w:r>
              <w:rPr>
                <w:rFonts w:hint="eastAsia" w:ascii="宋体" w:hAnsi="宋体" w:eastAsia="宋体" w:cs="宋体"/>
                <w:spacing w:val="-5"/>
                <w:sz w:val="18"/>
                <w:szCs w:val="18"/>
              </w:rPr>
              <w:t>个，漏电保护器1个，单匹开关2-5个；</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2.功率≥63A，其他空气开关≥1个，功率≥10A，适用于有电路安全隐患，无总控开关盒和</w:t>
            </w:r>
            <w:r>
              <w:rPr>
                <w:rFonts w:hint="eastAsia" w:ascii="宋体" w:hAnsi="宋体" w:eastAsia="宋体" w:cs="宋体"/>
                <w:spacing w:val="-4"/>
                <w:sz w:val="18"/>
                <w:szCs w:val="18"/>
              </w:rPr>
              <w:t>空气开关的家庭。</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项</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lang w:val="en-US" w:eastAsia="zh-CN"/>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lang w:val="en-US" w:eastAsia="zh-CN"/>
              </w:rPr>
              <w:t>280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895350" cy="89535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8"/>
                          <a:stretch>
                            <a:fillRect/>
                          </a:stretch>
                        </pic:blipFill>
                        <pic:spPr>
                          <a:xfrm>
                            <a:off x="0" y="0"/>
                            <a:ext cx="895350" cy="8953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安装防撞护角/防撞条、提示标识</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在家具尖角或墙角安装防撞护角或者防撞条，必要时粘贴警示条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0"/>
                <w:sz w:val="18"/>
                <w:szCs w:val="18"/>
              </w:rPr>
              <w:t>防撞角</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1.参考尺寸：60*60mm；</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2.材质：丁腈橡胶（NBR</w:t>
            </w:r>
            <w:r>
              <w:rPr>
                <w:rFonts w:hint="eastAsia" w:ascii="宋体" w:hAnsi="宋体" w:eastAsia="宋体" w:cs="宋体"/>
                <w:spacing w:val="15"/>
                <w:sz w:val="18"/>
                <w:szCs w:val="18"/>
              </w:rPr>
              <w:t>），</w:t>
            </w:r>
            <w:r>
              <w:rPr>
                <w:rFonts w:hint="eastAsia" w:ascii="宋体" w:hAnsi="宋体" w:eastAsia="宋体" w:cs="宋体"/>
                <w:spacing w:val="-5"/>
                <w:sz w:val="18"/>
                <w:szCs w:val="18"/>
              </w:rPr>
              <w:t>防水耐油；</w:t>
            </w:r>
            <w:r>
              <w:rPr>
                <w:rFonts w:hint="eastAsia" w:ascii="宋体" w:hAnsi="宋体" w:eastAsia="宋体" w:cs="宋体"/>
                <w:spacing w:val="-1"/>
                <w:sz w:val="18"/>
                <w:szCs w:val="18"/>
              </w:rPr>
              <w:t>3.加厚，无残留，不伤家具。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5"/>
                <w:sz w:val="18"/>
                <w:szCs w:val="18"/>
              </w:rPr>
              <w:drawing>
                <wp:inline distT="0" distB="0" distL="0" distR="0">
                  <wp:extent cx="1019175" cy="817880"/>
                  <wp:effectExtent l="0" t="0" r="9525" b="127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59"/>
                          <a:stretch>
                            <a:fillRect/>
                          </a:stretch>
                        </pic:blipFill>
                        <pic:spPr>
                          <a:xfrm>
                            <a:off x="0" y="0"/>
                            <a:ext cx="1019555" cy="81788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0"/>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0"/>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0"/>
                <w:sz w:val="18"/>
                <w:szCs w:val="18"/>
              </w:rPr>
              <w:t>防撞条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2"/>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2"/>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2"/>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1.长：1400mm；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2.材质：橡胶；</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3.墙边包角处理。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米</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5"/>
                <w:sz w:val="18"/>
                <w:szCs w:val="18"/>
                <w:lang w:val="en-US" w:eastAsia="zh-CN"/>
              </w:rPr>
              <w:t>40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5"/>
                <w:sz w:val="18"/>
                <w:szCs w:val="18"/>
              </w:rPr>
              <w:drawing>
                <wp:inline distT="0" distB="0" distL="0" distR="0">
                  <wp:extent cx="990600" cy="810260"/>
                  <wp:effectExtent l="0" t="0" r="0" b="889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60"/>
                          <a:stretch>
                            <a:fillRect/>
                          </a:stretch>
                        </pic:blipFill>
                        <pic:spPr>
                          <a:xfrm>
                            <a:off x="0" y="0"/>
                            <a:ext cx="990600" cy="8107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适老化家具配置</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适老化家具配置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换鞋凳</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1.参考尺寸：600*400*600mm；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2.材质：橡胶木，木质细腻.具有较好的总体强</w:t>
            </w:r>
            <w:r>
              <w:rPr>
                <w:rFonts w:hint="eastAsia" w:ascii="宋体" w:hAnsi="宋体" w:eastAsia="宋体" w:cs="宋体"/>
                <w:spacing w:val="-6"/>
                <w:sz w:val="18"/>
                <w:szCs w:val="18"/>
              </w:rPr>
              <w:t>度性能，良好的抗震力；</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3.坐面布艺或PU皮软包，防水、防褥疮，不易</w:t>
            </w:r>
            <w:r>
              <w:rPr>
                <w:rFonts w:hint="eastAsia" w:ascii="宋体" w:hAnsi="宋体" w:eastAsia="宋体" w:cs="宋体"/>
                <w:spacing w:val="-3"/>
                <w:sz w:val="18"/>
                <w:szCs w:val="18"/>
              </w:rPr>
              <w:t>变形，内部海绵结构；</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4.座面两侧设有抓手及拐杖凹槽。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2"/>
                <w:sz w:val="18"/>
                <w:szCs w:val="18"/>
                <w:lang w:val="en-US" w:eastAsia="zh-CN"/>
              </w:rPr>
              <w:t>380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3"/>
                <w:sz w:val="18"/>
                <w:szCs w:val="18"/>
              </w:rPr>
              <w:drawing>
                <wp:inline distT="0" distB="0" distL="0" distR="0">
                  <wp:extent cx="1037590" cy="760095"/>
                  <wp:effectExtent l="0" t="0" r="10160" b="190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1"/>
                          <a:stretch>
                            <a:fillRect/>
                          </a:stretch>
                        </pic:blipFill>
                        <pic:spPr>
                          <a:xfrm>
                            <a:off x="0" y="0"/>
                            <a:ext cx="1037843" cy="760476"/>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适老椅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1.参考尺寸：540*550*850mm；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2.实木框架：采用橡胶木实木，木质细腻，硬度</w:t>
            </w:r>
            <w:r>
              <w:rPr>
                <w:rFonts w:hint="eastAsia" w:ascii="宋体" w:hAnsi="宋体" w:eastAsia="宋体" w:cs="宋体"/>
                <w:spacing w:val="-4"/>
                <w:sz w:val="18"/>
                <w:szCs w:val="18"/>
              </w:rPr>
              <w:t>高，具有较良好的强度性能，良好的抗震力；</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3.扶手：弯曲半扶手设计，边角处采用倒圆工</w:t>
            </w:r>
            <w:r>
              <w:rPr>
                <w:rFonts w:hint="eastAsia" w:ascii="宋体" w:hAnsi="宋体" w:eastAsia="宋体" w:cs="宋体"/>
                <w:spacing w:val="-11"/>
                <w:sz w:val="18"/>
                <w:szCs w:val="18"/>
              </w:rPr>
              <w:t>艺；</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4.靠背：高密度海绵，防止褥疮，耐磨防水；</w:t>
            </w:r>
            <w:r>
              <w:rPr>
                <w:rFonts w:hint="eastAsia" w:ascii="宋体" w:hAnsi="宋体" w:eastAsia="宋体" w:cs="宋体"/>
                <w:spacing w:val="-2"/>
                <w:sz w:val="18"/>
                <w:szCs w:val="18"/>
              </w:rPr>
              <w:t>5.坐垫：坐面布艺或PU皮软包，防水、防褥</w:t>
            </w:r>
            <w:r>
              <w:rPr>
                <w:rFonts w:hint="eastAsia" w:ascii="宋体" w:hAnsi="宋体" w:eastAsia="宋体" w:cs="宋体"/>
                <w:spacing w:val="-1"/>
                <w:sz w:val="18"/>
                <w:szCs w:val="18"/>
              </w:rPr>
              <w:t>疮，不易变形，内部海绵结构。</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把</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lang w:val="en-US" w:eastAsia="zh-CN"/>
              </w:rPr>
              <w:t>360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9"/>
                <w:sz w:val="18"/>
                <w:szCs w:val="18"/>
              </w:rPr>
              <w:drawing>
                <wp:inline distT="0" distB="0" distL="0" distR="0">
                  <wp:extent cx="1048385" cy="942975"/>
                  <wp:effectExtent l="0" t="0" r="18415" b="9525"/>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2"/>
                          <a:stretch>
                            <a:fillRect/>
                          </a:stretch>
                        </pic:blipFill>
                        <pic:spPr>
                          <a:xfrm>
                            <a:off x="0" y="0"/>
                            <a:ext cx="1048511" cy="9433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6"/>
                <w:sz w:val="18"/>
                <w:szCs w:val="18"/>
              </w:rPr>
              <w:t>手摇升</w:t>
            </w:r>
            <w:r>
              <w:rPr>
                <w:rFonts w:hint="eastAsia" w:ascii="宋体" w:hAnsi="宋体" w:eastAsia="宋体" w:cs="宋体"/>
                <w:spacing w:val="-8"/>
                <w:sz w:val="18"/>
                <w:szCs w:val="18"/>
              </w:rPr>
              <w:t>降晾衣</w:t>
            </w:r>
            <w:r>
              <w:rPr>
                <w:rFonts w:hint="eastAsia" w:ascii="宋体" w:hAnsi="宋体" w:eastAsia="宋体" w:cs="宋体"/>
                <w:sz w:val="18"/>
                <w:szCs w:val="18"/>
              </w:rPr>
              <w:t>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手摇升</w:t>
            </w:r>
            <w:r>
              <w:rPr>
                <w:rFonts w:hint="eastAsia" w:ascii="宋体" w:hAnsi="宋体" w:eastAsia="宋体" w:cs="宋体"/>
                <w:spacing w:val="-8"/>
                <w:sz w:val="18"/>
                <w:szCs w:val="18"/>
              </w:rPr>
              <w:t>降晾衣</w:t>
            </w:r>
            <w:r>
              <w:rPr>
                <w:rFonts w:hint="eastAsia" w:ascii="宋体" w:hAnsi="宋体" w:eastAsia="宋体" w:cs="宋体"/>
                <w:sz w:val="18"/>
                <w:szCs w:val="18"/>
              </w:rPr>
              <w:t>架</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1.晾衣杆长度：≥2米，长度可现场裁剪；</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2.材质：铝合金+钢丝；</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3.手摇，静音升降，强力承重。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pacing w:val="-2"/>
                <w:sz w:val="18"/>
                <w:szCs w:val="18"/>
                <w:lang w:val="en-US" w:eastAsia="zh-CN"/>
              </w:rPr>
            </w:pPr>
            <w:r>
              <w:rPr>
                <w:rFonts w:hint="eastAsia" w:ascii="宋体" w:hAnsi="宋体" w:eastAsia="宋体" w:cs="宋体"/>
                <w:spacing w:val="-4"/>
                <w:sz w:val="18"/>
                <w:szCs w:val="18"/>
                <w:lang w:val="en-US" w:eastAsia="zh-CN"/>
              </w:rPr>
              <w:t>450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sz w:val="18"/>
                <w:szCs w:val="18"/>
              </w:rPr>
            </w:pPr>
            <w:r>
              <w:rPr>
                <w:rFonts w:hint="eastAsia" w:ascii="宋体" w:hAnsi="宋体" w:eastAsia="宋体" w:cs="宋体"/>
                <w:position w:val="-26"/>
                <w:sz w:val="18"/>
                <w:szCs w:val="18"/>
              </w:rPr>
              <w:drawing>
                <wp:inline distT="0" distB="0" distL="0" distR="0">
                  <wp:extent cx="627380" cy="838200"/>
                  <wp:effectExtent l="0" t="0" r="127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3"/>
                          <a:stretch>
                            <a:fillRect/>
                          </a:stretch>
                        </pic:blipFill>
                        <pic:spPr>
                          <a:xfrm>
                            <a:off x="0" y="0"/>
                            <a:ext cx="627888" cy="838200"/>
                          </a:xfrm>
                          <a:prstGeom prst="rect">
                            <a:avLst/>
                          </a:prstGeom>
                        </pic:spPr>
                      </pic:pic>
                    </a:graphicData>
                  </a:graphic>
                </wp:inline>
              </w:drawing>
            </w:r>
          </w:p>
        </w:tc>
      </w:tr>
      <w:tr>
        <w:tblPrEx>
          <w:tblCellMar>
            <w:top w:w="0" w:type="dxa"/>
            <w:left w:w="108" w:type="dxa"/>
            <w:bottom w:w="0" w:type="dxa"/>
            <w:right w:w="108" w:type="dxa"/>
          </w:tblCellMar>
        </w:tblPrEx>
        <w:trPr>
          <w:trHeight w:val="59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二、智能化改造</w:t>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类别</w:t>
            </w: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具体内容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项目类型</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产品名称</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性能参数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最高限价</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元）</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参考图片</w:t>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网络连接设备</w:t>
            </w: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WIFI路由器</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6"/>
                <w:sz w:val="18"/>
                <w:szCs w:val="18"/>
              </w:rPr>
              <w:t>宽带安</w:t>
            </w:r>
            <w:r>
              <w:rPr>
                <w:rFonts w:hint="eastAsia" w:ascii="宋体" w:hAnsi="宋体" w:eastAsia="宋体" w:cs="宋体"/>
                <w:sz w:val="18"/>
                <w:szCs w:val="18"/>
              </w:rPr>
              <w:t>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1.宽带≥</w:t>
            </w:r>
            <w:r>
              <w:rPr>
                <w:rFonts w:hint="eastAsia" w:ascii="宋体" w:hAnsi="宋体" w:eastAsia="宋体" w:cs="宋体"/>
                <w:spacing w:val="-4"/>
                <w:sz w:val="18"/>
                <w:szCs w:val="18"/>
                <w:lang w:val="en-US" w:eastAsia="zh-CN"/>
              </w:rPr>
              <w:t>50-</w:t>
            </w:r>
            <w:r>
              <w:rPr>
                <w:rFonts w:hint="eastAsia" w:ascii="宋体" w:hAnsi="宋体" w:eastAsia="宋体" w:cs="宋体"/>
                <w:spacing w:val="-4"/>
                <w:sz w:val="18"/>
                <w:szCs w:val="18"/>
              </w:rPr>
              <w:t>100Mb</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2.附带路由器功能</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4"/>
                <w:sz w:val="18"/>
                <w:szCs w:val="18"/>
              </w:rPr>
              <w:t>3.费用按年结算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2"/>
                <w:sz w:val="18"/>
                <w:szCs w:val="18"/>
                <w:lang w:val="en-US" w:eastAsia="zh-CN"/>
              </w:rPr>
              <w:t>460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0"/>
                <w:sz w:val="18"/>
                <w:szCs w:val="18"/>
              </w:rPr>
              <w:drawing>
                <wp:inline distT="0" distB="0" distL="0" distR="0">
                  <wp:extent cx="781685" cy="639445"/>
                  <wp:effectExtent l="0" t="0" r="18415" b="8255"/>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4"/>
                          <a:stretch>
                            <a:fillRect/>
                          </a:stretch>
                        </pic:blipFill>
                        <pic:spPr>
                          <a:xfrm>
                            <a:off x="0" y="0"/>
                            <a:ext cx="781811" cy="640079"/>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无线网卡</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5"/>
                <w:sz w:val="18"/>
                <w:szCs w:val="18"/>
              </w:rPr>
              <w:t>智能网</w:t>
            </w:r>
            <w:r>
              <w:rPr>
                <w:rFonts w:hint="eastAsia" w:ascii="宋体" w:hAnsi="宋体" w:eastAsia="宋体" w:cs="宋体"/>
                <w:sz w:val="18"/>
                <w:szCs w:val="18"/>
              </w:rPr>
              <w:t>关</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1.作为家庭的数据网关，采集所有智能设备的</w:t>
            </w:r>
            <w:r>
              <w:rPr>
                <w:rFonts w:hint="eastAsia" w:ascii="宋体" w:hAnsi="宋体" w:eastAsia="宋体" w:cs="宋体"/>
                <w:spacing w:val="-3"/>
                <w:sz w:val="18"/>
                <w:szCs w:val="18"/>
              </w:rPr>
              <w:t>数据并实时同步到平台，实时推送至子女手机、</w:t>
            </w:r>
            <w:r>
              <w:rPr>
                <w:rFonts w:hint="eastAsia" w:ascii="宋体" w:hAnsi="宋体" w:eastAsia="宋体" w:cs="宋体"/>
                <w:spacing w:val="-1"/>
                <w:sz w:val="18"/>
                <w:szCs w:val="18"/>
              </w:rPr>
              <w:t>服务机构、政府集中看护大屏。</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2.根据家庭实际情况，可选择4G版或</w:t>
            </w:r>
            <w:r>
              <w:rPr>
                <w:rFonts w:hint="eastAsia" w:ascii="宋体" w:hAnsi="宋体" w:eastAsia="宋体" w:cs="宋体"/>
                <w:sz w:val="18"/>
                <w:szCs w:val="18"/>
              </w:rPr>
              <w:t>WIFI</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3"/>
                <w:sz w:val="18"/>
                <w:szCs w:val="18"/>
              </w:rPr>
              <w:t>版；其中，4G版含2年流量，WIFI版，需家庭</w:t>
            </w:r>
            <w:r>
              <w:rPr>
                <w:rFonts w:hint="eastAsia" w:ascii="宋体" w:hAnsi="宋体" w:eastAsia="宋体" w:cs="宋体"/>
                <w:spacing w:val="-4"/>
                <w:sz w:val="18"/>
                <w:szCs w:val="18"/>
              </w:rPr>
              <w:t>配置宽带。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w:t>
            </w:r>
            <w:r>
              <w:rPr>
                <w:rFonts w:hint="eastAsia" w:ascii="宋体" w:hAnsi="宋体" w:eastAsia="宋体" w:cs="宋体"/>
                <w:spacing w:val="-2"/>
                <w:sz w:val="18"/>
                <w:szCs w:val="18"/>
                <w:lang w:val="en-US" w:eastAsia="zh-CN"/>
              </w:rPr>
              <w:t>8</w:t>
            </w:r>
            <w:r>
              <w:rPr>
                <w:rFonts w:hint="eastAsia" w:ascii="宋体" w:hAnsi="宋体" w:eastAsia="宋体" w:cs="宋体"/>
                <w:spacing w:val="-2"/>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9"/>
                <w:sz w:val="18"/>
                <w:szCs w:val="18"/>
              </w:rPr>
              <w:drawing>
                <wp:inline distT="0" distB="0" distL="0" distR="0">
                  <wp:extent cx="956945" cy="619760"/>
                  <wp:effectExtent l="0" t="0" r="14605" b="889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65"/>
                          <a:stretch>
                            <a:fillRect/>
                          </a:stretch>
                        </pic:blipFill>
                        <pic:spPr>
                          <a:xfrm>
                            <a:off x="0" y="0"/>
                            <a:ext cx="957071" cy="6202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5"/>
                <w:sz w:val="18"/>
                <w:szCs w:val="18"/>
              </w:rPr>
              <w:t>4G流量</w:t>
            </w:r>
            <w:r>
              <w:rPr>
                <w:rFonts w:hint="eastAsia" w:ascii="宋体" w:hAnsi="宋体" w:eastAsia="宋体" w:cs="宋体"/>
                <w:sz w:val="18"/>
                <w:szCs w:val="18"/>
              </w:rPr>
              <w:t>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7"/>
                <w:sz w:val="18"/>
                <w:szCs w:val="18"/>
              </w:rPr>
              <w:t>保证设备联网。</w:t>
            </w: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4"/>
                <w:sz w:val="18"/>
                <w:szCs w:val="18"/>
              </w:rPr>
              <w:t>包含12个月的流量服务费,包含2G/月。</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张</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8</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8"/>
                <w:sz w:val="18"/>
                <w:szCs w:val="18"/>
              </w:rPr>
              <w:drawing>
                <wp:inline distT="0" distB="0" distL="0" distR="0">
                  <wp:extent cx="772160" cy="600075"/>
                  <wp:effectExtent l="0" t="0" r="8890" b="9525"/>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6"/>
                          <a:stretch>
                            <a:fillRect/>
                          </a:stretch>
                        </pic:blipFill>
                        <pic:spPr>
                          <a:xfrm>
                            <a:off x="0" y="0"/>
                            <a:ext cx="772668" cy="6004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NB卡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7"/>
                <w:sz w:val="18"/>
                <w:szCs w:val="18"/>
              </w:rPr>
              <w:t>保证设备联网。</w:t>
            </w: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包含12个月流量服务费。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张</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lang w:val="en-US" w:eastAsia="zh-CN"/>
              </w:rPr>
              <w:t>9</w:t>
            </w:r>
            <w:r>
              <w:rPr>
                <w:rFonts w:hint="eastAsia" w:ascii="宋体" w:hAnsi="宋体" w:eastAsia="宋体" w:cs="宋体"/>
                <w:spacing w:val="-6"/>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8"/>
                <w:sz w:val="18"/>
                <w:szCs w:val="18"/>
              </w:rPr>
              <w:drawing>
                <wp:inline distT="0" distB="0" distL="0" distR="0">
                  <wp:extent cx="772160" cy="600075"/>
                  <wp:effectExtent l="0" t="0" r="8890" b="9525"/>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66"/>
                          <a:stretch>
                            <a:fillRect/>
                          </a:stretch>
                        </pic:blipFill>
                        <pic:spPr>
                          <a:xfrm>
                            <a:off x="0" y="0"/>
                            <a:ext cx="772668" cy="6004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紧急呼叫设备</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紧急呼叫器</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安装在床头、卫生间等关键位置，老年人出现危机情况便于一键呼叫</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床头呼</w:t>
            </w:r>
            <w:r>
              <w:rPr>
                <w:rFonts w:hint="eastAsia" w:ascii="宋体" w:hAnsi="宋体" w:eastAsia="宋体" w:cs="宋体"/>
                <w:spacing w:val="-12"/>
                <w:sz w:val="18"/>
                <w:szCs w:val="18"/>
              </w:rPr>
              <w:t>叫器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可安装于卧室，当老人出现紧急情况时，可以一键呼叫，坐姿和站姿可按动面板触控按键，卧姿可按动手柄按键，呼叫信息通过智能网关上传到平台，实时推送至子女手机、服务机构、政府集中看护大屏，起到应急响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lang w:val="en-US" w:eastAsia="zh-CN"/>
              </w:rPr>
              <w:t>2</w:t>
            </w:r>
            <w:r>
              <w:rPr>
                <w:rFonts w:hint="eastAsia" w:ascii="宋体" w:hAnsi="宋体" w:eastAsia="宋体" w:cs="宋体"/>
                <w:spacing w:val="-8"/>
                <w:sz w:val="18"/>
                <w:szCs w:val="18"/>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4"/>
                <w:sz w:val="18"/>
                <w:szCs w:val="18"/>
              </w:rPr>
              <w:drawing>
                <wp:inline distT="0" distB="0" distL="0" distR="0">
                  <wp:extent cx="1066165" cy="781685"/>
                  <wp:effectExtent l="0" t="0" r="635" b="18415"/>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67"/>
                          <a:stretch>
                            <a:fillRect/>
                          </a:stretch>
                        </pic:blipFill>
                        <pic:spPr>
                          <a:xfrm>
                            <a:off x="0" y="0"/>
                            <a:ext cx="1066799" cy="7818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卫生间</w:t>
            </w:r>
            <w:r>
              <w:rPr>
                <w:rFonts w:hint="eastAsia" w:ascii="宋体" w:hAnsi="宋体" w:eastAsia="宋体" w:cs="宋体"/>
                <w:spacing w:val="-9"/>
                <w:sz w:val="18"/>
                <w:szCs w:val="18"/>
              </w:rPr>
              <w:t>呼叫器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1.带拉绳，安装于卫生间，当老人出现紧急情况</w:t>
            </w:r>
            <w:r>
              <w:rPr>
                <w:rFonts w:hint="eastAsia" w:ascii="宋体" w:hAnsi="宋体" w:eastAsia="宋体" w:cs="宋体"/>
                <w:spacing w:val="-4"/>
                <w:sz w:val="18"/>
                <w:szCs w:val="18"/>
              </w:rPr>
              <w:t>时，可以一键呼叫；</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2.坐姿和站姿可按动面板触控按键，摔倒时可拉</w:t>
            </w:r>
            <w:r>
              <w:rPr>
                <w:rFonts w:hint="eastAsia" w:ascii="宋体" w:hAnsi="宋体" w:eastAsia="宋体" w:cs="宋体"/>
                <w:spacing w:val="-3"/>
                <w:sz w:val="18"/>
                <w:szCs w:val="18"/>
              </w:rPr>
              <w:t>动拉绳按键；</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3.呼叫信息通过智能网关上传到平台，实时推送至子女手机、服务机构、政府集中看护大屏</w:t>
            </w:r>
            <w:r>
              <w:rPr>
                <w:rFonts w:hint="eastAsia" w:ascii="宋体" w:hAnsi="宋体" w:eastAsia="宋体" w:cs="宋体"/>
                <w:spacing w:val="-2"/>
                <w:sz w:val="18"/>
                <w:szCs w:val="18"/>
              </w:rPr>
              <w:t>，起</w:t>
            </w:r>
            <w:r>
              <w:rPr>
                <w:rFonts w:hint="eastAsia" w:ascii="宋体" w:hAnsi="宋体" w:eastAsia="宋体" w:cs="宋体"/>
                <w:spacing w:val="-3"/>
                <w:sz w:val="18"/>
                <w:szCs w:val="18"/>
              </w:rPr>
              <w:t>到应急响应的作用。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lang w:val="en-US" w:eastAsia="zh-CN"/>
              </w:rPr>
              <w:t>2</w:t>
            </w:r>
            <w:r>
              <w:rPr>
                <w:rFonts w:hint="eastAsia" w:ascii="宋体" w:hAnsi="宋体" w:eastAsia="宋体" w:cs="宋体"/>
                <w:spacing w:val="-8"/>
                <w:sz w:val="18"/>
                <w:szCs w:val="18"/>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744855" cy="1014730"/>
                  <wp:effectExtent l="0" t="0" r="17145" b="1397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68"/>
                          <a:stretch>
                            <a:fillRect/>
                          </a:stretch>
                        </pic:blipFill>
                        <pic:spPr>
                          <a:xfrm>
                            <a:off x="0" y="0"/>
                            <a:ext cx="745235" cy="1014983"/>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0"/>
                <w:sz w:val="18"/>
                <w:szCs w:val="18"/>
              </w:rPr>
              <w:t>多功能</w:t>
            </w:r>
            <w:r>
              <w:rPr>
                <w:rFonts w:hint="eastAsia" w:ascii="宋体" w:hAnsi="宋体" w:eastAsia="宋体" w:cs="宋体"/>
                <w:spacing w:val="-5"/>
                <w:sz w:val="18"/>
                <w:szCs w:val="18"/>
              </w:rPr>
              <w:t>语音呼</w:t>
            </w:r>
            <w:r>
              <w:rPr>
                <w:rFonts w:hint="eastAsia" w:ascii="宋体" w:hAnsi="宋体" w:eastAsia="宋体" w:cs="宋体"/>
                <w:spacing w:val="-7"/>
                <w:sz w:val="18"/>
                <w:szCs w:val="18"/>
              </w:rPr>
              <w:t>叫器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1.主要服务高龄独居老人，按紧急呼叫键，设备</w:t>
            </w:r>
            <w:r>
              <w:rPr>
                <w:rFonts w:hint="eastAsia" w:ascii="宋体" w:hAnsi="宋体" w:eastAsia="宋体" w:cs="宋体"/>
                <w:spacing w:val="-5"/>
                <w:sz w:val="18"/>
                <w:szCs w:val="18"/>
              </w:rPr>
              <w:t>自动拨打预设的求助电话，</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当前一个电话无法接通时，设备自动拨打下一个</w:t>
            </w:r>
            <w:r>
              <w:rPr>
                <w:rFonts w:hint="eastAsia" w:ascii="宋体" w:hAnsi="宋体" w:eastAsia="宋体" w:cs="宋体"/>
                <w:spacing w:val="-7"/>
                <w:sz w:val="18"/>
                <w:szCs w:val="18"/>
              </w:rPr>
              <w:t>号码。</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2.紧急呼叫的行为自动上传到平台，实时推送至子女手机、服务机构或政府集中看护大屏，起到</w:t>
            </w:r>
            <w:r>
              <w:rPr>
                <w:rFonts w:hint="eastAsia" w:ascii="宋体" w:hAnsi="宋体" w:eastAsia="宋体" w:cs="宋体"/>
                <w:spacing w:val="-2"/>
                <w:sz w:val="18"/>
                <w:szCs w:val="18"/>
              </w:rPr>
              <w:t>应急响应的作用。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3.面板按键支持拨打亲情呼叫号码。</w:t>
            </w:r>
            <w:r>
              <w:rPr>
                <w:rFonts w:hint="eastAsia" w:ascii="宋体" w:hAnsi="宋体" w:eastAsia="宋体" w:cs="宋体"/>
                <w:spacing w:val="-1"/>
                <w:sz w:val="18"/>
                <w:szCs w:val="18"/>
              </w:rPr>
              <w:t>4.支持掉电检测。</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45"/>
                <w:sz w:val="18"/>
                <w:szCs w:val="18"/>
              </w:rPr>
              <w:drawing>
                <wp:inline distT="0" distB="0" distL="0" distR="0">
                  <wp:extent cx="1028700" cy="1438275"/>
                  <wp:effectExtent l="0" t="0" r="0" b="9525"/>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69"/>
                          <a:stretch>
                            <a:fillRect/>
                          </a:stretch>
                        </pic:blipFill>
                        <pic:spPr>
                          <a:xfrm>
                            <a:off x="0" y="0"/>
                            <a:ext cx="1028700" cy="14386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生命体征检测设备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智能腕表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动态监测和记录老年人呼吸、等参数，发现异常自动提醒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智能腕</w:t>
            </w:r>
            <w:r>
              <w:rPr>
                <w:rFonts w:hint="eastAsia" w:ascii="宋体" w:hAnsi="宋体" w:eastAsia="宋体" w:cs="宋体"/>
                <w:sz w:val="18"/>
                <w:szCs w:val="18"/>
              </w:rPr>
              <w:t>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1.内置GPS或北斗、WIFI和运动传感器实现室</w:t>
            </w:r>
            <w:r>
              <w:rPr>
                <w:rFonts w:hint="eastAsia" w:ascii="宋体" w:hAnsi="宋体" w:eastAsia="宋体" w:cs="宋体"/>
                <w:spacing w:val="-1"/>
                <w:sz w:val="18"/>
                <w:szCs w:val="18"/>
              </w:rPr>
              <w:t>内外定位，内置低功耗蓝牙BLE，定位精度≤20米，支持蓝牙升级软件；支持一键报警。</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2.表壳尺寸≤42*23*13mm，整机重量≤25克</w:t>
            </w:r>
            <w:r>
              <w:rPr>
                <w:rFonts w:hint="eastAsia" w:ascii="宋体" w:hAnsi="宋体" w:eastAsia="宋体" w:cs="宋体"/>
                <w:spacing w:val="-2"/>
                <w:sz w:val="18"/>
                <w:szCs w:val="18"/>
              </w:rPr>
              <w:t>，适宜全天候佩戴；表带TPE材料，可自行更换。</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3.体温、心率、血压、计步和睡眠等健康数据实</w:t>
            </w:r>
            <w:r>
              <w:rPr>
                <w:rFonts w:hint="eastAsia" w:ascii="宋体" w:hAnsi="宋体" w:eastAsia="宋体" w:cs="宋体"/>
                <w:sz w:val="18"/>
                <w:szCs w:val="18"/>
              </w:rPr>
              <w:t>时采集，并通过物联网卡传输到监控平台和手机</w:t>
            </w:r>
            <w:r>
              <w:rPr>
                <w:rFonts w:hint="eastAsia" w:ascii="宋体" w:hAnsi="宋体" w:eastAsia="宋体" w:cs="宋体"/>
                <w:spacing w:val="-4"/>
                <w:sz w:val="18"/>
                <w:szCs w:val="18"/>
              </w:rPr>
              <w:t>APP（含1年NBloT卡）。</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4.防护等级≥IP67防水（可淋浴）。</w:t>
            </w:r>
            <w:r>
              <w:rPr>
                <w:rFonts w:hint="eastAsia" w:ascii="宋体" w:hAnsi="宋体" w:eastAsia="宋体" w:cs="宋体"/>
                <w:spacing w:val="-3"/>
                <w:sz w:val="18"/>
                <w:szCs w:val="18"/>
              </w:rPr>
              <w:t>5.续航时间6-10天。</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6.产品具备出厂检测报告。</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7.可提供与市平台数据对接服务。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lang w:val="en-US" w:eastAsia="zh-CN"/>
              </w:rPr>
              <w:t>68</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5"/>
                <w:sz w:val="18"/>
                <w:szCs w:val="18"/>
              </w:rPr>
              <w:drawing>
                <wp:inline distT="0" distB="0" distL="0" distR="0">
                  <wp:extent cx="1066800" cy="1133475"/>
                  <wp:effectExtent l="0" t="0" r="0" b="9525"/>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70"/>
                          <a:stretch>
                            <a:fillRect/>
                          </a:stretch>
                        </pic:blipFill>
                        <pic:spPr>
                          <a:xfrm>
                            <a:off x="0" y="0"/>
                            <a:ext cx="1066800" cy="11338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智能腕表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动态监测和记录老年人呼吸、等参数，发现异常自动提醒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智能床</w:t>
            </w:r>
            <w:r>
              <w:rPr>
                <w:rFonts w:hint="eastAsia" w:ascii="宋体" w:hAnsi="宋体" w:eastAsia="宋体" w:cs="宋体"/>
                <w:sz w:val="18"/>
                <w:szCs w:val="18"/>
              </w:rPr>
              <w:t>带</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动态监测和记录老年人呼吸、心率等参数，发现</w:t>
            </w:r>
            <w:r>
              <w:rPr>
                <w:rFonts w:hint="eastAsia" w:ascii="宋体" w:hAnsi="宋体" w:eastAsia="宋体" w:cs="宋体"/>
                <w:spacing w:val="-2"/>
                <w:sz w:val="18"/>
                <w:szCs w:val="18"/>
              </w:rPr>
              <w:t>异常自动提醒。</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监测方式：压电陶瓷传感器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支持微信小程序/APP查看实时数据、接收报警工作电流≤1000mA</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工作电压：5V</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支持实时心率、实时呼吸率、在床离床、紧急报警、睡眠质量、睡眠状态监测</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850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6"/>
                <w:sz w:val="18"/>
                <w:szCs w:val="18"/>
              </w:rPr>
              <w:drawing>
                <wp:inline distT="0" distB="0" distL="0" distR="0">
                  <wp:extent cx="676275" cy="838200"/>
                  <wp:effectExtent l="0" t="0" r="9525"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71"/>
                          <a:stretch>
                            <a:fillRect/>
                          </a:stretch>
                        </pic:blipFill>
                        <pic:spPr>
                          <a:xfrm>
                            <a:off x="0" y="0"/>
                            <a:ext cx="676656" cy="8382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9"/>
                <w:sz w:val="18"/>
                <w:szCs w:val="18"/>
              </w:rPr>
              <w:t>雷达波</w:t>
            </w:r>
            <w:r>
              <w:rPr>
                <w:rFonts w:hint="eastAsia" w:ascii="宋体" w:hAnsi="宋体" w:eastAsia="宋体" w:cs="宋体"/>
                <w:spacing w:val="-5"/>
                <w:sz w:val="18"/>
                <w:szCs w:val="18"/>
              </w:rPr>
              <w:t>体征检</w:t>
            </w:r>
            <w:r>
              <w:rPr>
                <w:rFonts w:hint="eastAsia" w:ascii="宋体" w:hAnsi="宋体" w:eastAsia="宋体" w:cs="宋体"/>
                <w:spacing w:val="-7"/>
                <w:sz w:val="18"/>
                <w:szCs w:val="18"/>
              </w:rPr>
              <w:t>测仪</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动态监测和记录老年人呼吸、心率等参数，发现</w:t>
            </w:r>
            <w:r>
              <w:rPr>
                <w:rFonts w:hint="eastAsia" w:ascii="宋体" w:hAnsi="宋体" w:eastAsia="宋体" w:cs="宋体"/>
                <w:spacing w:val="-3"/>
                <w:sz w:val="18"/>
                <w:szCs w:val="18"/>
              </w:rPr>
              <w:t>异常自动提醒。</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1、睡眠监测应用：睡眠监控（睡眠状态变</w:t>
            </w:r>
            <w:r>
              <w:rPr>
                <w:rFonts w:hint="eastAsia" w:ascii="宋体" w:hAnsi="宋体" w:eastAsia="宋体" w:cs="宋体"/>
                <w:spacing w:val="-2"/>
                <w:sz w:val="18"/>
                <w:szCs w:val="18"/>
              </w:rPr>
              <w:t>化的</w:t>
            </w:r>
            <w:r>
              <w:rPr>
                <w:rFonts w:hint="eastAsia" w:ascii="宋体" w:hAnsi="宋体" w:eastAsia="宋体" w:cs="宋体"/>
                <w:spacing w:val="-3"/>
                <w:sz w:val="18"/>
                <w:szCs w:val="18"/>
              </w:rPr>
              <w:t>历史记录）。</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2、呼吸心跳探测应用：呼吸频率检测、心跳频</w:t>
            </w:r>
            <w:r>
              <w:rPr>
                <w:rFonts w:hint="eastAsia" w:ascii="宋体" w:hAnsi="宋体" w:eastAsia="宋体" w:cs="宋体"/>
                <w:spacing w:val="-6"/>
                <w:sz w:val="18"/>
                <w:szCs w:val="18"/>
              </w:rPr>
              <w:t>率监测。</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3、上报数据：入床/离床，睡眠质量：清醒/浅</w:t>
            </w:r>
            <w:r>
              <w:rPr>
                <w:rFonts w:hint="eastAsia" w:ascii="宋体" w:hAnsi="宋体" w:eastAsia="宋体" w:cs="宋体"/>
                <w:spacing w:val="-3"/>
                <w:sz w:val="18"/>
                <w:szCs w:val="18"/>
              </w:rPr>
              <w:t>睡/深睡/睡眠质量评分；</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4、呼吸频率：心跳频率，呼吸信息/心率信息超</w:t>
            </w:r>
            <w:r>
              <w:rPr>
                <w:rFonts w:hint="eastAsia" w:ascii="宋体" w:hAnsi="宋体" w:eastAsia="宋体" w:cs="宋体"/>
                <w:spacing w:val="-8"/>
                <w:sz w:val="18"/>
                <w:szCs w:val="18"/>
              </w:rPr>
              <w:t>限上报。</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电气参数及接口要求：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1、电源供电：5V/2ADCUSB或TypeC</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2、通信方式：4G和WiFi（两个版本）</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3、工作温度范围：-20至45℃</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4、工作湿度范围：10%至95%</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5、本体尺寸：Φ80x24（毫米）</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6、毫米波雷达：60GHz</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6"/>
                <w:sz w:val="18"/>
                <w:szCs w:val="18"/>
              </w:rPr>
              <w:t>7、外壳材质：V0级PC白色</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8、安装方式：侧装（方位角FOV（6dB</w:t>
            </w:r>
            <w:r>
              <w:rPr>
                <w:rFonts w:hint="eastAsia" w:ascii="宋体" w:hAnsi="宋体" w:eastAsia="宋体" w:cs="宋体"/>
                <w:spacing w:val="1"/>
                <w:sz w:val="18"/>
                <w:szCs w:val="18"/>
              </w:rPr>
              <w:t>）：</w:t>
            </w:r>
            <w:r>
              <w:rPr>
                <w:rFonts w:hint="eastAsia" w:ascii="宋体" w:hAnsi="宋体" w:eastAsia="宋体" w:cs="宋体"/>
                <w:spacing w:val="-2"/>
                <w:sz w:val="18"/>
                <w:szCs w:val="18"/>
              </w:rPr>
              <w:t>±</w:t>
            </w:r>
            <w:r>
              <w:rPr>
                <w:rFonts w:hint="eastAsia" w:ascii="宋体" w:hAnsi="宋体" w:eastAsia="宋体" w:cs="宋体"/>
                <w:spacing w:val="-12"/>
                <w:sz w:val="18"/>
                <w:szCs w:val="18"/>
              </w:rPr>
              <w:t>40°,仰角FOV（6dB</w:t>
            </w:r>
            <w:r>
              <w:rPr>
                <w:rFonts w:hint="eastAsia" w:ascii="宋体" w:hAnsi="宋体" w:eastAsia="宋体" w:cs="宋体"/>
                <w:spacing w:val="3"/>
                <w:sz w:val="18"/>
                <w:szCs w:val="18"/>
              </w:rPr>
              <w:t>）：</w:t>
            </w:r>
            <w:r>
              <w:rPr>
                <w:rFonts w:hint="eastAsia" w:ascii="宋体" w:hAnsi="宋体" w:eastAsia="宋体" w:cs="宋体"/>
                <w:spacing w:val="-12"/>
                <w:sz w:val="18"/>
                <w:szCs w:val="18"/>
              </w:rPr>
              <w:t>±20°,侧装时与垂</w:t>
            </w:r>
            <w:r>
              <w:rPr>
                <w:rFonts w:hint="eastAsia" w:ascii="宋体" w:hAnsi="宋体" w:eastAsia="宋体" w:cs="宋体"/>
                <w:spacing w:val="-1"/>
                <w:sz w:val="18"/>
                <w:szCs w:val="18"/>
              </w:rPr>
              <w:t>直面夹角：20）</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9、蓝牙：Bluetooth5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pacing w:val="-4"/>
                <w:sz w:val="18"/>
                <w:szCs w:val="18"/>
              </w:rPr>
              <w:t>7</w:t>
            </w:r>
            <w:r>
              <w:rPr>
                <w:rFonts w:hint="eastAsia" w:ascii="宋体" w:hAnsi="宋体" w:eastAsia="宋体" w:cs="宋体"/>
                <w:spacing w:val="-4"/>
                <w:sz w:val="18"/>
                <w:szCs w:val="18"/>
                <w:lang w:val="en-US" w:eastAsia="zh-CN"/>
              </w:rPr>
              <w:t>9</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41"/>
                <w:sz w:val="18"/>
                <w:szCs w:val="18"/>
              </w:rPr>
              <w:drawing>
                <wp:inline distT="0" distB="0" distL="0" distR="0">
                  <wp:extent cx="1104900" cy="1305560"/>
                  <wp:effectExtent l="0" t="0" r="0" b="889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2"/>
                          <a:stretch>
                            <a:fillRect/>
                          </a:stretch>
                        </pic:blipFill>
                        <pic:spPr>
                          <a:xfrm>
                            <a:off x="0" y="0"/>
                            <a:ext cx="1104900" cy="13060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安全监控装置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烟雾报警器</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安装在居家响应位置，用于监测老年人居室环境，发生险情时及时报警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烟雾报</w:t>
            </w:r>
            <w:r>
              <w:rPr>
                <w:rFonts w:hint="eastAsia" w:ascii="宋体" w:hAnsi="宋体" w:eastAsia="宋体" w:cs="宋体"/>
                <w:spacing w:val="-7"/>
                <w:sz w:val="18"/>
                <w:szCs w:val="18"/>
              </w:rPr>
              <w:t>警器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1.可安装于厨房、客厅及卧室，监测火灾造成的空气中的烟雾浓度以及光源，一旦触发后，设备</w:t>
            </w:r>
            <w:r>
              <w:rPr>
                <w:rFonts w:hint="eastAsia" w:ascii="宋体" w:hAnsi="宋体" w:eastAsia="宋体" w:cs="宋体"/>
                <w:spacing w:val="-3"/>
                <w:sz w:val="18"/>
                <w:szCs w:val="18"/>
              </w:rPr>
              <w:t>本地蜂鸣报警；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2.通过智能网关上传到平台，实时推送至子女手机、服务机构、政府集中看护大屏，起到应急响</w:t>
            </w:r>
            <w:r>
              <w:rPr>
                <w:rFonts w:hint="eastAsia" w:ascii="宋体" w:hAnsi="宋体" w:eastAsia="宋体" w:cs="宋体"/>
                <w:spacing w:val="-3"/>
                <w:sz w:val="18"/>
                <w:szCs w:val="18"/>
              </w:rPr>
              <w:t>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9</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9"/>
                <w:sz w:val="18"/>
                <w:szCs w:val="18"/>
              </w:rPr>
              <w:drawing>
                <wp:inline distT="0" distB="0" distL="0" distR="0">
                  <wp:extent cx="1038860" cy="942975"/>
                  <wp:effectExtent l="0" t="0" r="8890" b="9525"/>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73"/>
                          <a:stretch>
                            <a:fillRect/>
                          </a:stretch>
                        </pic:blipFill>
                        <pic:spPr>
                          <a:xfrm>
                            <a:off x="0" y="0"/>
                            <a:ext cx="1039368" cy="9433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燃气报</w:t>
            </w:r>
            <w:r>
              <w:rPr>
                <w:rFonts w:hint="eastAsia" w:ascii="宋体" w:hAnsi="宋体" w:eastAsia="宋体" w:cs="宋体"/>
                <w:spacing w:val="-7"/>
                <w:sz w:val="18"/>
                <w:szCs w:val="18"/>
              </w:rPr>
              <w:t>警器</w:t>
            </w: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燃气报</w:t>
            </w:r>
            <w:r>
              <w:rPr>
                <w:rFonts w:hint="eastAsia" w:ascii="宋体" w:hAnsi="宋体" w:eastAsia="宋体" w:cs="宋体"/>
                <w:spacing w:val="-7"/>
                <w:sz w:val="18"/>
                <w:szCs w:val="18"/>
              </w:rPr>
              <w:t>警器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可安装于厨房，监测火灾造成的空气中的可燃气体（天然气和液化气）的浓度，一旦触发后，设备本地蜂鸣报警，通过智能网关上传到平台，实时推送至子女手机、服务机构、政府集中看护大</w:t>
            </w:r>
            <w:r>
              <w:rPr>
                <w:rFonts w:hint="eastAsia" w:ascii="宋体" w:hAnsi="宋体" w:eastAsia="宋体" w:cs="宋体"/>
                <w:spacing w:val="-2"/>
                <w:sz w:val="18"/>
                <w:szCs w:val="18"/>
              </w:rPr>
              <w:t>屏，起到应急响应的作用。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8</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7"/>
                <w:sz w:val="18"/>
                <w:szCs w:val="18"/>
              </w:rPr>
              <w:drawing>
                <wp:inline distT="0" distB="0" distL="0" distR="0">
                  <wp:extent cx="979805" cy="857885"/>
                  <wp:effectExtent l="0" t="0" r="10795" b="18415"/>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74"/>
                          <a:stretch>
                            <a:fillRect/>
                          </a:stretch>
                        </pic:blipFill>
                        <pic:spPr>
                          <a:xfrm>
                            <a:off x="0" y="0"/>
                            <a:ext cx="979931" cy="8580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浸水报</w:t>
            </w:r>
            <w:r>
              <w:rPr>
                <w:rFonts w:hint="eastAsia" w:ascii="宋体" w:hAnsi="宋体" w:eastAsia="宋体" w:cs="宋体"/>
                <w:spacing w:val="-7"/>
                <w:sz w:val="18"/>
                <w:szCs w:val="18"/>
              </w:rPr>
              <w:t>警器</w:t>
            </w: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浸水报</w:t>
            </w:r>
            <w:r>
              <w:rPr>
                <w:rFonts w:hint="eastAsia" w:ascii="宋体" w:hAnsi="宋体" w:eastAsia="宋体" w:cs="宋体"/>
                <w:spacing w:val="-7"/>
                <w:sz w:val="18"/>
                <w:szCs w:val="18"/>
              </w:rPr>
              <w:t>警器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1.可安装于厨房、卫生间，监测地面积水的情</w:t>
            </w:r>
            <w:r>
              <w:rPr>
                <w:rFonts w:hint="eastAsia" w:ascii="宋体" w:hAnsi="宋体" w:eastAsia="宋体" w:cs="宋体"/>
                <w:spacing w:val="-1"/>
                <w:sz w:val="18"/>
                <w:szCs w:val="18"/>
              </w:rPr>
              <w:t>况，一旦触发后，设备本地蜂鸣报警；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2.通过智能网关上传到平台，实时推送至子女手机、服务机构、政府集中看护大屏，起到应急响</w:t>
            </w:r>
            <w:r>
              <w:rPr>
                <w:rFonts w:hint="eastAsia" w:ascii="宋体" w:hAnsi="宋体" w:eastAsia="宋体" w:cs="宋体"/>
                <w:spacing w:val="-3"/>
                <w:sz w:val="18"/>
                <w:szCs w:val="18"/>
              </w:rPr>
              <w:t>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6"/>
                <w:sz w:val="18"/>
                <w:szCs w:val="18"/>
              </w:rPr>
              <w:drawing>
                <wp:inline distT="0" distB="0" distL="0" distR="0">
                  <wp:extent cx="752475" cy="518160"/>
                  <wp:effectExtent l="0" t="0" r="9525" b="1524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75"/>
                          <a:stretch>
                            <a:fillRect/>
                          </a:stretch>
                        </pic:blipFill>
                        <pic:spPr>
                          <a:xfrm>
                            <a:off x="0" y="0"/>
                            <a:ext cx="752856" cy="518668"/>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5"/>
                <w:sz w:val="18"/>
                <w:szCs w:val="18"/>
              </w:rPr>
            </w:pPr>
            <w:r>
              <w:rPr>
                <w:rFonts w:hint="eastAsia" w:ascii="宋体" w:hAnsi="宋体" w:eastAsia="宋体" w:cs="宋体"/>
                <w:spacing w:val="-5"/>
                <w:sz w:val="18"/>
                <w:szCs w:val="18"/>
              </w:rPr>
              <w:t>雷达波体征检测仪</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kern w:val="2"/>
                <w:sz w:val="18"/>
                <w:szCs w:val="18"/>
                <w:lang w:val="en-US" w:eastAsia="en-US" w:bidi="ar-SA"/>
              </w:rPr>
            </w:pPr>
            <w:r>
              <w:rPr>
                <w:rFonts w:hint="eastAsia" w:ascii="宋体" w:hAnsi="宋体" w:eastAsia="宋体" w:cs="宋体"/>
                <w:spacing w:val="-5"/>
                <w:sz w:val="18"/>
                <w:szCs w:val="18"/>
              </w:rPr>
              <w:t>（跌倒）</w:t>
            </w:r>
          </w:p>
        </w:tc>
        <w:tc>
          <w:tcPr>
            <w:tcW w:w="3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5"/>
                <w:sz w:val="18"/>
                <w:szCs w:val="18"/>
              </w:rPr>
            </w:pPr>
            <w:r>
              <w:rPr>
                <w:rFonts w:hint="eastAsia" w:ascii="宋体" w:hAnsi="宋体" w:eastAsia="宋体" w:cs="宋体"/>
                <w:spacing w:val="-5"/>
                <w:sz w:val="18"/>
                <w:szCs w:val="18"/>
              </w:rPr>
              <w:t>雷达波体征检测仪</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kern w:val="2"/>
                <w:sz w:val="18"/>
                <w:szCs w:val="18"/>
                <w:lang w:val="en-US" w:eastAsia="en-US" w:bidi="ar-SA"/>
              </w:rPr>
            </w:pPr>
            <w:r>
              <w:rPr>
                <w:rFonts w:hint="eastAsia" w:ascii="宋体" w:hAnsi="宋体" w:eastAsia="宋体" w:cs="宋体"/>
                <w:spacing w:val="-5"/>
                <w:sz w:val="18"/>
                <w:szCs w:val="18"/>
              </w:rPr>
              <w:t>（跌倒）</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5V2A供电，产品参考尺寸:81*81*30mm产品功能:</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1.支持WIFI连网功能2.支持蓝牙功能</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3.支持跌倒报警功能(跌倒时间可调5-180S)4.支持有人/无人检测功能</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5.支持驻留报警功能(时间可配置1-60min)</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6.支持顶装安装高度调节(2-3m)7.支持灵敏度可配置(0-3格/mg)</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8.支持驻留开关配置</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pacing w:val="-1"/>
                <w:sz w:val="18"/>
                <w:szCs w:val="18"/>
              </w:rPr>
            </w:pPr>
            <w:r>
              <w:rPr>
                <w:rFonts w:hint="eastAsia" w:ascii="宋体" w:hAnsi="宋体" w:eastAsia="宋体" w:cs="宋体"/>
                <w:spacing w:val="-1"/>
                <w:sz w:val="18"/>
                <w:szCs w:val="18"/>
              </w:rPr>
              <w:t>9.支持灵敏度开关配置10.USB转串口功能:</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
                <w:kern w:val="2"/>
                <w:sz w:val="18"/>
                <w:szCs w:val="18"/>
                <w:lang w:val="en-US" w:eastAsia="en-US" w:bidi="ar-SA"/>
              </w:rPr>
            </w:pPr>
            <w:r>
              <w:rPr>
                <w:rFonts w:hint="eastAsia" w:ascii="宋体" w:hAnsi="宋体" w:eastAsia="宋体" w:cs="宋体"/>
                <w:spacing w:val="-1"/>
                <w:sz w:val="18"/>
                <w:szCs w:val="18"/>
              </w:rPr>
              <w:t>11.支持按键复位功能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spacing w:val="-8"/>
                <w:kern w:val="2"/>
                <w:sz w:val="18"/>
                <w:szCs w:val="18"/>
                <w:lang w:val="en-US" w:eastAsia="zh-CN" w:bidi="ar-SA"/>
              </w:rPr>
            </w:pPr>
            <w:r>
              <w:rPr>
                <w:rFonts w:hint="eastAsia" w:ascii="宋体" w:hAnsi="宋体" w:eastAsia="宋体" w:cs="宋体"/>
                <w:spacing w:val="-3"/>
                <w:sz w:val="18"/>
                <w:szCs w:val="18"/>
                <w:lang w:val="en-US" w:eastAsia="zh-CN"/>
              </w:rPr>
              <w:t>450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1075690" cy="1066800"/>
                  <wp:effectExtent l="0" t="0" r="1016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76"/>
                          <a:stretch>
                            <a:fillRect/>
                          </a:stretch>
                        </pic:blipFill>
                        <pic:spPr>
                          <a:xfrm>
                            <a:off x="0" y="0"/>
                            <a:ext cx="1075943" cy="10668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视频或语音通话设备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智能监控摄像头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双向实时视频或语音通话，及时准确掌握老人在家实时情况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基础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智能监</w:t>
            </w:r>
            <w:r>
              <w:rPr>
                <w:rFonts w:hint="eastAsia" w:ascii="宋体" w:hAnsi="宋体" w:eastAsia="宋体" w:cs="宋体"/>
                <w:spacing w:val="-6"/>
                <w:sz w:val="18"/>
                <w:szCs w:val="18"/>
              </w:rPr>
              <w:t>控摄像</w:t>
            </w:r>
            <w:r>
              <w:rPr>
                <w:rFonts w:hint="eastAsia" w:ascii="宋体" w:hAnsi="宋体" w:eastAsia="宋体" w:cs="宋体"/>
                <w:sz w:val="18"/>
                <w:szCs w:val="18"/>
              </w:rPr>
              <w:t>头</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1.300万1/2.7"CMOS智能家居摄像机</w:t>
            </w:r>
            <w:r>
              <w:rPr>
                <w:rFonts w:hint="eastAsia" w:ascii="宋体" w:hAnsi="宋体" w:eastAsia="宋体" w:cs="宋体"/>
                <w:spacing w:val="-1"/>
                <w:sz w:val="18"/>
                <w:szCs w:val="18"/>
              </w:rPr>
              <w:t>2.电源供应DC5/1A</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3.红外照射距离≥10米(因环境而异)</w:t>
            </w:r>
            <w:r>
              <w:rPr>
                <w:rFonts w:hint="eastAsia" w:ascii="宋体" w:hAnsi="宋体" w:eastAsia="宋体" w:cs="宋体"/>
                <w:spacing w:val="-5"/>
                <w:sz w:val="18"/>
                <w:szCs w:val="18"/>
              </w:rPr>
              <w:t>4.电源接口MicroUSB接口</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5.有线网口一个RJ45，10M/1</w:t>
            </w:r>
            <w:r>
              <w:rPr>
                <w:rFonts w:hint="eastAsia" w:ascii="宋体" w:hAnsi="宋体" w:eastAsia="宋体" w:cs="宋体"/>
                <w:spacing w:val="-5"/>
                <w:sz w:val="18"/>
                <w:szCs w:val="18"/>
              </w:rPr>
              <w:t>00M自适应以太</w:t>
            </w:r>
            <w:r>
              <w:rPr>
                <w:rFonts w:hint="eastAsia" w:ascii="宋体" w:hAnsi="宋体" w:eastAsia="宋体" w:cs="宋体"/>
                <w:spacing w:val="8"/>
                <w:sz w:val="18"/>
                <w:szCs w:val="18"/>
              </w:rPr>
              <w:t>网口</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6.无线标准IEEE802.</w:t>
            </w:r>
            <w:r>
              <w:rPr>
                <w:rFonts w:hint="eastAsia" w:ascii="宋体" w:hAnsi="宋体" w:eastAsia="宋体" w:cs="宋体"/>
                <w:position w:val="-13"/>
                <w:sz w:val="18"/>
                <w:szCs w:val="18"/>
              </w:rPr>
              <w:drawing>
                <wp:inline distT="0" distB="0" distL="0" distR="0">
                  <wp:extent cx="205105" cy="203200"/>
                  <wp:effectExtent l="0" t="0" r="4445" b="5715"/>
                  <wp:docPr id="97" name="IM 144"/>
                  <wp:cNvGraphicFramePr/>
                  <a:graphic xmlns:a="http://schemas.openxmlformats.org/drawingml/2006/main">
                    <a:graphicData uri="http://schemas.openxmlformats.org/drawingml/2006/picture">
                      <pic:pic xmlns:pic="http://schemas.openxmlformats.org/drawingml/2006/picture">
                        <pic:nvPicPr>
                          <pic:cNvPr id="97" name="IM 144"/>
                          <pic:cNvPicPr/>
                        </pic:nvPicPr>
                        <pic:blipFill>
                          <a:blip r:embed="rId77"/>
                          <a:stretch>
                            <a:fillRect/>
                          </a:stretch>
                        </pic:blipFill>
                        <pic:spPr>
                          <a:xfrm>
                            <a:off x="0" y="0"/>
                            <a:ext cx="205412" cy="203293"/>
                          </a:xfrm>
                          <a:prstGeom prst="rect">
                            <a:avLst/>
                          </a:prstGeom>
                        </pic:spPr>
                      </pic:pic>
                    </a:graphicData>
                  </a:graphic>
                </wp:inline>
              </w:drawing>
            </w:r>
            <w:r>
              <w:rPr>
                <w:rFonts w:hint="eastAsia" w:ascii="宋体" w:hAnsi="宋体" w:eastAsia="宋体" w:cs="宋体"/>
                <w:spacing w:val="-1"/>
                <w:sz w:val="18"/>
                <w:szCs w:val="18"/>
              </w:rPr>
              <w:t>,802.1</w:t>
            </w:r>
            <w:r>
              <w:rPr>
                <w:rFonts w:hint="eastAsia" w:ascii="宋体" w:hAnsi="宋体" w:eastAsia="宋体" w:cs="宋体"/>
                <w:spacing w:val="-2"/>
                <w:sz w:val="18"/>
                <w:szCs w:val="18"/>
              </w:rPr>
              <w:t>1g,802.11n</w:t>
            </w:r>
            <w:r>
              <w:rPr>
                <w:rFonts w:hint="eastAsia" w:ascii="宋体" w:hAnsi="宋体" w:eastAsia="宋体" w:cs="宋体"/>
                <w:spacing w:val="-1"/>
                <w:sz w:val="18"/>
                <w:szCs w:val="18"/>
              </w:rPr>
              <w:t>7.频率范围2.4GHz2.</w:t>
            </w:r>
            <w:r>
              <w:rPr>
                <w:rFonts w:hint="eastAsia" w:ascii="宋体" w:hAnsi="宋体" w:eastAsia="宋体" w:cs="宋体"/>
                <w:position w:val="-13"/>
                <w:sz w:val="18"/>
                <w:szCs w:val="18"/>
              </w:rPr>
              <w:drawing>
                <wp:inline distT="0" distB="0" distL="0" distR="0">
                  <wp:extent cx="69850" cy="179705"/>
                  <wp:effectExtent l="0" t="0" r="6350" b="10795"/>
                  <wp:docPr id="99" name="IM 146"/>
                  <wp:cNvGraphicFramePr/>
                  <a:graphic xmlns:a="http://schemas.openxmlformats.org/drawingml/2006/main">
                    <a:graphicData uri="http://schemas.openxmlformats.org/drawingml/2006/picture">
                      <pic:pic xmlns:pic="http://schemas.openxmlformats.org/drawingml/2006/picture">
                        <pic:nvPicPr>
                          <pic:cNvPr id="99" name="IM 146"/>
                          <pic:cNvPicPr/>
                        </pic:nvPicPr>
                        <pic:blipFill>
                          <a:blip r:embed="rId78"/>
                          <a:stretch>
                            <a:fillRect/>
                          </a:stretch>
                        </pic:blipFill>
                        <pic:spPr>
                          <a:xfrm>
                            <a:off x="0" y="0"/>
                            <a:ext cx="70098" cy="179968"/>
                          </a:xfrm>
                          <a:prstGeom prst="rect">
                            <a:avLst/>
                          </a:prstGeom>
                        </pic:spPr>
                      </pic:pic>
                    </a:graphicData>
                  </a:graphic>
                </wp:inline>
              </w:drawing>
            </w:r>
            <w:r>
              <w:rPr>
                <w:rFonts w:hint="eastAsia" w:ascii="宋体" w:hAnsi="宋体" w:eastAsia="宋体" w:cs="宋体"/>
                <w:spacing w:val="-1"/>
                <w:sz w:val="18"/>
                <w:szCs w:val="18"/>
              </w:rPr>
              <w:t>835GHz</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8.工作温度和湿度：-10℃45℃,湿度小于</w:t>
            </w:r>
            <w:r>
              <w:rPr>
                <w:rFonts w:hint="eastAsia" w:ascii="宋体" w:hAnsi="宋体" w:eastAsia="宋体" w:cs="宋体"/>
                <w:spacing w:val="-1"/>
                <w:sz w:val="18"/>
                <w:szCs w:val="18"/>
              </w:rPr>
              <w:t>95%(无凝结)</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9.最大图像尺寸≥2304×1296支持双码流</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10.功能：服务独居老人。采用双电机云台，可</w:t>
            </w:r>
            <w:r>
              <w:rPr>
                <w:rFonts w:hint="eastAsia" w:ascii="宋体" w:hAnsi="宋体" w:eastAsia="宋体" w:cs="宋体"/>
                <w:spacing w:val="-2"/>
                <w:sz w:val="18"/>
                <w:szCs w:val="18"/>
              </w:rPr>
              <w:t>控制设备上下左右自由旋转，360°水平可视角度，96°垂直可视角度。轻音马达，防震结构</w:t>
            </w:r>
            <w:r>
              <w:rPr>
                <w:rFonts w:hint="eastAsia" w:ascii="宋体" w:hAnsi="宋体" w:eastAsia="宋体" w:cs="宋体"/>
                <w:spacing w:val="-1"/>
                <w:sz w:val="18"/>
                <w:szCs w:val="18"/>
              </w:rPr>
              <w:t>设计，让设备转动时平稳安静。支持双向语音实时通话，可以有效了解老人的情况和需求，提供情感慰藉。支持电视、手机、平板电脑远程查</w:t>
            </w:r>
            <w:r>
              <w:rPr>
                <w:rFonts w:hint="eastAsia" w:ascii="宋体" w:hAnsi="宋体" w:eastAsia="宋体" w:cs="宋体"/>
                <w:spacing w:val="-7"/>
                <w:sz w:val="18"/>
                <w:szCs w:val="18"/>
              </w:rPr>
              <w:t>看。</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lang w:val="en-US" w:eastAsia="zh-CN"/>
              </w:rPr>
              <w:t>66</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40"/>
                <w:sz w:val="18"/>
                <w:szCs w:val="18"/>
              </w:rPr>
              <w:drawing>
                <wp:inline distT="0" distB="0" distL="0" distR="0">
                  <wp:extent cx="904875" cy="1276985"/>
                  <wp:effectExtent l="0" t="0" r="9525" b="18415"/>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79"/>
                          <a:stretch>
                            <a:fillRect/>
                          </a:stretch>
                        </pic:blipFill>
                        <pic:spPr>
                          <a:xfrm>
                            <a:off x="0" y="0"/>
                            <a:ext cx="905256" cy="12771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红外探测器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安装在卧室、客厅等老年人频繁活动区域，探测老年人活动情况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6"/>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6"/>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红外探</w:t>
            </w:r>
            <w:r>
              <w:rPr>
                <w:rFonts w:hint="eastAsia" w:ascii="宋体" w:hAnsi="宋体" w:eastAsia="宋体" w:cs="宋体"/>
                <w:spacing w:val="-7"/>
                <w:sz w:val="18"/>
                <w:szCs w:val="18"/>
              </w:rPr>
              <w:t>测器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1.安装于室内必经通道，起到防盗（防恶意闯</w:t>
            </w:r>
            <w:r>
              <w:rPr>
                <w:rFonts w:hint="eastAsia" w:ascii="宋体" w:hAnsi="宋体" w:eastAsia="宋体" w:cs="宋体"/>
                <w:spacing w:val="-1"/>
                <w:sz w:val="18"/>
                <w:szCs w:val="18"/>
              </w:rPr>
              <w:t>入）以及记录老人活动轨迹的作用；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2.当监测到有人经过（或长时间无人经过）时，</w:t>
            </w:r>
            <w:r>
              <w:rPr>
                <w:rFonts w:hint="eastAsia" w:ascii="宋体" w:hAnsi="宋体" w:eastAsia="宋体" w:cs="宋体"/>
                <w:spacing w:val="-1"/>
                <w:sz w:val="18"/>
                <w:szCs w:val="18"/>
              </w:rPr>
              <w:t>通过智能网关上传到平台，实时推送至子女手</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机、服务机构、政府集中看护大屏，起到应急响</w:t>
            </w:r>
            <w:r>
              <w:rPr>
                <w:rFonts w:hint="eastAsia" w:ascii="宋体" w:hAnsi="宋体" w:eastAsia="宋体" w:cs="宋体"/>
                <w:spacing w:val="-3"/>
                <w:sz w:val="18"/>
                <w:szCs w:val="18"/>
              </w:rPr>
              <w:t>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6</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2"/>
                <w:sz w:val="18"/>
                <w:szCs w:val="18"/>
              </w:rPr>
              <w:drawing>
                <wp:inline distT="0" distB="0" distL="0" distR="0">
                  <wp:extent cx="778510" cy="699135"/>
                  <wp:effectExtent l="0" t="0" r="2540" b="5715"/>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80"/>
                          <a:stretch>
                            <a:fillRect/>
                          </a:stretch>
                        </pic:blipFill>
                        <pic:spPr>
                          <a:xfrm>
                            <a:off x="0" y="0"/>
                            <a:ext cx="778764" cy="699516"/>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智能感应设备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门磁感应器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装在门或窗等位置，实时监测门窗开闭状态，触发及时报警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13"/>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3"/>
                <w:sz w:val="18"/>
                <w:szCs w:val="18"/>
              </w:rPr>
              <w:t>门磁感</w:t>
            </w:r>
            <w:r>
              <w:rPr>
                <w:rFonts w:hint="eastAsia" w:ascii="宋体" w:hAnsi="宋体" w:eastAsia="宋体" w:cs="宋体"/>
                <w:spacing w:val="-7"/>
                <w:sz w:val="18"/>
                <w:szCs w:val="18"/>
              </w:rPr>
              <w:t>应器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1.安装于进出主门，起到防盗（防恶意闯入）以</w:t>
            </w:r>
            <w:r>
              <w:rPr>
                <w:rFonts w:hint="eastAsia" w:ascii="宋体" w:hAnsi="宋体" w:eastAsia="宋体" w:cs="宋体"/>
                <w:spacing w:val="-2"/>
                <w:sz w:val="18"/>
                <w:szCs w:val="18"/>
              </w:rPr>
              <w:t>及记录老人活动轨迹的作用；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2.当监测到门打开时，通过智能网关上传到平</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台，实时推送至子女手机、服务机构、政府集中</w:t>
            </w:r>
            <w:r>
              <w:rPr>
                <w:rFonts w:hint="eastAsia" w:ascii="宋体" w:hAnsi="宋体" w:eastAsia="宋体" w:cs="宋体"/>
                <w:spacing w:val="-1"/>
                <w:sz w:val="18"/>
                <w:szCs w:val="18"/>
              </w:rPr>
              <w:t>看护大屏，起到应急响应的作用。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lang w:val="en-US" w:eastAsia="zh-CN"/>
              </w:rPr>
              <w:t>9</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970280" cy="1010285"/>
                  <wp:effectExtent l="0" t="0" r="1270" b="18415"/>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81"/>
                          <a:stretch>
                            <a:fillRect/>
                          </a:stretch>
                        </pic:blipFill>
                        <pic:spPr>
                          <a:xfrm>
                            <a:off x="0" y="0"/>
                            <a:ext cx="970787" cy="10104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健康检测设备</w:t>
            </w: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5"/>
                <w:sz w:val="18"/>
                <w:szCs w:val="18"/>
              </w:rPr>
              <w:t>智能电子血压</w:t>
            </w:r>
            <w:r>
              <w:rPr>
                <w:rFonts w:hint="eastAsia" w:ascii="宋体" w:hAnsi="宋体" w:eastAsia="宋体" w:cs="宋体"/>
                <w:sz w:val="18"/>
                <w:szCs w:val="18"/>
              </w:rPr>
              <w:t>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智能电子血压</w:t>
            </w:r>
            <w:r>
              <w:rPr>
                <w:rFonts w:hint="eastAsia" w:ascii="宋体" w:hAnsi="宋体" w:eastAsia="宋体" w:cs="宋体"/>
                <w:sz w:val="18"/>
                <w:szCs w:val="18"/>
              </w:rPr>
              <w:t>计</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用于照护者给老人检测血压，并同时记录到平台端和子女手机端，形成长期的健康档案。</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支持蓝牙或NB或4G或Wi-Fi连接，可以直接采</w:t>
            </w:r>
            <w:r>
              <w:rPr>
                <w:rFonts w:hint="eastAsia" w:ascii="宋体" w:hAnsi="宋体" w:eastAsia="宋体" w:cs="宋体"/>
                <w:spacing w:val="-3"/>
                <w:sz w:val="18"/>
                <w:szCs w:val="18"/>
              </w:rPr>
              <w:t>集老人指标；</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支持检测数据实时上传至平台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w:t>
            </w:r>
            <w:r>
              <w:rPr>
                <w:rFonts w:hint="eastAsia" w:ascii="宋体" w:hAnsi="宋体" w:eastAsia="宋体" w:cs="宋体"/>
                <w:spacing w:val="-2"/>
                <w:sz w:val="18"/>
                <w:szCs w:val="18"/>
                <w:lang w:val="en-US" w:eastAsia="zh-CN"/>
              </w:rPr>
              <w:t>9</w:t>
            </w:r>
            <w:r>
              <w:rPr>
                <w:rFonts w:hint="eastAsia" w:ascii="宋体" w:hAnsi="宋体" w:eastAsia="宋体" w:cs="宋体"/>
                <w:spacing w:val="-2"/>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4"/>
                <w:sz w:val="18"/>
                <w:szCs w:val="18"/>
              </w:rPr>
              <w:drawing>
                <wp:inline distT="0" distB="0" distL="0" distR="0">
                  <wp:extent cx="914400" cy="781685"/>
                  <wp:effectExtent l="0" t="0" r="0" b="18415"/>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82"/>
                          <a:stretch>
                            <a:fillRect/>
                          </a:stretch>
                        </pic:blipFill>
                        <pic:spPr>
                          <a:xfrm>
                            <a:off x="0" y="0"/>
                            <a:ext cx="914400" cy="7818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5"/>
                <w:sz w:val="18"/>
                <w:szCs w:val="18"/>
              </w:rPr>
              <w:t>智能血</w:t>
            </w:r>
            <w:r>
              <w:rPr>
                <w:rFonts w:hint="eastAsia" w:ascii="宋体" w:hAnsi="宋体" w:eastAsia="宋体" w:cs="宋体"/>
                <w:spacing w:val="-6"/>
                <w:sz w:val="18"/>
                <w:szCs w:val="18"/>
              </w:rPr>
              <w:t>糖测试</w:t>
            </w:r>
            <w:r>
              <w:rPr>
                <w:rFonts w:hint="eastAsia" w:ascii="宋体" w:hAnsi="宋体" w:eastAsia="宋体" w:cs="宋体"/>
                <w:sz w:val="18"/>
                <w:szCs w:val="18"/>
              </w:rPr>
              <w:t>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智能血</w:t>
            </w:r>
            <w:r>
              <w:rPr>
                <w:rFonts w:hint="eastAsia" w:ascii="宋体" w:hAnsi="宋体" w:eastAsia="宋体" w:cs="宋体"/>
                <w:spacing w:val="-6"/>
                <w:sz w:val="18"/>
                <w:szCs w:val="18"/>
              </w:rPr>
              <w:t>糖测试</w:t>
            </w:r>
            <w:r>
              <w:rPr>
                <w:rFonts w:hint="eastAsia" w:ascii="宋体" w:hAnsi="宋体" w:eastAsia="宋体" w:cs="宋体"/>
                <w:sz w:val="18"/>
                <w:szCs w:val="18"/>
              </w:rPr>
              <w:t>仪</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用于照护者给老人检测血压，并同时记录到平台端和子女手机端，形成长期的健康档案。</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1.支持微量采血；</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2.支持检测数据实时上传至平台。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w:t>
            </w:r>
            <w:r>
              <w:rPr>
                <w:rFonts w:hint="eastAsia" w:ascii="宋体" w:hAnsi="宋体" w:eastAsia="宋体" w:cs="宋体"/>
                <w:spacing w:val="-2"/>
                <w:sz w:val="18"/>
                <w:szCs w:val="18"/>
                <w:lang w:val="en-US" w:eastAsia="zh-CN"/>
              </w:rPr>
              <w:t>8</w:t>
            </w:r>
            <w:r>
              <w:rPr>
                <w:rFonts w:hint="eastAsia" w:ascii="宋体" w:hAnsi="宋体" w:eastAsia="宋体" w:cs="宋体"/>
                <w:spacing w:val="-2"/>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0"/>
                <w:sz w:val="18"/>
                <w:szCs w:val="18"/>
              </w:rPr>
              <w:drawing>
                <wp:inline distT="0" distB="0" distL="0" distR="0">
                  <wp:extent cx="913765" cy="952500"/>
                  <wp:effectExtent l="0" t="0" r="635"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83"/>
                          <a:stretch>
                            <a:fillRect/>
                          </a:stretch>
                        </pic:blipFill>
                        <pic:spPr>
                          <a:xfrm>
                            <a:off x="0" y="0"/>
                            <a:ext cx="914399" cy="9525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000000"/>
                <w:kern w:val="0"/>
                <w:sz w:val="18"/>
                <w:szCs w:val="18"/>
              </w:rPr>
            </w:pPr>
            <w:r>
              <w:rPr>
                <w:rFonts w:hint="eastAsia" w:ascii="宋体" w:hAnsi="宋体" w:eastAsia="宋体" w:cs="宋体"/>
                <w:spacing w:val="-5"/>
                <w:sz w:val="18"/>
                <w:szCs w:val="18"/>
              </w:rPr>
              <w:t>智能血</w:t>
            </w:r>
            <w:r>
              <w:rPr>
                <w:rFonts w:hint="eastAsia" w:ascii="宋体" w:hAnsi="宋体" w:eastAsia="宋体" w:cs="宋体"/>
                <w:spacing w:val="-9"/>
                <w:sz w:val="18"/>
                <w:szCs w:val="18"/>
              </w:rPr>
              <w:t>氧仪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智能血</w:t>
            </w:r>
            <w:r>
              <w:rPr>
                <w:rFonts w:hint="eastAsia" w:ascii="宋体" w:hAnsi="宋体" w:eastAsia="宋体" w:cs="宋体"/>
                <w:spacing w:val="-9"/>
                <w:sz w:val="18"/>
                <w:szCs w:val="18"/>
              </w:rPr>
              <w:t>氧仪</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用于照护者给老人检测血氧，并同时记录到平台端和子女手机端，形成长期的健康档案</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6"/>
                <w:sz w:val="18"/>
                <w:szCs w:val="18"/>
              </w:rPr>
              <w:t>总体要求</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监测血氧值的变化</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支持检测数据实时上传至平台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4"/>
                <w:sz w:val="18"/>
                <w:szCs w:val="18"/>
              </w:rPr>
              <w:t>2</w:t>
            </w:r>
            <w:r>
              <w:rPr>
                <w:rFonts w:hint="eastAsia" w:ascii="宋体" w:hAnsi="宋体" w:eastAsia="宋体" w:cs="宋体"/>
                <w:spacing w:val="-4"/>
                <w:sz w:val="18"/>
                <w:szCs w:val="18"/>
                <w:lang w:val="en-US" w:eastAsia="zh-CN"/>
              </w:rPr>
              <w:t>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8"/>
                <w:sz w:val="18"/>
                <w:szCs w:val="18"/>
              </w:rPr>
              <w:drawing>
                <wp:inline distT="0" distB="0" distL="0" distR="0">
                  <wp:extent cx="1076960" cy="916940"/>
                  <wp:effectExtent l="0" t="0" r="8890" b="1651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84"/>
                          <a:stretch>
                            <a:fillRect/>
                          </a:stretch>
                        </pic:blipFill>
                        <pic:spPr>
                          <a:xfrm>
                            <a:off x="0" y="0"/>
                            <a:ext cx="1077468" cy="917447"/>
                          </a:xfrm>
                          <a:prstGeom prst="rect">
                            <a:avLst/>
                          </a:prstGeom>
                        </pic:spPr>
                      </pic:pic>
                    </a:graphicData>
                  </a:graphic>
                </wp:inline>
              </w:drawing>
            </w:r>
          </w:p>
        </w:tc>
      </w:tr>
      <w:tr>
        <w:tblPrEx>
          <w:tblCellMar>
            <w:top w:w="0" w:type="dxa"/>
            <w:left w:w="108" w:type="dxa"/>
            <w:bottom w:w="0" w:type="dxa"/>
            <w:right w:w="108" w:type="dxa"/>
          </w:tblCellMar>
        </w:tblPrEx>
        <w:trPr>
          <w:trHeight w:val="59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三、老年用品品（以下五个项目任选三项，其中每项具体内容中可任选其一）</w:t>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类别</w:t>
            </w: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具体内容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项目类型</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产品名称</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性能参数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最高限价</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元）</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参考图片</w:t>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老年用品</w:t>
            </w:r>
          </w:p>
        </w:tc>
        <w:tc>
          <w:tcPr>
            <w:tcW w:w="200"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手杖</w:t>
            </w:r>
          </w:p>
        </w:tc>
        <w:tc>
          <w:tcPr>
            <w:tcW w:w="332"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p>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辅助老年人平稳站立和行走，包含三脚或四脚手杖、凳拐等</w:t>
            </w:r>
          </w:p>
        </w:tc>
        <w:tc>
          <w:tcPr>
            <w:tcW w:w="345"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任选其一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单脚手</w:t>
            </w:r>
            <w:r>
              <w:rPr>
                <w:rFonts w:hint="eastAsia" w:ascii="宋体" w:hAnsi="宋体" w:eastAsia="宋体" w:cs="宋体"/>
                <w:sz w:val="18"/>
                <w:szCs w:val="18"/>
              </w:rPr>
              <w:t>杖</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1.高强度铝合金管材，表面色阳极氧化，大圆单</w:t>
            </w:r>
            <w:r>
              <w:rPr>
                <w:rFonts w:hint="eastAsia" w:ascii="宋体" w:hAnsi="宋体" w:eastAsia="宋体" w:cs="宋体"/>
                <w:spacing w:val="-4"/>
                <w:sz w:val="18"/>
                <w:szCs w:val="18"/>
              </w:rPr>
              <w:t>头拐杖脚；</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2.高度可调节，适合不同身高的人使用。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80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1066800" cy="1057275"/>
                  <wp:effectExtent l="0" t="0" r="0" b="9525"/>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85"/>
                          <a:stretch>
                            <a:fillRect/>
                          </a:stretch>
                        </pic:blipFill>
                        <pic:spPr>
                          <a:xfrm>
                            <a:off x="0" y="0"/>
                            <a:ext cx="1066800" cy="1057655"/>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三脚手</w:t>
            </w:r>
            <w:r>
              <w:rPr>
                <w:rFonts w:hint="eastAsia" w:ascii="宋体" w:hAnsi="宋体" w:eastAsia="宋体" w:cs="宋体"/>
                <w:sz w:val="18"/>
                <w:szCs w:val="18"/>
              </w:rPr>
              <w:t>杖</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1.材质：采用高强度铝合金管材，表面色阳极氧</w:t>
            </w:r>
            <w:r>
              <w:rPr>
                <w:rFonts w:hint="eastAsia" w:ascii="宋体" w:hAnsi="宋体" w:eastAsia="宋体" w:cs="宋体"/>
                <w:spacing w:val="-8"/>
                <w:sz w:val="18"/>
                <w:szCs w:val="18"/>
              </w:rPr>
              <w:t>化；</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2.底座：有3个橡胶支撑脚，具备防滑功能；</w:t>
            </w:r>
            <w:r>
              <w:rPr>
                <w:rFonts w:hint="eastAsia" w:ascii="宋体" w:hAnsi="宋体" w:eastAsia="宋体" w:cs="宋体"/>
                <w:spacing w:val="-1"/>
                <w:sz w:val="18"/>
                <w:szCs w:val="18"/>
              </w:rPr>
              <w:t>3.高度：可伸缩调节高度；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lang w:val="en-US" w:eastAsia="zh-CN"/>
              </w:rPr>
              <w:t>10</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1057275" cy="1002665"/>
                  <wp:effectExtent l="0" t="0" r="9525" b="6985"/>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86"/>
                          <a:stretch>
                            <a:fillRect/>
                          </a:stretch>
                        </pic:blipFill>
                        <pic:spPr>
                          <a:xfrm>
                            <a:off x="0" y="0"/>
                            <a:ext cx="1057655" cy="100279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4"/>
                <w:sz w:val="18"/>
                <w:szCs w:val="18"/>
              </w:rPr>
              <w:t>四脚手</w:t>
            </w:r>
            <w:r>
              <w:rPr>
                <w:rFonts w:hint="eastAsia" w:ascii="宋体" w:hAnsi="宋体" w:eastAsia="宋体" w:cs="宋体"/>
                <w:sz w:val="18"/>
                <w:szCs w:val="18"/>
              </w:rPr>
              <w:t>杖</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1.高强度铝合金管，青蓝金金属烤漆，高度可调</w:t>
            </w:r>
            <w:r>
              <w:rPr>
                <w:rFonts w:hint="eastAsia" w:ascii="宋体" w:hAnsi="宋体" w:eastAsia="宋体" w:cs="宋体"/>
                <w:spacing w:val="-7"/>
                <w:sz w:val="18"/>
                <w:szCs w:val="18"/>
              </w:rPr>
              <w:t>整；</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2.小高四脚支撑，携带更轻便。</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lang w:val="en-US" w:eastAsia="zh-CN"/>
              </w:rPr>
              <w:t>10</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362585" cy="1000760"/>
                  <wp:effectExtent l="0" t="0" r="18415" b="889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87"/>
                          <a:stretch>
                            <a:fillRect/>
                          </a:stretch>
                        </pic:blipFill>
                        <pic:spPr>
                          <a:xfrm>
                            <a:off x="0" y="0"/>
                            <a:ext cx="362711" cy="10012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凳拐</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1:参考尺寸：33*27*(70-80)CM，凳面24*24cm，座宽24CM，座高45-55CM，配4CM防滑脚垫</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2:材质：铝合金ABS塑料</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3:调节范围：高度5档可调</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4:承重：最大静载荷≥100kg</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5:描述：表面阳极氧化亮面处理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9</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4"/>
                <w:sz w:val="18"/>
                <w:szCs w:val="18"/>
              </w:rPr>
              <w:drawing>
                <wp:inline distT="0" distB="0" distL="0" distR="0">
                  <wp:extent cx="871220" cy="767715"/>
                  <wp:effectExtent l="0" t="0" r="5080" b="13335"/>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88"/>
                          <a:stretch>
                            <a:fillRect/>
                          </a:stretch>
                        </pic:blipFill>
                        <pic:spPr>
                          <a:xfrm>
                            <a:off x="0" y="0"/>
                            <a:ext cx="871728" cy="768096"/>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肘拐</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1.材质：高强度铝合金管材，表面金属烤漆；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2.高度可调节，壁厚1.0，适合不同身高的人使</w:t>
            </w:r>
            <w:r>
              <w:rPr>
                <w:rFonts w:hint="eastAsia" w:ascii="宋体" w:hAnsi="宋体" w:eastAsia="宋体" w:cs="宋体"/>
                <w:spacing w:val="-3"/>
                <w:sz w:val="18"/>
                <w:szCs w:val="18"/>
              </w:rPr>
              <w:t>用，调节高度1300-1550mm。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副</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8"/>
                <w:sz w:val="18"/>
                <w:szCs w:val="18"/>
                <w:lang w:val="en-US" w:eastAsia="zh-CN"/>
              </w:rPr>
              <w:t>200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1"/>
                <w:sz w:val="18"/>
                <w:szCs w:val="18"/>
              </w:rPr>
              <w:drawing>
                <wp:inline distT="0" distB="0" distL="0" distR="0">
                  <wp:extent cx="723900" cy="695960"/>
                  <wp:effectExtent l="0" t="0" r="0" b="889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89"/>
                          <a:stretch>
                            <a:fillRect/>
                          </a:stretch>
                        </pic:blipFill>
                        <pic:spPr>
                          <a:xfrm>
                            <a:off x="0" y="0"/>
                            <a:ext cx="723900" cy="6964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轮椅/助行器</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辅助家人、照护人员推行/帮助老年人站立行走，扩大老年人活动空间</w:t>
            </w:r>
          </w:p>
        </w:tc>
        <w:tc>
          <w:tcPr>
            <w:tcW w:w="345"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任选其一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7"/>
                <w:sz w:val="18"/>
                <w:szCs w:val="18"/>
              </w:rPr>
              <w:t>轮椅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1.产品符合 GB/T13800-2009《手动轮椅车》国家标准；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2.车架：由优质钢管焊接组合成型，采用固定式扶手，固定式脚托，锁紧装置可靠，安全性能好，表面静电喷涂处理；</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3.前轮：7寸实心前轮，配一体冲压成型金属拐臂，强度高不变形。</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4.后轮：24寸实心胎，铝合金轮廓配置36根辐条；配置高强度双波浪手轮圈，采用防滑性设计。</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5.刹车：采用钢制肘节式刹车装置，刹车装置制动后低于座位面，方便使用者上下车；后把配置带刹车功能的手连动刹车。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6.座靠垫：采用600D牛津布座垫，透气舒适，缝边牢固整齐；扶手：采用优质abs扶手垫。</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7.护板：选用PP塑料护板。</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8.脚踏板：配置高强度塑料脚踏板，脚踏板高度可调。</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9.安全带：座位配有加厚型按扣安全带。</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10.配有护腿带，防止小腿后移，更加安全。</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3"/>
                <w:sz w:val="18"/>
                <w:szCs w:val="18"/>
              </w:rPr>
            </w:pPr>
            <w:r>
              <w:rPr>
                <w:rFonts w:hint="eastAsia" w:ascii="宋体" w:hAnsi="宋体" w:eastAsia="宋体" w:cs="宋体"/>
                <w:spacing w:val="-3"/>
                <w:sz w:val="18"/>
                <w:szCs w:val="18"/>
              </w:rPr>
              <w:t>11.规格：折叠宽度 27cm，座位深度 42cm，座位宽度 45cm，座位离地面高度 45cm；轮椅尺寸（CM)：103*68*86。</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12.承重：100KG。</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en-US" w:bidi="ar-SA"/>
              </w:rPr>
            </w:pPr>
            <w:r>
              <w:rPr>
                <w:rFonts w:hint="eastAsia" w:ascii="宋体" w:hAnsi="宋体" w:eastAsia="宋体" w:cs="宋体"/>
                <w:spacing w:val="-3"/>
                <w:sz w:val="18"/>
                <w:szCs w:val="18"/>
                <w:lang w:val="en-US" w:eastAsia="zh-CN"/>
              </w:rPr>
              <w:t>460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1057275" cy="1048385"/>
                  <wp:effectExtent l="0" t="0" r="9525" b="18415"/>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90"/>
                          <a:stretch>
                            <a:fillRect/>
                          </a:stretch>
                        </pic:blipFill>
                        <pic:spPr>
                          <a:xfrm>
                            <a:off x="0" y="0"/>
                            <a:ext cx="1057655" cy="1048511"/>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9"/>
                <w:sz w:val="18"/>
                <w:szCs w:val="18"/>
              </w:rPr>
              <w:t>带便盆</w:t>
            </w:r>
            <w:r>
              <w:rPr>
                <w:rFonts w:hint="eastAsia" w:ascii="宋体" w:hAnsi="宋体" w:eastAsia="宋体" w:cs="宋体"/>
                <w:spacing w:val="-5"/>
                <w:sz w:val="18"/>
                <w:szCs w:val="18"/>
              </w:rPr>
              <w:t>带餐桌板的轮</w:t>
            </w:r>
            <w:r>
              <w:rPr>
                <w:rFonts w:hint="eastAsia" w:ascii="宋体" w:hAnsi="宋体" w:eastAsia="宋体" w:cs="宋体"/>
                <w:sz w:val="18"/>
                <w:szCs w:val="18"/>
              </w:rPr>
              <w:t>椅</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1.产品为可折叠，双支撑架，手动四轮轮椅；</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2.车架为钢管材料，表面处理为喷塑，沉降式座</w:t>
            </w:r>
            <w:r>
              <w:rPr>
                <w:rFonts w:hint="eastAsia" w:ascii="宋体" w:hAnsi="宋体" w:eastAsia="宋体" w:cs="宋体"/>
                <w:spacing w:val="-2"/>
                <w:sz w:val="18"/>
                <w:szCs w:val="18"/>
              </w:rPr>
              <w:t>便垫，带便盆，送餐桌板；</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3.固定扶手，可调降搁脚，带旁板，高靠背（半</w:t>
            </w:r>
            <w:r>
              <w:rPr>
                <w:rFonts w:hint="eastAsia" w:ascii="宋体" w:hAnsi="宋体" w:eastAsia="宋体" w:cs="宋体"/>
                <w:spacing w:val="-3"/>
                <w:sz w:val="18"/>
                <w:szCs w:val="18"/>
              </w:rPr>
              <w:t>躺</w:t>
            </w:r>
            <w:r>
              <w:rPr>
                <w:rFonts w:hint="eastAsia" w:ascii="宋体" w:hAnsi="宋体" w:eastAsia="宋体" w:cs="宋体"/>
                <w:spacing w:val="19"/>
                <w:sz w:val="18"/>
                <w:szCs w:val="18"/>
              </w:rPr>
              <w:t>），</w:t>
            </w:r>
            <w:r>
              <w:rPr>
                <w:rFonts w:hint="eastAsia" w:ascii="宋体" w:hAnsi="宋体" w:eastAsia="宋体" w:cs="宋体"/>
                <w:spacing w:val="-3"/>
                <w:sz w:val="18"/>
                <w:szCs w:val="18"/>
              </w:rPr>
              <w:t>防后倾装，高强度塑料手推圈和前叉；</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4.参考尺寸：座位深度460mm，座宽450mm，张</w:t>
            </w:r>
            <w:r>
              <w:rPr>
                <w:rFonts w:hint="eastAsia" w:ascii="宋体" w:hAnsi="宋体" w:eastAsia="宋体" w:cs="宋体"/>
                <w:spacing w:val="-2"/>
                <w:sz w:val="18"/>
                <w:szCs w:val="18"/>
              </w:rPr>
              <w:t>车宽690mm，车长1360mm，靠背高780mm，座高490mm，车高1200mm，收车宽320mm；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5.脚踏板高度可调节，调节方式应牢固可靠；</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6.前轮为直径8英寸实心橡胶轮胎；后轮为直径</w:t>
            </w:r>
            <w:r>
              <w:rPr>
                <w:rFonts w:hint="eastAsia" w:ascii="宋体" w:hAnsi="宋体" w:eastAsia="宋体" w:cs="宋体"/>
                <w:spacing w:val="-1"/>
                <w:sz w:val="18"/>
                <w:szCs w:val="18"/>
              </w:rPr>
              <w:t>22英寸免充气轮胎；后轮轴带大轴套；前后</w:t>
            </w:r>
            <w:r>
              <w:rPr>
                <w:rFonts w:hint="eastAsia" w:ascii="宋体" w:hAnsi="宋体" w:eastAsia="宋体" w:cs="宋体"/>
                <w:spacing w:val="-2"/>
                <w:sz w:val="18"/>
                <w:szCs w:val="18"/>
              </w:rPr>
              <w:t>轮结</w:t>
            </w:r>
            <w:r>
              <w:rPr>
                <w:rFonts w:hint="eastAsia" w:ascii="宋体" w:hAnsi="宋体" w:eastAsia="宋体" w:cs="宋体"/>
                <w:spacing w:val="-1"/>
                <w:sz w:val="18"/>
                <w:szCs w:val="18"/>
              </w:rPr>
              <w:t>构应牢固可靠，适合不同路面的使用要求；前小轮轴带减震橡胶，前叉采用双轴承结构；</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7.轮椅车配备安全带，承重100KG以</w:t>
            </w:r>
            <w:r>
              <w:rPr>
                <w:rFonts w:hint="eastAsia" w:ascii="宋体" w:hAnsi="宋体" w:eastAsia="宋体" w:cs="宋体"/>
                <w:spacing w:val="-5"/>
                <w:sz w:val="18"/>
                <w:szCs w:val="18"/>
              </w:rPr>
              <w:t>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6"/>
                <w:sz w:val="18"/>
                <w:szCs w:val="18"/>
                <w:lang w:val="en-US" w:eastAsia="zh-CN"/>
              </w:rPr>
              <w:t>830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2"/>
                <w:sz w:val="18"/>
                <w:szCs w:val="18"/>
              </w:rPr>
              <w:drawing>
                <wp:inline distT="0" distB="0" distL="0" distR="0">
                  <wp:extent cx="914400" cy="102870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91"/>
                          <a:stretch>
                            <a:fillRect/>
                          </a:stretch>
                        </pic:blipFill>
                        <pic:spPr>
                          <a:xfrm>
                            <a:off x="0" y="0"/>
                            <a:ext cx="914400" cy="10287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框式助</w:t>
            </w:r>
            <w:r>
              <w:rPr>
                <w:rFonts w:hint="eastAsia" w:ascii="宋体" w:hAnsi="宋体" w:eastAsia="宋体" w:cs="宋体"/>
                <w:spacing w:val="-8"/>
                <w:sz w:val="18"/>
                <w:szCs w:val="18"/>
              </w:rPr>
              <w:t>行器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8"/>
                <w:sz w:val="18"/>
                <w:szCs w:val="18"/>
              </w:rPr>
              <w:t>1.材质：钢管喷塑；</w:t>
            </w:r>
            <w:r>
              <w:rPr>
                <w:rFonts w:hint="eastAsia" w:ascii="宋体" w:hAnsi="宋体" w:eastAsia="宋体" w:cs="宋体"/>
                <w:spacing w:val="-2"/>
                <w:sz w:val="18"/>
                <w:szCs w:val="18"/>
              </w:rPr>
              <w:t>2.可折叠；</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3.高度约795mm，可根据身高调节；</w:t>
            </w:r>
            <w:r>
              <w:rPr>
                <w:rFonts w:hint="eastAsia" w:ascii="宋体" w:hAnsi="宋体" w:eastAsia="宋体" w:cs="宋体"/>
                <w:spacing w:val="-1"/>
                <w:sz w:val="18"/>
                <w:szCs w:val="18"/>
              </w:rPr>
              <w:t>4.扶手间距465mm。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2</w:t>
            </w:r>
            <w:r>
              <w:rPr>
                <w:rFonts w:hint="eastAsia" w:ascii="宋体" w:hAnsi="宋体" w:eastAsia="宋体" w:cs="宋体"/>
                <w:spacing w:val="-4"/>
                <w:sz w:val="18"/>
                <w:szCs w:val="18"/>
                <w:lang w:val="en-US" w:eastAsia="zh-CN"/>
              </w:rPr>
              <w:t>4</w:t>
            </w:r>
            <w:r>
              <w:rPr>
                <w:rFonts w:hint="eastAsia" w:ascii="宋体" w:hAnsi="宋体" w:eastAsia="宋体" w:cs="宋体"/>
                <w:spacing w:val="-4"/>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6"/>
                <w:sz w:val="18"/>
                <w:szCs w:val="18"/>
              </w:rPr>
              <w:drawing>
                <wp:inline distT="0" distB="0" distL="0" distR="0">
                  <wp:extent cx="838200" cy="53340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92"/>
                          <a:stretch>
                            <a:fillRect/>
                          </a:stretch>
                        </pic:blipFill>
                        <pic:spPr>
                          <a:xfrm>
                            <a:off x="0" y="0"/>
                            <a:ext cx="838200" cy="5334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5"/>
                <w:kern w:val="2"/>
                <w:sz w:val="18"/>
                <w:szCs w:val="18"/>
                <w:lang w:val="en-US" w:eastAsia="en-US" w:bidi="ar-SA"/>
              </w:rPr>
            </w:pPr>
            <w:r>
              <w:rPr>
                <w:rFonts w:hint="eastAsia" w:ascii="宋体" w:hAnsi="宋体" w:eastAsia="宋体" w:cs="宋体"/>
                <w:spacing w:val="-6"/>
                <w:sz w:val="18"/>
                <w:szCs w:val="18"/>
              </w:rPr>
              <w:t>老人购物助行</w:t>
            </w:r>
            <w:r>
              <w:rPr>
                <w:rFonts w:hint="eastAsia" w:ascii="宋体" w:hAnsi="宋体" w:eastAsia="宋体" w:cs="宋体"/>
                <w:sz w:val="18"/>
                <w:szCs w:val="18"/>
              </w:rPr>
              <w:t>车</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1.快速折叠，轻松收纳一折一叠轻巧收纳不占</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地，收纳后可放于角落，节省空间，不占地；</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2.适合不同身高人群，扶手高度可调，更加人性化，针对不同身高人群均可使用；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3.加大加固购物筐，加厚加大购物筐，拉油，拉</w:t>
            </w:r>
            <w:r>
              <w:rPr>
                <w:rFonts w:hint="eastAsia" w:ascii="宋体" w:hAnsi="宋体" w:eastAsia="宋体" w:cs="宋体"/>
                <w:spacing w:val="-2"/>
                <w:sz w:val="18"/>
                <w:szCs w:val="18"/>
              </w:rPr>
              <w:t>米，拉面，省力轻松；</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4.柔软发泡海绵扶手，老人助行使用，更为舒</w:t>
            </w:r>
            <w:r>
              <w:rPr>
                <w:rFonts w:hint="eastAsia" w:ascii="宋体" w:hAnsi="宋体" w:eastAsia="宋体" w:cs="宋体"/>
                <w:spacing w:val="-2"/>
                <w:sz w:val="18"/>
                <w:szCs w:val="18"/>
              </w:rPr>
              <w:t>适，久握不累防止出汗脱手；</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3"/>
                <w:sz w:val="18"/>
                <w:szCs w:val="18"/>
              </w:rPr>
              <w:t>5.加高加厚海绵靠背，实心木板+高密度海绵，</w:t>
            </w:r>
            <w:r>
              <w:rPr>
                <w:rFonts w:hint="eastAsia" w:ascii="宋体" w:hAnsi="宋体" w:eastAsia="宋体" w:cs="宋体"/>
                <w:spacing w:val="-2"/>
                <w:sz w:val="18"/>
                <w:szCs w:val="18"/>
              </w:rPr>
              <w:t>使用寿命长倚靠更为舒适；</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pacing w:val="-4"/>
                <w:kern w:val="2"/>
                <w:sz w:val="18"/>
                <w:szCs w:val="18"/>
                <w:lang w:val="en-US" w:eastAsia="en-US" w:bidi="ar-SA"/>
              </w:rPr>
            </w:pPr>
            <w:r>
              <w:rPr>
                <w:rFonts w:hint="eastAsia" w:ascii="宋体" w:hAnsi="宋体" w:eastAsia="宋体" w:cs="宋体"/>
                <w:spacing w:val="-1"/>
                <w:sz w:val="18"/>
                <w:szCs w:val="18"/>
              </w:rPr>
              <w:t>6.耐磨加固刹车后轮，加厚耐磨橡胶后轮，耐磨</w:t>
            </w:r>
            <w:r>
              <w:rPr>
                <w:rFonts w:hint="eastAsia" w:ascii="宋体" w:hAnsi="宋体" w:eastAsia="宋体" w:cs="宋体"/>
                <w:spacing w:val="-4"/>
                <w:sz w:val="18"/>
                <w:szCs w:val="18"/>
              </w:rPr>
              <w:t>耐用抗震。</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pacing w:val="-4"/>
                <w:kern w:val="2"/>
                <w:sz w:val="18"/>
                <w:szCs w:val="18"/>
                <w:lang w:val="en-US" w:eastAsia="en-US" w:bidi="ar-SA"/>
              </w:rPr>
            </w:pPr>
            <w:r>
              <w:rPr>
                <w:rFonts w:hint="eastAsia" w:ascii="宋体" w:hAnsi="宋体" w:eastAsia="宋体" w:cs="宋体"/>
                <w:spacing w:val="-4"/>
                <w:sz w:val="18"/>
                <w:szCs w:val="18"/>
                <w:lang w:val="en-US" w:eastAsia="zh-CN"/>
              </w:rPr>
              <w:t>5</w:t>
            </w:r>
            <w:r>
              <w:rPr>
                <w:rFonts w:hint="eastAsia" w:ascii="宋体" w:hAnsi="宋体" w:eastAsia="宋体" w:cs="宋体"/>
                <w:spacing w:val="-4"/>
                <w:sz w:val="18"/>
                <w:szCs w:val="18"/>
              </w:rPr>
              <w:t>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3"/>
                <w:sz w:val="18"/>
                <w:szCs w:val="18"/>
              </w:rPr>
              <w:drawing>
                <wp:inline distT="0" distB="0" distL="0" distR="0">
                  <wp:extent cx="880745" cy="1063625"/>
                  <wp:effectExtent l="0" t="0" r="14605" b="3175"/>
                  <wp:docPr id="11" name="IM 176"/>
                  <wp:cNvGraphicFramePr/>
                  <a:graphic xmlns:a="http://schemas.openxmlformats.org/drawingml/2006/main">
                    <a:graphicData uri="http://schemas.openxmlformats.org/drawingml/2006/picture">
                      <pic:pic xmlns:pic="http://schemas.openxmlformats.org/drawingml/2006/picture">
                        <pic:nvPicPr>
                          <pic:cNvPr id="11" name="IM 176"/>
                          <pic:cNvPicPr/>
                        </pic:nvPicPr>
                        <pic:blipFill>
                          <a:blip r:embed="rId93"/>
                          <a:stretch>
                            <a:fillRect/>
                          </a:stretch>
                        </pic:blipFill>
                        <pic:spPr>
                          <a:xfrm>
                            <a:off x="0" y="0"/>
                            <a:ext cx="880871" cy="1063752"/>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p>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放大装置</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任选其一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放大镜</w:t>
            </w:r>
            <w:r>
              <w:rPr>
                <w:rFonts w:hint="eastAsia" w:ascii="宋体" w:hAnsi="宋体" w:eastAsia="宋体" w:cs="宋体"/>
                <w:spacing w:val="-5"/>
                <w:sz w:val="18"/>
                <w:szCs w:val="18"/>
              </w:rPr>
              <w:t>指甲钳</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5"/>
                <w:sz w:val="18"/>
                <w:szCs w:val="18"/>
              </w:rPr>
              <w:t>1.参考尺寸:130*42mm；</w:t>
            </w:r>
            <w:r>
              <w:rPr>
                <w:rFonts w:hint="eastAsia" w:ascii="宋体" w:hAnsi="宋体" w:eastAsia="宋体" w:cs="宋体"/>
                <w:spacing w:val="-4"/>
                <w:sz w:val="18"/>
                <w:szCs w:val="18"/>
              </w:rPr>
              <w:t>2.材质：碳钢+ABS+PP；</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3.功能：带有放大镜，放大镜也可单独使用。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en-US" w:bidi="ar-SA"/>
              </w:rPr>
            </w:pPr>
            <w:r>
              <w:rPr>
                <w:rFonts w:hint="eastAsia" w:ascii="宋体" w:hAnsi="宋体" w:eastAsia="宋体" w:cs="宋体"/>
                <w:spacing w:val="-3"/>
                <w:sz w:val="18"/>
                <w:szCs w:val="18"/>
                <w:lang w:val="en-US" w:eastAsia="zh-CN"/>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7"/>
                <w:sz w:val="18"/>
                <w:szCs w:val="18"/>
              </w:rPr>
              <w:drawing>
                <wp:inline distT="0" distB="0" distL="0" distR="0">
                  <wp:extent cx="866775" cy="881380"/>
                  <wp:effectExtent l="0" t="0" r="9525" b="13970"/>
                  <wp:docPr id="13" name="IM 178"/>
                  <wp:cNvGraphicFramePr/>
                  <a:graphic xmlns:a="http://schemas.openxmlformats.org/drawingml/2006/main">
                    <a:graphicData uri="http://schemas.openxmlformats.org/drawingml/2006/picture">
                      <pic:pic xmlns:pic="http://schemas.openxmlformats.org/drawingml/2006/picture">
                        <pic:nvPicPr>
                          <pic:cNvPr id="13" name="IM 178"/>
                          <pic:cNvPicPr/>
                        </pic:nvPicPr>
                        <pic:blipFill>
                          <a:blip r:embed="rId94"/>
                          <a:stretch>
                            <a:fillRect/>
                          </a:stretch>
                        </pic:blipFill>
                        <pic:spPr>
                          <a:xfrm>
                            <a:off x="0" y="0"/>
                            <a:ext cx="867155" cy="88176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手持式</w:t>
            </w:r>
            <w:r>
              <w:rPr>
                <w:rFonts w:hint="eastAsia" w:ascii="宋体" w:hAnsi="宋体" w:eastAsia="宋体" w:cs="宋体"/>
                <w:spacing w:val="-5"/>
                <w:sz w:val="18"/>
                <w:szCs w:val="18"/>
              </w:rPr>
              <w:t>LED放</w:t>
            </w:r>
            <w:r>
              <w:rPr>
                <w:rFonts w:hint="eastAsia" w:ascii="宋体" w:hAnsi="宋体" w:eastAsia="宋体" w:cs="宋体"/>
                <w:spacing w:val="-3"/>
                <w:sz w:val="18"/>
                <w:szCs w:val="18"/>
              </w:rPr>
              <w:t>大镜</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1.产品组成：聚光镇纸式助视器；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2.产品参考尺寸92*50mm.光学放大5倍光学</w:t>
            </w:r>
            <w:r>
              <w:rPr>
                <w:rFonts w:hint="eastAsia" w:ascii="宋体" w:hAnsi="宋体" w:eastAsia="宋体" w:cs="宋体"/>
                <w:spacing w:val="-9"/>
                <w:sz w:val="18"/>
                <w:szCs w:val="18"/>
              </w:rPr>
              <w:t>放大5倍；</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3.性能参数：2个CR2016纽扣电池供电，光</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6"/>
                <w:sz w:val="18"/>
                <w:szCs w:val="18"/>
              </w:rPr>
              <w:t>学放大5倍，3个LED照明灯；</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4.材质：外壳采用ABS，镜片采用光学玻璃镜</w:t>
            </w:r>
            <w:r>
              <w:rPr>
                <w:rFonts w:hint="eastAsia" w:ascii="宋体" w:hAnsi="宋体" w:eastAsia="宋体" w:cs="宋体"/>
                <w:spacing w:val="-11"/>
                <w:sz w:val="18"/>
                <w:szCs w:val="18"/>
              </w:rPr>
              <w:t>片；</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3"/>
                <w:sz w:val="18"/>
                <w:szCs w:val="18"/>
              </w:rPr>
              <w:t>5.功能：按压式开关灯功能，由ABS</w:t>
            </w:r>
            <w:r>
              <w:rPr>
                <w:rFonts w:hint="eastAsia" w:ascii="宋体" w:hAnsi="宋体" w:eastAsia="宋体" w:cs="宋体"/>
                <w:spacing w:val="-4"/>
                <w:sz w:val="18"/>
                <w:szCs w:val="18"/>
              </w:rPr>
              <w:t>外壳和光</w:t>
            </w:r>
            <w:r>
              <w:rPr>
                <w:rFonts w:hint="eastAsia" w:ascii="宋体" w:hAnsi="宋体" w:eastAsia="宋体" w:cs="宋体"/>
                <w:spacing w:val="-1"/>
                <w:sz w:val="18"/>
                <w:szCs w:val="18"/>
              </w:rPr>
              <w:t>学玻璃组成，底面不受摩擦，使用时直接放在</w:t>
            </w:r>
            <w:r>
              <w:rPr>
                <w:rFonts w:hint="eastAsia" w:ascii="宋体" w:hAnsi="宋体" w:eastAsia="宋体" w:cs="宋体"/>
                <w:spacing w:val="-3"/>
                <w:sz w:val="18"/>
                <w:szCs w:val="18"/>
              </w:rPr>
              <w:t>纸面上，既可做放大镜，又能镇纸，拥有LED照明功能。</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8"/>
                <w:sz w:val="18"/>
                <w:szCs w:val="18"/>
              </w:rPr>
              <w:t>1</w:t>
            </w:r>
            <w:r>
              <w:rPr>
                <w:rFonts w:hint="eastAsia" w:ascii="宋体" w:hAnsi="宋体" w:eastAsia="宋体" w:cs="宋体"/>
                <w:spacing w:val="-8"/>
                <w:sz w:val="18"/>
                <w:szCs w:val="18"/>
                <w:lang w:val="en-US" w:eastAsia="zh-CN"/>
              </w:rPr>
              <w:t>5</w:t>
            </w:r>
            <w:r>
              <w:rPr>
                <w:rFonts w:hint="eastAsia" w:ascii="宋体" w:hAnsi="宋体" w:eastAsia="宋体" w:cs="宋体"/>
                <w:spacing w:val="-8"/>
                <w:sz w:val="18"/>
                <w:szCs w:val="18"/>
              </w:rPr>
              <w:t>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19"/>
                <w:sz w:val="18"/>
                <w:szCs w:val="18"/>
              </w:rPr>
              <w:drawing>
                <wp:inline distT="0" distB="0" distL="0" distR="0">
                  <wp:extent cx="932180" cy="619760"/>
                  <wp:effectExtent l="0" t="0" r="1270" b="889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95"/>
                          <a:stretch>
                            <a:fillRect/>
                          </a:stretch>
                        </pic:blipFill>
                        <pic:spPr>
                          <a:xfrm>
                            <a:off x="0" y="0"/>
                            <a:ext cx="932688" cy="6202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restart"/>
            <w:tcBorders>
              <w:top w:val="single" w:color="000000" w:sz="4" w:space="0"/>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自助进食器具</w:t>
            </w: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restart"/>
            <w:tcBorders>
              <w:top w:val="single" w:color="000000" w:sz="4" w:space="0"/>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任选其一</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适老餐</w:t>
            </w:r>
            <w:r>
              <w:rPr>
                <w:rFonts w:hint="eastAsia" w:ascii="宋体" w:hAnsi="宋体" w:eastAsia="宋体" w:cs="宋体"/>
                <w:sz w:val="18"/>
                <w:szCs w:val="18"/>
              </w:rPr>
              <w:t>具</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1.记忆成人勺子：该产品手柄材质为形状记忆聚</w:t>
            </w:r>
            <w:r>
              <w:rPr>
                <w:rFonts w:hint="eastAsia" w:ascii="宋体" w:hAnsi="宋体" w:eastAsia="宋体" w:cs="宋体"/>
                <w:spacing w:val="-2"/>
                <w:sz w:val="18"/>
                <w:szCs w:val="18"/>
              </w:rPr>
              <w:t>合物，勺头为不锈钢。结构：U形握柄的形状记</w:t>
            </w:r>
            <w:r>
              <w:rPr>
                <w:rFonts w:hint="eastAsia" w:ascii="宋体" w:hAnsi="宋体" w:eastAsia="宋体" w:cs="宋体"/>
                <w:spacing w:val="-1"/>
                <w:sz w:val="18"/>
                <w:szCs w:val="18"/>
              </w:rPr>
              <w:t>忆餐勺,握柄可多次加热软化重新塑型，握柄的材质无毒、无害、抗菌、易于清洁、不易退色；</w:t>
            </w:r>
            <w:r>
              <w:rPr>
                <w:rFonts w:hint="eastAsia" w:ascii="宋体" w:hAnsi="宋体" w:eastAsia="宋体" w:cs="宋体"/>
                <w:spacing w:val="-5"/>
                <w:sz w:val="18"/>
                <w:szCs w:val="18"/>
              </w:rPr>
              <w:t>勺部边缘光滑，形状便于入口。</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1"/>
                <w:sz w:val="18"/>
                <w:szCs w:val="18"/>
              </w:rPr>
              <w:t>2.助食筷：该产品可以帮助手部僵硬、中风、挛缩的人群自主进食。大大的减少了照顾人力。其独特的设计，解决了在使用过程中，因手部问题造成的不稳现象，也可较为轻松的夹起食物。</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3.成人防洒盘：参考尺寸：10寸（宽25cm）该</w:t>
            </w:r>
            <w:r>
              <w:rPr>
                <w:rFonts w:hint="eastAsia" w:ascii="宋体" w:hAnsi="宋体" w:eastAsia="宋体" w:cs="宋体"/>
                <w:spacing w:val="-1"/>
                <w:sz w:val="18"/>
                <w:szCs w:val="18"/>
              </w:rPr>
              <w:t>产品由开口档板和盘子组成，开口档板具有三个吸盘。盘体材质为米纳米，开口挡板为聚丙烯，</w:t>
            </w:r>
            <w:r>
              <w:rPr>
                <w:rFonts w:hint="eastAsia" w:ascii="宋体" w:hAnsi="宋体" w:eastAsia="宋体" w:cs="宋体"/>
                <w:spacing w:val="-2"/>
                <w:sz w:val="18"/>
                <w:szCs w:val="18"/>
              </w:rPr>
              <w:t>吸盘为TRP塑料。使用者可触及表面均无外</w:t>
            </w:r>
            <w:r>
              <w:rPr>
                <w:rFonts w:hint="eastAsia" w:ascii="宋体" w:hAnsi="宋体" w:eastAsia="宋体" w:cs="宋体"/>
                <w:spacing w:val="-3"/>
                <w:sz w:val="18"/>
                <w:szCs w:val="18"/>
              </w:rPr>
              <w:t>露锐</w:t>
            </w:r>
            <w:r>
              <w:rPr>
                <w:rFonts w:hint="eastAsia" w:ascii="宋体" w:hAnsi="宋体" w:eastAsia="宋体" w:cs="宋体"/>
                <w:spacing w:val="-1"/>
                <w:sz w:val="18"/>
                <w:szCs w:val="18"/>
              </w:rPr>
              <w:t>边尖角，刃口和毛刺，注塑件表面光滑平整无毛</w:t>
            </w:r>
            <w:r>
              <w:rPr>
                <w:rFonts w:hint="eastAsia" w:ascii="宋体" w:hAnsi="宋体" w:eastAsia="宋体" w:cs="宋体"/>
                <w:spacing w:val="-2"/>
                <w:sz w:val="18"/>
                <w:szCs w:val="18"/>
              </w:rPr>
              <w:t>边，无缺损、凹陷、色泽均匀。</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4.成人防洒碗：该产品材质为ABS塑料。底部带</w:t>
            </w:r>
            <w:r>
              <w:rPr>
                <w:rFonts w:hint="eastAsia" w:ascii="宋体" w:hAnsi="宋体" w:eastAsia="宋体" w:cs="宋体"/>
                <w:spacing w:val="-1"/>
                <w:sz w:val="18"/>
                <w:szCs w:val="18"/>
              </w:rPr>
              <w:t>有吸盘，可固定于桌面等平面物体上，便于偏瘫或上肢截瘫等单手操作者自主进餐，防止洒出。5.记忆成人叉子：该产品手柄材质为形状记忆聚</w:t>
            </w:r>
            <w:r>
              <w:rPr>
                <w:rFonts w:hint="eastAsia" w:ascii="宋体" w:hAnsi="宋体" w:eastAsia="宋体" w:cs="宋体"/>
                <w:spacing w:val="-2"/>
                <w:sz w:val="18"/>
                <w:szCs w:val="18"/>
              </w:rPr>
              <w:t>合物，勺头为不锈钢。结构：U型握柄的形状记</w:t>
            </w:r>
            <w:r>
              <w:rPr>
                <w:rFonts w:hint="eastAsia" w:ascii="宋体" w:hAnsi="宋体" w:eastAsia="宋体" w:cs="宋体"/>
                <w:spacing w:val="-1"/>
                <w:sz w:val="18"/>
                <w:szCs w:val="18"/>
              </w:rPr>
              <w:t>忆餐勺，握柄可多次加热软化重新塑型，握柄的材质无毒、无害、抗菌、易于清洁、不易退色；</w:t>
            </w:r>
            <w:r>
              <w:rPr>
                <w:rFonts w:hint="eastAsia" w:ascii="宋体" w:hAnsi="宋体" w:eastAsia="宋体" w:cs="宋体"/>
                <w:spacing w:val="-5"/>
                <w:sz w:val="18"/>
                <w:szCs w:val="18"/>
              </w:rPr>
              <w:t>勺部边缘光滑，形状便于入口。</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300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31"/>
                <w:sz w:val="18"/>
                <w:szCs w:val="18"/>
              </w:rPr>
              <w:drawing>
                <wp:inline distT="0" distB="0" distL="0" distR="0">
                  <wp:extent cx="886460" cy="1000760"/>
                  <wp:effectExtent l="0" t="0" r="8890" b="889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96"/>
                          <a:stretch>
                            <a:fillRect/>
                          </a:stretch>
                        </pic:blipFill>
                        <pic:spPr>
                          <a:xfrm>
                            <a:off x="0" y="0"/>
                            <a:ext cx="886968" cy="1001267"/>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流食瓶</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3"/>
                <w:sz w:val="18"/>
                <w:szCs w:val="18"/>
              </w:rPr>
              <w:t>1.材质：ABS；</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2.容量：300～400ml。</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4"/>
                <w:sz w:val="18"/>
                <w:szCs w:val="18"/>
              </w:rPr>
              <w:t>90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9"/>
                <w:sz w:val="18"/>
                <w:szCs w:val="18"/>
              </w:rPr>
              <w:drawing>
                <wp:inline distT="0" distB="0" distL="0" distR="0">
                  <wp:extent cx="932180" cy="932180"/>
                  <wp:effectExtent l="0" t="0" r="1270" b="127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97"/>
                          <a:stretch>
                            <a:fillRect/>
                          </a:stretch>
                        </pic:blipFill>
                        <pic:spPr>
                          <a:xfrm>
                            <a:off x="0" y="0"/>
                            <a:ext cx="932688" cy="932688"/>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45" w:type="pct"/>
            <w:vMerge w:val="continue"/>
            <w:tcBorders>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开口水</w:t>
            </w:r>
            <w:r>
              <w:rPr>
                <w:rFonts w:hint="eastAsia" w:ascii="宋体" w:hAnsi="宋体" w:eastAsia="宋体" w:cs="宋体"/>
                <w:sz w:val="18"/>
                <w:szCs w:val="18"/>
              </w:rPr>
              <w:t>杯</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r>
              <w:rPr>
                <w:rFonts w:hint="eastAsia" w:ascii="宋体" w:hAnsi="宋体" w:eastAsia="宋体" w:cs="宋体"/>
                <w:spacing w:val="-1"/>
                <w:sz w:val="18"/>
                <w:szCs w:val="18"/>
              </w:rPr>
              <w:t>1.独特的鼻口开放设计使得使用者在喝水的时候无需低头，适合容易噎食或颈部转动不便用户使</w:t>
            </w:r>
            <w:r>
              <w:rPr>
                <w:rFonts w:hint="eastAsia" w:ascii="宋体" w:hAnsi="宋体" w:eastAsia="宋体" w:cs="宋体"/>
                <w:spacing w:val="-7"/>
                <w:sz w:val="18"/>
                <w:szCs w:val="18"/>
              </w:rPr>
              <w:t>用；</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18"/>
                <w:szCs w:val="18"/>
              </w:rPr>
            </w:pPr>
            <w:r>
              <w:rPr>
                <w:rFonts w:hint="eastAsia" w:ascii="宋体" w:hAnsi="宋体" w:eastAsia="宋体" w:cs="宋体"/>
                <w:spacing w:val="-1"/>
                <w:sz w:val="18"/>
                <w:szCs w:val="18"/>
              </w:rPr>
              <w:t>2.科学的角度让患者不用仰头就能喝水，杯沿不会卡在脸上，降低由于仰头饮水造成呛咳误吸的</w:t>
            </w:r>
            <w:r>
              <w:rPr>
                <w:rFonts w:hint="eastAsia" w:ascii="宋体" w:hAnsi="宋体" w:eastAsia="宋体" w:cs="宋体"/>
                <w:spacing w:val="-2"/>
                <w:sz w:val="18"/>
                <w:szCs w:val="18"/>
              </w:rPr>
              <w:t>风险，杯子开口是斜切口设计；</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3.适用于落枕、脖子受伤、将头向后倾斜或转动</w:t>
            </w:r>
            <w:r>
              <w:rPr>
                <w:rFonts w:hint="eastAsia" w:ascii="宋体" w:hAnsi="宋体" w:eastAsia="宋体" w:cs="宋体"/>
                <w:spacing w:val="-3"/>
                <w:sz w:val="18"/>
                <w:szCs w:val="18"/>
              </w:rPr>
              <w:t>头部有困难者；</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3"/>
                <w:sz w:val="18"/>
                <w:szCs w:val="18"/>
              </w:rPr>
              <w:t>4.特殊的切口设计，可避免鼻子碰到杯口边缘，</w:t>
            </w:r>
            <w:r>
              <w:rPr>
                <w:rFonts w:hint="eastAsia" w:ascii="宋体" w:hAnsi="宋体" w:eastAsia="宋体" w:cs="宋体"/>
                <w:spacing w:val="-2"/>
                <w:sz w:val="18"/>
                <w:szCs w:val="18"/>
              </w:rPr>
              <w:t>轻松喝到杯子中的食品；</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rPr>
            </w:pPr>
            <w:r>
              <w:rPr>
                <w:rFonts w:hint="eastAsia" w:ascii="宋体" w:hAnsi="宋体" w:eastAsia="宋体" w:cs="宋体"/>
                <w:spacing w:val="-1"/>
                <w:sz w:val="18"/>
                <w:szCs w:val="18"/>
              </w:rPr>
              <w:t>5.参考尺寸：7.3*12.2cm；</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18"/>
                <w:szCs w:val="18"/>
                <w:lang w:eastAsia="zh-CN"/>
              </w:rPr>
            </w:pPr>
            <w:r>
              <w:rPr>
                <w:rFonts w:hint="eastAsia" w:ascii="宋体" w:hAnsi="宋体" w:eastAsia="宋体" w:cs="宋体"/>
                <w:spacing w:val="-8"/>
                <w:sz w:val="18"/>
                <w:szCs w:val="18"/>
              </w:rPr>
              <w:t>6.容量：≥237ml；</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pacing w:val="-2"/>
                <w:sz w:val="18"/>
                <w:szCs w:val="18"/>
              </w:rPr>
            </w:pPr>
            <w:r>
              <w:rPr>
                <w:rFonts w:hint="eastAsia" w:ascii="宋体" w:hAnsi="宋体" w:eastAsia="宋体" w:cs="宋体"/>
                <w:spacing w:val="-2"/>
                <w:sz w:val="18"/>
                <w:szCs w:val="18"/>
              </w:rPr>
              <w:t>7.材质：PP；</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1"/>
                <w:sz w:val="18"/>
                <w:szCs w:val="18"/>
              </w:rPr>
              <w:t>8.颜色：蓝色，红色；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6"/>
                <w:sz w:val="18"/>
                <w:szCs w:val="18"/>
              </w:rPr>
              <w:t>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6"/>
                <w:sz w:val="18"/>
                <w:szCs w:val="18"/>
              </w:rPr>
              <w:drawing>
                <wp:inline distT="0" distB="0" distL="0" distR="0">
                  <wp:extent cx="895985" cy="838200"/>
                  <wp:effectExtent l="0" t="0" r="18415"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98"/>
                          <a:stretch>
                            <a:fillRect/>
                          </a:stretch>
                        </pic:blipFill>
                        <pic:spPr>
                          <a:xfrm>
                            <a:off x="0" y="0"/>
                            <a:ext cx="896111" cy="838200"/>
                          </a:xfrm>
                          <a:prstGeom prst="rect">
                            <a:avLst/>
                          </a:prstGeom>
                        </pic:spPr>
                      </pic:pic>
                    </a:graphicData>
                  </a:graphic>
                </wp:inline>
              </w:drawing>
            </w:r>
          </w:p>
        </w:tc>
      </w:tr>
      <w:tr>
        <w:tblPrEx>
          <w:tblCellMar>
            <w:top w:w="0" w:type="dxa"/>
            <w:left w:w="108" w:type="dxa"/>
            <w:bottom w:w="0" w:type="dxa"/>
            <w:right w:w="108" w:type="dxa"/>
          </w:tblCellMar>
        </w:tblPrEx>
        <w:trPr>
          <w:trHeight w:val="70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suppressAutoHyphens w:val="0"/>
              <w:spacing w:line="240" w:lineRule="auto"/>
              <w:ind w:left="425" w:leftChars="0" w:hanging="425" w:firstLineChars="0"/>
              <w:jc w:val="center"/>
              <w:rPr>
                <w:rFonts w:hint="eastAsia" w:ascii="宋体" w:hAnsi="宋体" w:eastAsia="宋体" w:cs="宋体"/>
                <w:color w:val="000000"/>
                <w:kern w:val="0"/>
                <w:sz w:val="18"/>
                <w:szCs w:val="18"/>
              </w:rPr>
            </w:pPr>
          </w:p>
        </w:tc>
        <w:tc>
          <w:tcPr>
            <w:tcW w:w="232" w:type="pct"/>
            <w:vMerge w:val="continue"/>
            <w:tcBorders>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color w:val="000000"/>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Pr>
          <w:p>
            <w:pPr>
              <w:widowControl/>
              <w:suppressAutoHyphens w:val="0"/>
              <w:spacing w:line="240" w:lineRule="auto"/>
              <w:jc w:val="center"/>
              <w:rPr>
                <w:rFonts w:hint="eastAsia" w:ascii="宋体" w:hAnsi="宋体" w:eastAsia="宋体" w:cs="宋体"/>
                <w:spacing w:val="-5"/>
                <w:sz w:val="18"/>
                <w:szCs w:val="18"/>
              </w:rPr>
            </w:pPr>
          </w:p>
          <w:p>
            <w:pPr>
              <w:widowControl/>
              <w:suppressAutoHyphens w:val="0"/>
              <w:spacing w:line="240" w:lineRule="auto"/>
              <w:jc w:val="center"/>
              <w:rPr>
                <w:rFonts w:hint="eastAsia" w:ascii="宋体" w:hAnsi="宋体" w:eastAsia="宋体" w:cs="宋体"/>
                <w:spacing w:val="-5"/>
                <w:sz w:val="18"/>
                <w:szCs w:val="18"/>
              </w:rPr>
            </w:pPr>
          </w:p>
          <w:p>
            <w:pPr>
              <w:widowControl/>
              <w:suppressAutoHyphens w:val="0"/>
              <w:spacing w:line="240" w:lineRule="auto"/>
              <w:jc w:val="center"/>
              <w:rPr>
                <w:rFonts w:hint="eastAsia" w:ascii="宋体" w:hAnsi="宋体" w:eastAsia="宋体" w:cs="宋体"/>
                <w:color w:val="000000"/>
                <w:kern w:val="0"/>
                <w:sz w:val="18"/>
                <w:szCs w:val="18"/>
              </w:rPr>
            </w:pPr>
            <w:r>
              <w:rPr>
                <w:rFonts w:hint="eastAsia" w:ascii="宋体" w:hAnsi="宋体" w:eastAsia="宋体" w:cs="宋体"/>
                <w:spacing w:val="-5"/>
                <w:sz w:val="18"/>
                <w:szCs w:val="18"/>
              </w:rPr>
              <w:t>耳背助</w:t>
            </w:r>
            <w:r>
              <w:rPr>
                <w:rFonts w:hint="eastAsia" w:ascii="宋体" w:hAnsi="宋体" w:eastAsia="宋体" w:cs="宋体"/>
                <w:spacing w:val="-12"/>
                <w:sz w:val="18"/>
                <w:szCs w:val="18"/>
              </w:rPr>
              <w:t>听器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5"/>
                <w:sz w:val="18"/>
                <w:szCs w:val="18"/>
              </w:rPr>
              <w:t>耳背助</w:t>
            </w:r>
            <w:r>
              <w:rPr>
                <w:rFonts w:hint="eastAsia" w:ascii="宋体" w:hAnsi="宋体" w:eastAsia="宋体" w:cs="宋体"/>
                <w:spacing w:val="-12"/>
                <w:sz w:val="18"/>
                <w:szCs w:val="18"/>
              </w:rPr>
              <w:t>听器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2"/>
                <w:sz w:val="18"/>
                <w:szCs w:val="18"/>
              </w:rPr>
              <w:t>1.全数字信号处理，专业噪音过滤系统</w:t>
            </w:r>
          </w:p>
          <w:p>
            <w:pPr>
              <w:pStyle w:val="79"/>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18"/>
                <w:szCs w:val="18"/>
              </w:rPr>
            </w:pPr>
            <w:r>
              <w:rPr>
                <w:rFonts w:hint="eastAsia" w:ascii="宋体" w:hAnsi="宋体" w:eastAsia="宋体" w:cs="宋体"/>
                <w:spacing w:val="-4"/>
                <w:sz w:val="18"/>
                <w:szCs w:val="18"/>
              </w:rPr>
              <w:t>2.4通道、8频段数字处理技术，音质更自然、</w:t>
            </w:r>
            <w:r>
              <w:rPr>
                <w:rFonts w:hint="eastAsia" w:ascii="宋体" w:hAnsi="宋体" w:eastAsia="宋体" w:cs="宋体"/>
                <w:spacing w:val="-1"/>
                <w:sz w:val="18"/>
                <w:szCs w:val="18"/>
              </w:rPr>
              <w:t>更清晰内置高保真反馈抑制系统，有效防止啸</w:t>
            </w:r>
            <w:r>
              <w:rPr>
                <w:rFonts w:hint="eastAsia" w:ascii="宋体" w:hAnsi="宋体" w:eastAsia="宋体" w:cs="宋体"/>
                <w:spacing w:val="-3"/>
                <w:sz w:val="18"/>
                <w:szCs w:val="18"/>
              </w:rPr>
              <w:t>叫，使用更舒适</w:t>
            </w: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2"/>
                <w:sz w:val="18"/>
                <w:szCs w:val="18"/>
                <w:lang w:val="en-US" w:eastAsia="en-US" w:bidi="ar-SA"/>
              </w:rPr>
            </w:pPr>
            <w:r>
              <w:rPr>
                <w:rFonts w:hint="eastAsia" w:ascii="宋体" w:hAnsi="宋体" w:eastAsia="宋体" w:cs="宋体"/>
                <w:spacing w:val="-2"/>
                <w:sz w:val="18"/>
                <w:szCs w:val="18"/>
              </w:rPr>
              <w:t>3.4个调节程序，满足不同的听力补偿需求适用</w:t>
            </w:r>
            <w:r>
              <w:rPr>
                <w:rFonts w:hint="eastAsia" w:ascii="宋体" w:hAnsi="宋体" w:eastAsia="宋体" w:cs="宋体"/>
                <w:spacing w:val="-3"/>
                <w:sz w:val="18"/>
                <w:szCs w:val="18"/>
              </w:rPr>
              <w:t>范围：中、重度听力残疾老年人听清声音来源。</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18"/>
                <w:szCs w:val="18"/>
              </w:rPr>
            </w:pPr>
          </w:p>
          <w:p>
            <w:pPr>
              <w:pStyle w:val="7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kern w:val="2"/>
                <w:sz w:val="18"/>
                <w:szCs w:val="18"/>
                <w:lang w:val="en-US" w:eastAsia="en-US" w:bidi="ar-SA"/>
              </w:rPr>
            </w:pPr>
            <w:r>
              <w:rPr>
                <w:rFonts w:hint="eastAsia" w:ascii="宋体" w:hAnsi="宋体" w:eastAsia="宋体" w:cs="宋体"/>
                <w:spacing w:val="-3"/>
                <w:sz w:val="18"/>
                <w:szCs w:val="18"/>
                <w:lang w:val="en-US" w:eastAsia="zh-CN"/>
              </w:rPr>
              <w:t>289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uppressAutoHyphens w:val="0"/>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position w:val="-25"/>
                <w:sz w:val="18"/>
                <w:szCs w:val="18"/>
              </w:rPr>
              <w:drawing>
                <wp:inline distT="0" distB="0" distL="0" distR="0">
                  <wp:extent cx="851535" cy="815340"/>
                  <wp:effectExtent l="0" t="0" r="5715" b="3810"/>
                  <wp:docPr id="15" name="IM 188"/>
                  <wp:cNvGraphicFramePr/>
                  <a:graphic xmlns:a="http://schemas.openxmlformats.org/drawingml/2006/main">
                    <a:graphicData uri="http://schemas.openxmlformats.org/drawingml/2006/picture">
                      <pic:pic xmlns:pic="http://schemas.openxmlformats.org/drawingml/2006/picture">
                        <pic:nvPicPr>
                          <pic:cNvPr id="15" name="IM 188"/>
                          <pic:cNvPicPr/>
                        </pic:nvPicPr>
                        <pic:blipFill>
                          <a:blip r:embed="rId99"/>
                          <a:stretch>
                            <a:fillRect/>
                          </a:stretch>
                        </pic:blipFill>
                        <pic:spPr>
                          <a:xfrm>
                            <a:off x="0" y="0"/>
                            <a:ext cx="851916" cy="815340"/>
                          </a:xfrm>
                          <a:prstGeom prst="rect">
                            <a:avLst/>
                          </a:prstGeom>
                        </pic:spPr>
                      </pic:pic>
                    </a:graphicData>
                  </a:graphic>
                </wp:inline>
              </w:drawing>
            </w:r>
          </w:p>
        </w:tc>
      </w:tr>
    </w:tbl>
    <w:p>
      <w:pPr>
        <w:bidi w:val="0"/>
        <w:spacing w:line="360" w:lineRule="auto"/>
        <w:jc w:val="both"/>
        <w:rPr>
          <w:rFonts w:hint="eastAsia" w:ascii="宋体" w:hAnsi="宋体" w:eastAsia="宋体" w:cs="宋体"/>
          <w:sz w:val="24"/>
          <w:szCs w:val="24"/>
          <w:lang w:val="en-US" w:eastAsia="zh-CN"/>
        </w:rPr>
      </w:pPr>
    </w:p>
    <w:p>
      <w:pPr>
        <w:pStyle w:val="18"/>
        <w:rPr>
          <w:rFonts w:hint="eastAsia" w:ascii="宋体" w:hAnsi="宋体" w:eastAsia="宋体" w:cs="宋体"/>
          <w:sz w:val="24"/>
          <w:szCs w:val="24"/>
        </w:rPr>
      </w:pPr>
      <w:r>
        <w:rPr>
          <w:rFonts w:hint="eastAsia" w:ascii="宋体" w:hAnsi="宋体" w:eastAsia="宋体" w:cs="宋体"/>
          <w:sz w:val="24"/>
          <w:szCs w:val="24"/>
        </w:rPr>
        <w:t>上表项目类型中“基础”项是原则上每户必须配置的项目，“可选”项是根据老年人实际情况和需求，进行个性化配置的项目，</w:t>
      </w:r>
      <w:r>
        <w:rPr>
          <w:rFonts w:hint="eastAsia" w:ascii="宋体" w:hAnsi="宋体" w:eastAsia="宋体" w:cs="宋体"/>
          <w:sz w:val="24"/>
          <w:szCs w:val="24"/>
          <w:lang w:eastAsia="zh-CN"/>
        </w:rPr>
        <w:t>承接人</w:t>
      </w:r>
      <w:r>
        <w:rPr>
          <w:rFonts w:hint="eastAsia" w:ascii="宋体" w:hAnsi="宋体" w:eastAsia="宋体" w:cs="宋体"/>
          <w:sz w:val="24"/>
          <w:szCs w:val="24"/>
        </w:rPr>
        <w:t>综合考虑服务对象需求进行选择</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7"/>
        <w:spacing w:line="360" w:lineRule="auto"/>
        <w:jc w:val="both"/>
        <w:rPr>
          <w:rFonts w:hint="eastAsia" w:ascii="宋体" w:hAnsi="宋体" w:eastAsia="宋体" w:cs="宋体"/>
          <w:b/>
          <w:bCs/>
          <w:sz w:val="24"/>
          <w:szCs w:val="28"/>
          <w:highlight w:val="none"/>
        </w:rPr>
      </w:pPr>
      <w:r>
        <w:rPr>
          <w:rFonts w:hint="eastAsia" w:ascii="宋体" w:hAnsi="宋体" w:eastAsia="宋体" w:cs="宋体"/>
          <w:b/>
          <w:bCs/>
          <w:sz w:val="24"/>
          <w:szCs w:val="24"/>
          <w:lang w:val="en-US" w:eastAsia="zh-CN"/>
        </w:rPr>
        <w:t>附表</w:t>
      </w:r>
      <w:r>
        <w:rPr>
          <w:rFonts w:hint="eastAsia" w:hAnsi="宋体" w:cs="宋体"/>
          <w:b/>
          <w:bCs/>
          <w:sz w:val="24"/>
          <w:szCs w:val="24"/>
          <w:lang w:val="en-US" w:eastAsia="zh-CN"/>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8"/>
          <w:highlight w:val="none"/>
        </w:rPr>
        <w:t>《居家养老上门服务指导清单》</w:t>
      </w:r>
    </w:p>
    <w:tbl>
      <w:tblPr>
        <w:tblStyle w:val="78"/>
        <w:tblW w:w="522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8"/>
        <w:gridCol w:w="921"/>
        <w:gridCol w:w="1193"/>
        <w:gridCol w:w="5518"/>
        <w:gridCol w:w="1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序号</w:t>
            </w:r>
          </w:p>
        </w:tc>
        <w:tc>
          <w:tcPr>
            <w:tcW w:w="483"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类别</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项目名称</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服务内容</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最高限价</w:t>
            </w:r>
            <w:r>
              <w:rPr>
                <w:rFonts w:hint="eastAsia" w:ascii="宋体" w:hAnsi="宋体" w:eastAsia="宋体" w:cs="宋体"/>
                <w:sz w:val="21"/>
                <w:szCs w:val="21"/>
              </w:rPr>
              <w:t xml:space="preserve"> </w:t>
            </w:r>
            <w:r>
              <w:rPr>
                <w:rFonts w:hint="eastAsia" w:ascii="宋体" w:hAnsi="宋体" w:eastAsia="宋体" w:cs="宋体"/>
                <w:spacing w:val="-7"/>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3"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生活照</w:t>
            </w:r>
            <w:r>
              <w:rPr>
                <w:rFonts w:hint="eastAsia" w:ascii="宋体" w:hAnsi="宋体" w:eastAsia="宋体" w:cs="宋体"/>
                <w:spacing w:val="-5"/>
                <w:sz w:val="21"/>
                <w:szCs w:val="21"/>
              </w:rPr>
              <w:t>料服务</w:t>
            </w:r>
          </w:p>
        </w:tc>
        <w:tc>
          <w:tcPr>
            <w:tcW w:w="626"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助餐</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8"/>
                <w:sz w:val="21"/>
                <w:szCs w:val="21"/>
              </w:rPr>
              <w:t>烹饪服务</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pacing w:val="-37"/>
                <w:sz w:val="21"/>
                <w:szCs w:val="21"/>
                <w:lang w:val="en-US" w:eastAsia="zh-CN"/>
              </w:rPr>
              <w:t>50</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送餐上门：两荤两素（餐费和配送费）</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16</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335"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助浴</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上门助浴或协助前往老年人助浴点进行身体清洁等</w:t>
            </w: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b/>
                <w:bCs/>
                <w:spacing w:val="-2"/>
                <w:sz w:val="21"/>
                <w:szCs w:val="21"/>
              </w:rPr>
              <w:t>（如需携带专业助浴器械，相关费用由服务对</w:t>
            </w:r>
            <w:r>
              <w:rPr>
                <w:rFonts w:hint="eastAsia" w:ascii="宋体" w:hAnsi="宋体" w:eastAsia="宋体" w:cs="宋体"/>
                <w:b/>
                <w:bCs/>
                <w:spacing w:val="-3"/>
                <w:sz w:val="21"/>
                <w:szCs w:val="21"/>
              </w:rPr>
              <w:t>象自行</w:t>
            </w:r>
            <w:r>
              <w:rPr>
                <w:rFonts w:hint="eastAsia" w:ascii="宋体" w:hAnsi="宋体" w:eastAsia="宋体" w:cs="宋体"/>
                <w:sz w:val="21"/>
                <w:szCs w:val="21"/>
              </w:rPr>
              <w:t xml:space="preserve"> </w:t>
            </w:r>
            <w:r>
              <w:rPr>
                <w:rFonts w:hint="eastAsia" w:ascii="宋体" w:hAnsi="宋体" w:eastAsia="宋体" w:cs="宋体"/>
                <w:b/>
                <w:bCs/>
                <w:spacing w:val="-7"/>
                <w:sz w:val="21"/>
                <w:szCs w:val="21"/>
              </w:rPr>
              <w:t>支付）</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00</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助洁</w:t>
            </w:r>
          </w:p>
        </w:tc>
        <w:tc>
          <w:tcPr>
            <w:tcW w:w="2895"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普通助洁包括居家清洁、衣物洗涤、物品整理等；</w:t>
            </w: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个人助洁包括洗漱、剪发剃须、洗脚、剪指（趾）</w:t>
            </w:r>
            <w:r>
              <w:rPr>
                <w:rFonts w:hint="eastAsia" w:ascii="宋体" w:hAnsi="宋体" w:eastAsia="宋体" w:cs="宋体"/>
                <w:spacing w:val="-58"/>
                <w:sz w:val="21"/>
                <w:szCs w:val="21"/>
              </w:rPr>
              <w:t xml:space="preserve"> </w:t>
            </w:r>
            <w:r>
              <w:rPr>
                <w:rFonts w:hint="eastAsia" w:ascii="宋体" w:hAnsi="宋体" w:eastAsia="宋体" w:cs="宋体"/>
                <w:spacing w:val="-1"/>
                <w:sz w:val="21"/>
                <w:szCs w:val="21"/>
              </w:rPr>
              <w:t>甲</w:t>
            </w: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等</w:t>
            </w:r>
          </w:p>
        </w:tc>
        <w:tc>
          <w:tcPr>
            <w:tcW w:w="659"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37"/>
                <w:sz w:val="21"/>
                <w:szCs w:val="21"/>
                <w:lang w:val="en-US" w:eastAsia="zh-CN"/>
              </w:rPr>
              <w:t>50</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p>
        </w:tc>
        <w:tc>
          <w:tcPr>
            <w:tcW w:w="659"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油烟机（油烟机表面、滤网、涡轮、内腔蒸汽清洗）</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100</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元/台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3"/>
                <w:sz w:val="21"/>
                <w:szCs w:val="21"/>
              </w:rPr>
              <w:t>空调挂机（室内挂机清洗的服务，包含滤网清洗、</w:t>
            </w:r>
            <w:r>
              <w:rPr>
                <w:rFonts w:hint="eastAsia" w:ascii="宋体" w:hAnsi="宋体" w:eastAsia="宋体" w:cs="宋体"/>
                <w:spacing w:val="-2"/>
                <w:sz w:val="21"/>
                <w:szCs w:val="21"/>
              </w:rPr>
              <w:t>冷凝器除尘除螨、风道清理等）</w:t>
            </w:r>
          </w:p>
        </w:tc>
        <w:tc>
          <w:tcPr>
            <w:tcW w:w="659"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8</w:t>
            </w:r>
            <w:r>
              <w:rPr>
                <w:rFonts w:hint="eastAsia" w:ascii="宋体" w:hAnsi="宋体" w:eastAsia="宋体" w:cs="宋体"/>
                <w:spacing w:val="-5"/>
                <w:sz w:val="21"/>
                <w:szCs w:val="21"/>
              </w:rPr>
              <w:t>0</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元/台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p>
        </w:tc>
        <w:tc>
          <w:tcPr>
            <w:tcW w:w="659"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助行</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协助行走、陪伴外出、参加活动等</w:t>
            </w:r>
            <w:r>
              <w:rPr>
                <w:rFonts w:hint="eastAsia" w:ascii="宋体" w:hAnsi="宋体" w:eastAsia="宋体" w:cs="宋体"/>
                <w:b/>
                <w:bCs/>
                <w:spacing w:val="-2"/>
                <w:sz w:val="21"/>
                <w:szCs w:val="21"/>
              </w:rPr>
              <w:t>（由此产生的交通</w:t>
            </w:r>
            <w:r>
              <w:rPr>
                <w:rFonts w:hint="eastAsia" w:ascii="宋体" w:hAnsi="宋体" w:eastAsia="宋体" w:cs="宋体"/>
                <w:b/>
                <w:bCs/>
                <w:spacing w:val="-4"/>
                <w:sz w:val="21"/>
                <w:szCs w:val="21"/>
              </w:rPr>
              <w:t>费用由服务对象自行支付）</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lang w:val="en-US" w:eastAsia="zh-CN"/>
              </w:rPr>
              <w:t>20</w:t>
            </w:r>
            <w:r>
              <w:rPr>
                <w:rFonts w:hint="eastAsia" w:ascii="宋体" w:hAnsi="宋体" w:eastAsia="宋体" w:cs="宋体"/>
                <w:spacing w:val="-7"/>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10</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助急</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紧急呼叫、紧急转介等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25</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11</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助医</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3"/>
                <w:sz w:val="21"/>
                <w:szCs w:val="21"/>
              </w:rPr>
              <w:t>陪同就医、治疗陪伴等</w:t>
            </w:r>
            <w:r>
              <w:rPr>
                <w:rFonts w:hint="eastAsia" w:ascii="宋体" w:hAnsi="宋体" w:eastAsia="宋体" w:cs="宋体"/>
                <w:b/>
                <w:bCs/>
                <w:spacing w:val="-3"/>
                <w:sz w:val="21"/>
                <w:szCs w:val="21"/>
              </w:rPr>
              <w:t>（由此产生的交通费用由服务</w:t>
            </w:r>
            <w:r>
              <w:rPr>
                <w:rFonts w:hint="eastAsia" w:ascii="宋体" w:hAnsi="宋体" w:eastAsia="宋体" w:cs="宋体"/>
                <w:b/>
                <w:bCs/>
                <w:spacing w:val="-4"/>
                <w:sz w:val="21"/>
                <w:szCs w:val="21"/>
              </w:rPr>
              <w:t>对象自行支付）</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37"/>
                <w:sz w:val="21"/>
                <w:szCs w:val="21"/>
                <w:lang w:val="en-US" w:eastAsia="zh-CN"/>
              </w:rPr>
              <w:t>20</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12</w:t>
            </w:r>
          </w:p>
        </w:tc>
        <w:tc>
          <w:tcPr>
            <w:tcW w:w="483"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基础照护服务</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排泄护理</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排尿护理、排便护理、排气护理等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60</w:t>
            </w:r>
            <w:r>
              <w:rPr>
                <w:rFonts w:hint="eastAsia" w:ascii="宋体" w:hAnsi="宋体" w:eastAsia="宋体" w:cs="宋体"/>
                <w:spacing w:val="-34"/>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13</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护理协助</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为老年人进行保暖和物理降温，协助和指导翻身、拍</w:t>
            </w:r>
            <w:r>
              <w:rPr>
                <w:rFonts w:hint="eastAsia" w:ascii="宋体" w:hAnsi="宋体" w:eastAsia="宋体" w:cs="宋体"/>
                <w:spacing w:val="-4"/>
                <w:sz w:val="21"/>
                <w:szCs w:val="21"/>
              </w:rPr>
              <w:t>背、褥疮预防等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30</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14</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康复护理</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移位训练、脱穿衣训练、益智文娱训练等</w:t>
            </w:r>
          </w:p>
        </w:tc>
        <w:tc>
          <w:tcPr>
            <w:tcW w:w="659"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50</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15</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3"/>
                <w:sz w:val="21"/>
                <w:szCs w:val="21"/>
              </w:rPr>
              <w:t>局部推拿按摩</w:t>
            </w:r>
          </w:p>
        </w:tc>
        <w:tc>
          <w:tcPr>
            <w:tcW w:w="659"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16</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用药照护</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包括用药提醒、用药指导及不良反应观察等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30</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17</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生活服务</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协助穿（脱衣）、饮食照护、睡眠照护等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35</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18</w:t>
            </w:r>
          </w:p>
        </w:tc>
        <w:tc>
          <w:tcPr>
            <w:tcW w:w="483"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探访关</w:t>
            </w:r>
            <w:r>
              <w:rPr>
                <w:rFonts w:hint="eastAsia" w:ascii="宋体" w:hAnsi="宋体" w:eastAsia="宋体" w:cs="宋体"/>
                <w:spacing w:val="-8"/>
                <w:sz w:val="21"/>
                <w:szCs w:val="21"/>
              </w:rPr>
              <w:t>爱服务</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远程服务</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接受与协助老年人电话呼叫和紧急求助</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15</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335"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19</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上门探访</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4"/>
                <w:sz w:val="21"/>
                <w:szCs w:val="21"/>
              </w:rPr>
              <w:t>了解掌握老年人的健康状况、精神状况、安全情况、</w:t>
            </w:r>
            <w:r>
              <w:rPr>
                <w:rFonts w:hint="eastAsia" w:ascii="宋体" w:hAnsi="宋体" w:eastAsia="宋体" w:cs="宋体"/>
                <w:spacing w:val="-2"/>
                <w:sz w:val="21"/>
                <w:szCs w:val="21"/>
              </w:rPr>
              <w:t>卫生状况、居室环境、服务需求等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20</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20</w:t>
            </w:r>
          </w:p>
        </w:tc>
        <w:tc>
          <w:tcPr>
            <w:tcW w:w="483"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健康管</w:t>
            </w:r>
            <w:r>
              <w:rPr>
                <w:rFonts w:hint="eastAsia" w:ascii="宋体" w:hAnsi="宋体" w:eastAsia="宋体" w:cs="宋体"/>
                <w:spacing w:val="-6"/>
                <w:sz w:val="21"/>
                <w:szCs w:val="21"/>
              </w:rPr>
              <w:t>理服务</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信息采集</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采集老年人的体检信息、既往疾病史等健康信息，建</w:t>
            </w:r>
            <w:r>
              <w:rPr>
                <w:rFonts w:hint="eastAsia" w:ascii="宋体" w:hAnsi="宋体" w:eastAsia="宋体" w:cs="宋体"/>
                <w:spacing w:val="-3"/>
                <w:sz w:val="21"/>
                <w:szCs w:val="21"/>
              </w:rPr>
              <w:t>立老年人健康档案</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15</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21</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健康咨询</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为老年人提供防跌倒、疾病预防、膳食营养、康复保</w:t>
            </w:r>
            <w:r>
              <w:rPr>
                <w:rFonts w:hint="eastAsia" w:ascii="宋体" w:hAnsi="宋体" w:eastAsia="宋体" w:cs="宋体"/>
                <w:spacing w:val="-4"/>
                <w:sz w:val="21"/>
                <w:szCs w:val="21"/>
              </w:rPr>
              <w:t>健等指导</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lang w:val="en-US" w:eastAsia="zh-CN"/>
              </w:rPr>
              <w:t>5</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22</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健康干预</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制定服务方案，为老年人的生活起居、慢病调理等提</w:t>
            </w:r>
            <w:r>
              <w:rPr>
                <w:rFonts w:hint="eastAsia" w:ascii="宋体" w:hAnsi="宋体" w:eastAsia="宋体" w:cs="宋体"/>
                <w:spacing w:val="-3"/>
                <w:sz w:val="21"/>
                <w:szCs w:val="21"/>
              </w:rPr>
              <w:t>供干预服务</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25</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23</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常规生理</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指数监测</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监测体温、体重、血压、呼吸、心率、血糖等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20</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24</w:t>
            </w:r>
          </w:p>
        </w:tc>
        <w:tc>
          <w:tcPr>
            <w:tcW w:w="483"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委托代办服务</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代购日常</w:t>
            </w:r>
            <w:r>
              <w:rPr>
                <w:rFonts w:hint="eastAsia" w:ascii="宋体" w:hAnsi="宋体" w:eastAsia="宋体" w:cs="宋体"/>
                <w:spacing w:val="12"/>
                <w:sz w:val="21"/>
                <w:szCs w:val="21"/>
              </w:rPr>
              <w:t>用品</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代购日常生活用品，纸品、果蔬等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15</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25</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代缴日常</w:t>
            </w:r>
            <w:r>
              <w:rPr>
                <w:rFonts w:hint="eastAsia" w:ascii="宋体" w:hAnsi="宋体" w:eastAsia="宋体" w:cs="宋体"/>
                <w:spacing w:val="-10"/>
                <w:sz w:val="21"/>
                <w:szCs w:val="21"/>
              </w:rPr>
              <w:t>费用</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代缴水、电、暖气、通讯费等日常费用</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lang w:val="en-US" w:eastAsia="zh-CN"/>
              </w:rPr>
              <w:t>5</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26</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代订代取</w:t>
            </w:r>
            <w:r>
              <w:rPr>
                <w:rFonts w:hint="eastAsia" w:ascii="宋体" w:hAnsi="宋体" w:eastAsia="宋体" w:cs="宋体"/>
                <w:spacing w:val="-7"/>
                <w:sz w:val="21"/>
                <w:szCs w:val="21"/>
              </w:rPr>
              <w:t>业务</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代订车票、预约车辆，代取送信函、文件和物品等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15</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27</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代为申请</w:t>
            </w:r>
            <w:r>
              <w:rPr>
                <w:rFonts w:hint="eastAsia" w:ascii="宋体" w:hAnsi="宋体" w:eastAsia="宋体" w:cs="宋体"/>
                <w:spacing w:val="-7"/>
                <w:sz w:val="21"/>
                <w:szCs w:val="21"/>
              </w:rPr>
              <w:t>服务</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代为申请法律援助、救助服务等</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9"/>
                <w:sz w:val="21"/>
                <w:szCs w:val="21"/>
                <w:lang w:val="en-US" w:eastAsia="zh-CN"/>
              </w:rPr>
              <w:t>10</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元/次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35"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28</w:t>
            </w:r>
          </w:p>
        </w:tc>
        <w:tc>
          <w:tcPr>
            <w:tcW w:w="483" w:type="pct"/>
            <w:vMerge w:val="restart"/>
            <w:tcBorders>
              <w:bottom w:val="nil"/>
            </w:tcBorders>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精神慰</w:t>
            </w:r>
            <w:r>
              <w:rPr>
                <w:rFonts w:hint="eastAsia" w:ascii="宋体" w:hAnsi="宋体" w:eastAsia="宋体" w:cs="宋体"/>
                <w:spacing w:val="-7"/>
                <w:sz w:val="21"/>
                <w:szCs w:val="21"/>
              </w:rPr>
              <w:t>藉服务</w:t>
            </w: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陪伴支持</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定期协助有意愿的老年人外出活动或前往服务机构参</w:t>
            </w:r>
            <w:r>
              <w:rPr>
                <w:rFonts w:hint="eastAsia" w:ascii="宋体" w:hAnsi="宋体" w:eastAsia="宋体" w:cs="宋体"/>
                <w:spacing w:val="-2"/>
                <w:sz w:val="21"/>
                <w:szCs w:val="21"/>
              </w:rPr>
              <w:t>加集体活动</w:t>
            </w:r>
            <w:r>
              <w:rPr>
                <w:rFonts w:hint="eastAsia" w:ascii="宋体" w:hAnsi="宋体" w:eastAsia="宋体" w:cs="宋体"/>
                <w:b/>
                <w:bCs/>
                <w:spacing w:val="-2"/>
                <w:sz w:val="21"/>
                <w:szCs w:val="21"/>
              </w:rPr>
              <w:t>(由此产生的交通费用由服务对象自行支</w:t>
            </w:r>
            <w:r>
              <w:rPr>
                <w:rFonts w:hint="eastAsia" w:ascii="宋体" w:hAnsi="宋体" w:eastAsia="宋体" w:cs="宋体"/>
                <w:b/>
                <w:bCs/>
                <w:spacing w:val="-9"/>
                <w:sz w:val="21"/>
                <w:szCs w:val="21"/>
              </w:rPr>
              <w:t>付)</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15</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29</w:t>
            </w:r>
          </w:p>
        </w:tc>
        <w:tc>
          <w:tcPr>
            <w:tcW w:w="483"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情绪疏导</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与老年人进行谈心、交流，耐心倾听老年人的</w:t>
            </w:r>
            <w:r>
              <w:rPr>
                <w:rFonts w:hint="eastAsia" w:ascii="宋体" w:hAnsi="宋体" w:eastAsia="宋体" w:cs="宋体"/>
                <w:spacing w:val="-2"/>
                <w:sz w:val="21"/>
                <w:szCs w:val="21"/>
              </w:rPr>
              <w:t>诉说</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20</w:t>
            </w:r>
            <w:r>
              <w:rPr>
                <w:rFonts w:hint="eastAsia" w:ascii="宋体" w:hAnsi="宋体" w:eastAsia="宋体" w:cs="宋体"/>
                <w:spacing w:val="-35"/>
                <w:sz w:val="21"/>
                <w:szCs w:val="21"/>
              </w:rPr>
              <w:t xml:space="preserve"> </w:t>
            </w:r>
            <w:r>
              <w:rPr>
                <w:rFonts w:hint="eastAsia" w:ascii="宋体" w:hAnsi="宋体" w:eastAsia="宋体" w:cs="宋体"/>
                <w:spacing w:val="-5"/>
                <w:sz w:val="21"/>
                <w:szCs w:val="21"/>
              </w:rPr>
              <w:t>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30</w:t>
            </w:r>
          </w:p>
        </w:tc>
        <w:tc>
          <w:tcPr>
            <w:tcW w:w="483"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p>
        </w:tc>
        <w:tc>
          <w:tcPr>
            <w:tcW w:w="626"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心理慰藉</w:t>
            </w:r>
          </w:p>
        </w:tc>
        <w:tc>
          <w:tcPr>
            <w:tcW w:w="2895"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pacing w:val="-1"/>
                <w:sz w:val="21"/>
                <w:szCs w:val="21"/>
              </w:rPr>
              <w:t>通过心理健康教育、心理干预手段调整老年人心理状</w:t>
            </w:r>
            <w:r>
              <w:rPr>
                <w:rFonts w:hint="eastAsia" w:ascii="宋体" w:hAnsi="宋体" w:eastAsia="宋体" w:cs="宋体"/>
                <w:sz w:val="21"/>
                <w:szCs w:val="21"/>
              </w:rPr>
              <w:t>态</w:t>
            </w:r>
          </w:p>
        </w:tc>
        <w:tc>
          <w:tcPr>
            <w:tcW w:w="659" w:type="pct"/>
            <w:vAlign w:val="center"/>
          </w:tcPr>
          <w:p>
            <w:pPr>
              <w:pStyle w:val="7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30</w:t>
            </w:r>
            <w:r>
              <w:rPr>
                <w:rFonts w:hint="eastAsia" w:ascii="宋体" w:hAnsi="宋体" w:eastAsia="宋体" w:cs="宋体"/>
                <w:spacing w:val="-5"/>
                <w:sz w:val="21"/>
                <w:szCs w:val="21"/>
              </w:rPr>
              <w:t>元/小时</w:t>
            </w:r>
          </w:p>
        </w:tc>
      </w:tr>
    </w:tbl>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服务要求</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（一）产品质量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货物应是全新、未使用过的原厂合格产品，并完全符合招标文件规定的质量、规格和参数的要求。验收过程中发现产品不符合上述要求的，将视作不合格产品，使用方有权终止合同，造成的一切损失由承接人承担。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3、产品不得侵犯第三方专利权、商标权和设计权、版权等。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4、承接人应采取必要的安全措施保证货物的运输及安装的安全，并承担货物的运输及安装过程中产生的风险。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5、产品的各项技术标准应当符合现行相关生产标准和规范。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6、供货时必须随产品提供出厂材料，包括但不限于检验报告（复印件）、产品合格证（原件）以及设备的测试、运行、保养手册。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7、采购人将邀请专业人员，对安装到位的设备进行全面检查，发现使用不符合要求的产品，无条件更换。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（二）售后服务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1、本项目的质量保证期（简称“质保期”）：自项目验收交付之日起总体项目提供不少于 1 年质量保证期（包含 1 年服务费）（若国家和/或生产厂家对本项目所涉及货物的质量保证期的规定高于本项目的要求，应按国家和/或生产厂家的规定执行）。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2、设备系统发生故障，承接人应承诺 30 分钟内响应，4 小时内派出维保人员到达现场处理问题，在质保期内非人为因素损坏设备，自采购单位报故障之时起，一般故障 4 小时内予以修复，重大故障 12 小时内予以修复；若无法排除故障，须提供备用设备于 24 小时内安装到位，在最短时间内恢复系统正常运行。保证用户正常使用。承接人接到故障报告后，应严格遵守服务合同约定，承接人应按承诺的服务水平和响应速度到达现场进行处理。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3、承接人应充分保证售后服务点主要硬件维修所需的备件供应。更换的备件型号和规格应与被更换的完全一样或更优。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4、承接人在每次预防性维护后，应针对设备的隐患，准备备件，并立即进行更换。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5、承接人每完成一户改造，需提供售后服务卡给服务对象。售后服务卡内容包括但不限于：售后服务联系人、联系电话、监督人、监督电话等内容。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（四）安全管理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为贯彻“安全第一，预防为主”方针，承接人应为现场施工人员购买不记名工程意外伤害保险。承接人在项目工程现场施工安装过程中，必须遵守国家和地方关于劳动安全、劳务用工等法律法规及规章制度，制定严格的安全措施，加强安全监督管理，对工程施工过程中发生的人身伤害、设备损坏事故承担安全责任，并按国家有关规定，为施工人员购买人身保险，配备合格的劳动防护用品、安全用具。 </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2、若发生安全问题，由承接人自行负责处理并承担一切经济和法律责任，其与采购人一切无关，同时按合同要求保证施工进度，按时完工。</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rPr>
        <w:t>八</w:t>
      </w:r>
      <w:r>
        <w:rPr>
          <w:rFonts w:hint="eastAsia" w:ascii="宋体" w:hAnsi="宋体" w:eastAsia="宋体" w:cs="宋体"/>
          <w:b/>
          <w:sz w:val="21"/>
          <w:szCs w:val="21"/>
        </w:rPr>
        <w:t>、其他要求</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1、本项目不需要提供样品；</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2、本项目不需要勘察现场；</w:t>
      </w:r>
    </w:p>
    <w:p>
      <w:pPr>
        <w:bidi w:val="0"/>
        <w:spacing w:line="360" w:lineRule="auto"/>
        <w:ind w:left="0" w:leftChars="0" w:firstLine="367" w:firstLineChars="1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3、本项目不需要讲标及现场演示；</w:t>
      </w:r>
    </w:p>
    <w:p>
      <w:pPr>
        <w:pStyle w:val="18"/>
        <w:ind w:firstLine="420" w:firstLineChars="200"/>
        <w:rPr>
          <w:rFonts w:hint="default" w:ascii="宋体" w:hAnsi="宋体" w:eastAsia="宋体" w:cs="宋体"/>
          <w:sz w:val="21"/>
          <w:szCs w:val="21"/>
          <w:lang w:val="en-US" w:eastAsia="zh-CN"/>
        </w:rPr>
        <w:sectPr>
          <w:pgSz w:w="11906" w:h="16838"/>
          <w:pgMar w:top="1430" w:right="1535" w:bottom="1806" w:left="1265" w:header="0" w:footer="1458" w:gutter="0"/>
          <w:pgNumType w:fmt="decimal"/>
          <w:cols w:space="720" w:num="1"/>
        </w:sectPr>
      </w:pPr>
      <w:r>
        <w:rPr>
          <w:rFonts w:hint="eastAsia" w:ascii="宋体" w:hAnsi="宋体" w:eastAsia="宋体" w:cs="宋体"/>
          <w:sz w:val="21"/>
          <w:szCs w:val="21"/>
          <w:lang w:val="en-US" w:eastAsia="zh-CN"/>
        </w:rPr>
        <w:t>4、本项目不需要召开现场答疑会。</w:t>
      </w:r>
    </w:p>
    <w:bookmarkEnd w:id="109"/>
    <w:bookmarkEnd w:id="110"/>
    <w:p>
      <w:pPr>
        <w:pStyle w:val="26"/>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p>
    <w:p>
      <w:pPr>
        <w:spacing w:line="312" w:lineRule="auto"/>
        <w:jc w:val="center"/>
        <w:rPr>
          <w:rFonts w:hint="eastAsia" w:ascii="宋体" w:hAnsi="宋体" w:eastAsia="宋体" w:cs="宋体"/>
          <w:color w:val="auto"/>
          <w:sz w:val="32"/>
          <w:szCs w:val="32"/>
          <w:highlight w:val="none"/>
        </w:rPr>
      </w:pPr>
    </w:p>
    <w:p>
      <w:pPr>
        <w:pStyle w:val="5"/>
        <w:spacing w:line="312" w:lineRule="auto"/>
        <w:ind w:firstLine="210"/>
        <w:jc w:val="center"/>
        <w:rPr>
          <w:rFonts w:hint="eastAsia" w:ascii="宋体" w:hAnsi="宋体" w:eastAsia="宋体" w:cs="宋体"/>
          <w:color w:val="auto"/>
          <w:highlight w:val="none"/>
        </w:rPr>
      </w:pPr>
      <w:r>
        <w:rPr>
          <w:rFonts w:hint="eastAsia" w:ascii="宋体" w:hAnsi="宋体" w:eastAsia="宋体" w:cs="宋体"/>
          <w:color w:val="auto"/>
          <w:highlight w:val="none"/>
        </w:rPr>
        <w:t>（封面格式）</w:t>
      </w:r>
    </w:p>
    <w:p>
      <w:pPr>
        <w:pStyle w:val="5"/>
        <w:spacing w:line="312" w:lineRule="auto"/>
        <w:ind w:firstLine="210"/>
        <w:rPr>
          <w:rFonts w:hint="eastAsia" w:ascii="宋体" w:hAnsi="宋体" w:eastAsia="宋体" w:cs="宋体"/>
          <w:color w:val="auto"/>
          <w:highlight w:val="none"/>
        </w:rPr>
      </w:pPr>
    </w:p>
    <w:p>
      <w:pPr>
        <w:pStyle w:val="5"/>
        <w:spacing w:line="312" w:lineRule="auto"/>
        <w:ind w:firstLine="210"/>
        <w:jc w:val="center"/>
        <w:rPr>
          <w:rFonts w:hint="eastAsia" w:ascii="宋体" w:hAnsi="宋体" w:eastAsia="宋体" w:cs="宋体"/>
          <w:color w:val="auto"/>
          <w:kern w:val="0"/>
          <w:sz w:val="32"/>
          <w:szCs w:val="32"/>
          <w:highlight w:val="none"/>
          <w:u w:val="single"/>
        </w:rPr>
      </w:pPr>
      <w:r>
        <w:rPr>
          <w:rFonts w:hint="eastAsia" w:ascii="宋体" w:hAnsi="宋体" w:eastAsia="宋体" w:cs="宋体"/>
          <w:color w:val="auto"/>
          <w:highlight w:val="none"/>
        </w:rPr>
        <w:t xml:space="preserve">                                                            </w:t>
      </w:r>
    </w:p>
    <w:p>
      <w:pPr>
        <w:spacing w:line="312"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（项目名称）</w:t>
      </w:r>
    </w:p>
    <w:p>
      <w:pPr>
        <w:pStyle w:val="53"/>
        <w:spacing w:line="312" w:lineRule="auto"/>
        <w:ind w:firstLine="880"/>
        <w:rPr>
          <w:rFonts w:hint="eastAsia" w:ascii="宋体" w:hAnsi="宋体" w:eastAsia="宋体" w:cs="宋体"/>
          <w:color w:val="auto"/>
          <w:highlight w:val="none"/>
        </w:rPr>
      </w:pPr>
    </w:p>
    <w:p>
      <w:pPr>
        <w:spacing w:before="312" w:beforeLines="100" w:line="312" w:lineRule="auto"/>
        <w:jc w:val="both"/>
        <w:rPr>
          <w:rFonts w:hint="eastAsia" w:ascii="宋体" w:hAnsi="宋体" w:eastAsia="宋体" w:cs="宋体"/>
          <w:color w:val="auto"/>
          <w:sz w:val="44"/>
          <w:szCs w:val="44"/>
          <w:highlight w:val="none"/>
        </w:rPr>
      </w:pPr>
    </w:p>
    <w:p>
      <w:pPr>
        <w:spacing w:before="312" w:beforeLines="100" w:line="312"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  标  文  件</w:t>
      </w:r>
    </w:p>
    <w:p>
      <w:pPr>
        <w:spacing w:line="312" w:lineRule="auto"/>
        <w:jc w:val="center"/>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pPr>
    </w:p>
    <w:p>
      <w:pPr>
        <w:spacing w:line="312" w:lineRule="auto"/>
        <w:jc w:val="both"/>
        <w:rPr>
          <w:rFonts w:hint="eastAsia" w:ascii="宋体" w:hAnsi="宋体" w:eastAsia="宋体" w:cs="宋体"/>
          <w:color w:val="auto"/>
          <w:sz w:val="32"/>
          <w:szCs w:val="32"/>
          <w:highlight w:val="none"/>
        </w:rPr>
      </w:pPr>
    </w:p>
    <w:p>
      <w:pPr>
        <w:pStyle w:val="50"/>
        <w:rPr>
          <w:rFonts w:hint="eastAsia" w:ascii="宋体" w:hAnsi="宋体" w:eastAsia="宋体" w:cs="宋体"/>
          <w:color w:val="auto"/>
          <w:highlight w:val="none"/>
        </w:rPr>
      </w:pPr>
    </w:p>
    <w:p>
      <w:pPr>
        <w:spacing w:line="312"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（单位电子签章）</w:t>
      </w:r>
    </w:p>
    <w:p>
      <w:pPr>
        <w:spacing w:line="312"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（电子签名或盖章）</w:t>
      </w:r>
    </w:p>
    <w:p>
      <w:pPr>
        <w:spacing w:line="312"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12" w:lineRule="auto"/>
        <w:rPr>
          <w:rFonts w:hint="eastAsia" w:ascii="宋体" w:hAnsi="宋体" w:eastAsia="宋体" w:cs="宋体"/>
          <w:bCs/>
          <w:color w:val="auto"/>
          <w:sz w:val="24"/>
          <w:highlight w:val="none"/>
        </w:rPr>
      </w:pPr>
    </w:p>
    <w:p>
      <w:pPr>
        <w:pStyle w:val="5"/>
        <w:spacing w:line="312" w:lineRule="auto"/>
        <w:ind w:firstLine="0" w:firstLineChars="0"/>
        <w:rPr>
          <w:rFonts w:hint="eastAsia" w:ascii="宋体" w:hAnsi="宋体" w:eastAsia="宋体" w:cs="宋体"/>
          <w:color w:val="auto"/>
          <w:highlight w:val="none"/>
        </w:rPr>
      </w:pPr>
    </w:p>
    <w:p>
      <w:pPr>
        <w:numPr>
          <w:ilvl w:val="0"/>
          <w:numId w:val="0"/>
        </w:numPr>
        <w:spacing w:line="312" w:lineRule="auto"/>
        <w:ind w:right="210"/>
        <w:jc w:val="center"/>
        <w:outlineLvl w:val="9"/>
        <w:rPr>
          <w:rFonts w:hint="eastAsia" w:ascii="宋体" w:hAnsi="宋体" w:eastAsia="宋体" w:cs="宋体"/>
          <w:color w:val="auto"/>
          <w:sz w:val="36"/>
          <w:szCs w:val="36"/>
          <w:highlight w:val="none"/>
        </w:rPr>
      </w:pPr>
      <w:bookmarkStart w:id="113" w:name="_Toc472429341"/>
      <w:bookmarkEnd w:id="113"/>
      <w:bookmarkStart w:id="114" w:name="_Toc472337696"/>
      <w:bookmarkEnd w:id="114"/>
    </w:p>
    <w:p>
      <w:pPr>
        <w:numPr>
          <w:ilvl w:val="0"/>
          <w:numId w:val="0"/>
        </w:numPr>
        <w:spacing w:line="312" w:lineRule="auto"/>
        <w:ind w:right="210"/>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pPr>
        <w:spacing w:line="312" w:lineRule="auto"/>
        <w:ind w:firstLine="440" w:firstLineChars="200"/>
        <w:rPr>
          <w:rFonts w:hint="eastAsia" w:ascii="宋体" w:hAnsi="宋体" w:eastAsia="宋体" w:cs="宋体"/>
          <w:color w:val="auto"/>
          <w:sz w:val="22"/>
          <w:szCs w:val="22"/>
          <w:highlight w:val="none"/>
        </w:rPr>
      </w:pPr>
    </w:p>
    <w:p>
      <w:pPr>
        <w:spacing w:line="312" w:lineRule="auto"/>
        <w:ind w:firstLine="440" w:firstLineChars="200"/>
        <w:rPr>
          <w:rFonts w:hint="eastAsia" w:ascii="宋体" w:hAnsi="宋体" w:eastAsia="宋体" w:cs="宋体"/>
          <w:color w:val="auto"/>
          <w:sz w:val="22"/>
          <w:szCs w:val="22"/>
          <w:highlight w:val="none"/>
        </w:rPr>
      </w:pPr>
      <w:bookmarkStart w:id="115" w:name="_Toc472337697"/>
      <w:bookmarkStart w:id="116" w:name="_Toc472429342"/>
      <w:r>
        <w:rPr>
          <w:rFonts w:hint="eastAsia" w:ascii="宋体" w:hAnsi="宋体" w:eastAsia="宋体" w:cs="宋体"/>
          <w:color w:val="auto"/>
          <w:sz w:val="22"/>
          <w:szCs w:val="22"/>
          <w:highlight w:val="none"/>
        </w:rPr>
        <w:t xml:space="preserve">一、投标函及投标函附录 </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二、法定代表人（单位负责人）身份证明（适用于无委托代理人的情况）</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二、授权委托书（适用于有委托代理人的情况） </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三、分项报价表</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技术条款偏差表</w:t>
      </w:r>
    </w:p>
    <w:p>
      <w:pPr>
        <w:spacing w:line="312"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技术方案</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项目组</w:t>
      </w:r>
      <w:r>
        <w:rPr>
          <w:rFonts w:hint="eastAsia" w:ascii="宋体" w:hAnsi="宋体" w:eastAsia="宋体" w:cs="宋体"/>
          <w:color w:val="auto"/>
          <w:sz w:val="22"/>
          <w:szCs w:val="22"/>
          <w:highlight w:val="none"/>
        </w:rPr>
        <w:t>成员情况表</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七、</w:t>
      </w:r>
      <w:r>
        <w:rPr>
          <w:rFonts w:hint="eastAsia" w:ascii="宋体" w:hAnsi="宋体" w:eastAsia="宋体" w:cs="宋体"/>
          <w:color w:val="auto"/>
          <w:sz w:val="22"/>
          <w:szCs w:val="22"/>
          <w:highlight w:val="none"/>
        </w:rPr>
        <w:t>资格审查资料</w:t>
      </w:r>
    </w:p>
    <w:p>
      <w:pPr>
        <w:spacing w:line="312"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八</w:t>
      </w:r>
      <w:r>
        <w:rPr>
          <w:rFonts w:hint="eastAsia" w:ascii="宋体" w:hAnsi="宋体" w:eastAsia="宋体" w:cs="宋体"/>
          <w:color w:val="auto"/>
          <w:sz w:val="22"/>
          <w:szCs w:val="22"/>
          <w:highlight w:val="none"/>
        </w:rPr>
        <w:t>、其他材料</w:t>
      </w:r>
    </w:p>
    <w:bookmarkEnd w:id="115"/>
    <w:bookmarkEnd w:id="116"/>
    <w:p>
      <w:pPr>
        <w:pStyle w:val="8"/>
        <w:numPr>
          <w:ilvl w:val="0"/>
          <w:numId w:val="0"/>
        </w:numPr>
        <w:spacing w:line="312" w:lineRule="auto"/>
        <w:ind w:left="210" w:right="210"/>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br w:type="page"/>
      </w:r>
      <w:r>
        <w:rPr>
          <w:rFonts w:hint="eastAsia" w:ascii="宋体" w:hAnsi="宋体" w:eastAsia="宋体" w:cs="宋体"/>
          <w:b/>
          <w:color w:val="auto"/>
          <w:szCs w:val="28"/>
          <w:highlight w:val="none"/>
        </w:rPr>
        <w:t>一、投标函及投标函附录</w:t>
      </w:r>
    </w:p>
    <w:p>
      <w:pPr>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（一）投标函</w:t>
      </w:r>
    </w:p>
    <w:p>
      <w:pPr>
        <w:spacing w:line="312" w:lineRule="auto"/>
        <w:rPr>
          <w:rFonts w:hint="eastAsia" w:ascii="宋体" w:hAnsi="宋体" w:eastAsia="宋体" w:cs="宋体"/>
          <w:color w:val="auto"/>
          <w:szCs w:val="21"/>
          <w:highlight w:val="none"/>
        </w:rPr>
      </w:pPr>
    </w:p>
    <w:p>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（招标人）   </w:t>
      </w:r>
      <w:r>
        <w:rPr>
          <w:rFonts w:hint="eastAsia" w:ascii="宋体" w:hAnsi="宋体" w:eastAsia="宋体" w:cs="宋体"/>
          <w:color w:val="auto"/>
          <w:szCs w:val="21"/>
          <w:highlight w:val="none"/>
        </w:rPr>
        <w:t xml:space="preserve"> </w:t>
      </w:r>
    </w:p>
    <w:p>
      <w:pPr>
        <w:pStyle w:val="5"/>
        <w:spacing w:line="312"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项目名称）招标文件的全部内容，愿提供招标文件规定的各项技术服务，并按合同约定履行义务。</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2.我方承诺投标有效期为自投标截止之日起60日历天。在投标有效期内不修改、撤销投标文件。</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3.如我方中标：</w:t>
      </w:r>
    </w:p>
    <w:p>
      <w:pPr>
        <w:spacing w:line="312" w:lineRule="auto"/>
        <w:ind w:firstLine="218" w:firstLineChars="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（2）随同本投标函递交的投标函附录属于合同文件的组成部分。</w:t>
      </w:r>
    </w:p>
    <w:p>
      <w:pPr>
        <w:spacing w:line="312"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（3）如果我方中标，同意按招标文件规定的收费标准向采购代理机构支付服务费。</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4.我方在此声明，所递交的投标文件及有关资料内容完整、真实和准确，且不存在第二章“投标人须知”第1.4.3项规定的任何一种情形。</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eastAsia="宋体" w:cs="宋体"/>
          <w:color w:val="auto"/>
          <w:szCs w:val="21"/>
          <w:highlight w:val="none"/>
          <w:u w:val="single"/>
        </w:rPr>
        <w:t>（其他补充说明）</w:t>
      </w:r>
      <w:r>
        <w:rPr>
          <w:rFonts w:hint="eastAsia" w:ascii="宋体" w:hAnsi="宋体" w:eastAsia="宋体" w:cs="宋体"/>
          <w:color w:val="auto"/>
          <w:szCs w:val="21"/>
          <w:highlight w:val="none"/>
        </w:rPr>
        <w:t>。</w:t>
      </w:r>
    </w:p>
    <w:p>
      <w:pPr>
        <w:spacing w:line="312" w:lineRule="auto"/>
        <w:rPr>
          <w:rFonts w:hint="eastAsia" w:ascii="宋体" w:hAnsi="宋体" w:eastAsia="宋体" w:cs="宋体"/>
          <w:color w:val="auto"/>
          <w:szCs w:val="21"/>
          <w:highlight w:val="none"/>
        </w:rPr>
      </w:pP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单位电子签章</w:t>
      </w:r>
      <w:r>
        <w:rPr>
          <w:rFonts w:hint="eastAsia" w:ascii="宋体" w:hAnsi="宋体" w:eastAsia="宋体" w:cs="宋体"/>
          <w:color w:val="auto"/>
          <w:szCs w:val="21"/>
          <w:highlight w:val="none"/>
          <w:lang w:eastAsia="zh-CN"/>
        </w:rPr>
        <w:t>）</w:t>
      </w: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电子签名或盖章</w:t>
      </w:r>
      <w:r>
        <w:rPr>
          <w:rFonts w:hint="eastAsia" w:ascii="宋体" w:hAnsi="宋体" w:eastAsia="宋体" w:cs="宋体"/>
          <w:color w:val="auto"/>
          <w:szCs w:val="21"/>
          <w:highlight w:val="none"/>
          <w:lang w:eastAsia="zh-CN"/>
        </w:rPr>
        <w:t>）</w:t>
      </w: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（二）投标函附录</w:t>
      </w:r>
    </w:p>
    <w:p>
      <w:pPr>
        <w:spacing w:line="312" w:lineRule="auto"/>
        <w:rPr>
          <w:rFonts w:hint="eastAsia" w:ascii="宋体" w:hAnsi="宋体" w:eastAsia="宋体" w:cs="宋体"/>
          <w:color w:val="auto"/>
          <w:szCs w:val="21"/>
          <w:highlight w:val="none"/>
        </w:rPr>
      </w:pPr>
    </w:p>
    <w:tbl>
      <w:tblPr>
        <w:tblStyle w:val="29"/>
        <w:tblW w:w="87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7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46" w:type="dxa"/>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46" w:type="dxa"/>
            <w:vAlign w:val="center"/>
          </w:tcPr>
          <w:p>
            <w:pPr>
              <w:spacing w:line="312"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046" w:type="dxa"/>
            <w:vAlign w:val="center"/>
          </w:tcPr>
          <w:p>
            <w:pPr>
              <w:spacing w:line="312" w:lineRule="auto"/>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lang w:val="en-US" w:eastAsia="zh-CN"/>
              </w:rPr>
              <w:t>平均</w:t>
            </w:r>
            <w:r>
              <w:rPr>
                <w:rFonts w:hint="eastAsia" w:ascii="宋体" w:hAnsi="宋体" w:eastAsia="宋体" w:cs="宋体"/>
                <w:color w:val="auto"/>
                <w:sz w:val="21"/>
                <w:szCs w:val="21"/>
                <w:highlight w:val="none"/>
              </w:rPr>
              <w:t>折扣率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cs="宋体" w:eastAsiaTheme="minorEastAsia"/>
                <w:color w:val="auto"/>
                <w:kern w:val="2"/>
                <w:sz w:val="21"/>
                <w:szCs w:val="21"/>
                <w:highlight w:val="none"/>
                <w:lang w:val="en-US" w:eastAsia="zh-CN" w:bidi="ar-SA"/>
              </w:rPr>
              <w:t>①居家上门服务分项折扣率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w:t>
            </w:r>
          </w:p>
          <w:p>
            <w:pPr>
              <w:spacing w:line="312" w:lineRule="auto"/>
              <w:jc w:val="left"/>
              <w:rPr>
                <w:rFonts w:hint="eastAsia" w:ascii="宋体" w:hAnsi="宋体" w:eastAsia="宋体" w:cs="宋体"/>
                <w:color w:val="auto"/>
                <w:sz w:val="21"/>
                <w:szCs w:val="21"/>
                <w:highlight w:val="none"/>
                <w:u w:val="none"/>
                <w:lang w:val="en-US" w:eastAsia="zh-CN"/>
              </w:rPr>
            </w:pPr>
            <w:r>
              <w:rPr>
                <w:rFonts w:hint="eastAsia" w:ascii="宋体" w:hAnsi="宋体" w:cs="宋体" w:eastAsiaTheme="minorEastAsia"/>
                <w:color w:val="auto"/>
                <w:kern w:val="2"/>
                <w:sz w:val="21"/>
                <w:szCs w:val="21"/>
                <w:highlight w:val="none"/>
                <w:lang w:val="en-US" w:eastAsia="zh-CN" w:bidi="ar-SA"/>
              </w:rPr>
              <w:t>②适老化改造分项折扣率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w:t>
            </w:r>
            <w:r>
              <w:rPr>
                <w:rFonts w:hint="eastAsia" w:ascii="宋体" w:hAnsi="宋体" w:cs="宋体" w:eastAsiaTheme="minorEastAsia"/>
                <w:color w:val="auto"/>
                <w:kern w:val="2"/>
                <w:sz w:val="21"/>
                <w:szCs w:val="21"/>
                <w:highlight w:val="none"/>
                <w:lang w:val="en-US" w:eastAsia="zh-CN" w:bidi="ar-SA"/>
              </w:rPr>
              <w:t>③智能化改造分项折扣率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w:t>
            </w:r>
          </w:p>
          <w:p>
            <w:pPr>
              <w:spacing w:line="312" w:lineRule="auto"/>
              <w:jc w:val="left"/>
              <w:rPr>
                <w:rFonts w:hint="eastAsia" w:ascii="宋体" w:hAnsi="宋体" w:eastAsia="宋体" w:cs="宋体"/>
                <w:color w:val="auto"/>
                <w:sz w:val="21"/>
                <w:szCs w:val="21"/>
                <w:highlight w:val="none"/>
                <w:u w:val="none"/>
                <w:lang w:val="en-US" w:eastAsia="zh-CN"/>
              </w:rPr>
            </w:pPr>
            <w:r>
              <w:rPr>
                <w:rFonts w:hint="eastAsia" w:ascii="宋体" w:hAnsi="宋体" w:cs="宋体" w:eastAsiaTheme="minorEastAsia"/>
                <w:color w:val="auto"/>
                <w:kern w:val="2"/>
                <w:sz w:val="21"/>
                <w:szCs w:val="21"/>
                <w:highlight w:val="none"/>
                <w:lang w:val="en-US" w:eastAsia="zh-CN" w:bidi="ar-SA"/>
              </w:rPr>
              <w:t>④购置老年用品分项折扣率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046"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自投标截止之日起60日历天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1738" w:type="dxa"/>
            <w:vAlign w:val="center"/>
          </w:tcPr>
          <w:p>
            <w:pPr>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质量</w:t>
            </w:r>
          </w:p>
        </w:tc>
        <w:tc>
          <w:tcPr>
            <w:tcW w:w="7046" w:type="dxa"/>
            <w:vAlign w:val="center"/>
          </w:tcPr>
          <w:p>
            <w:pPr>
              <w:spacing w:line="312" w:lineRule="auto"/>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7046" w:type="dxa"/>
            <w:vAlign w:val="center"/>
          </w:tcPr>
          <w:p>
            <w:pPr>
              <w:pStyle w:val="8"/>
              <w:numPr>
                <w:ilvl w:val="1"/>
                <w:numId w:val="0"/>
              </w:numPr>
              <w:spacing w:line="312" w:lineRule="auto"/>
              <w:ind w:left="556"/>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服务要求</w:t>
            </w:r>
          </w:p>
        </w:tc>
        <w:tc>
          <w:tcPr>
            <w:tcW w:w="7046" w:type="dxa"/>
            <w:vAlign w:val="center"/>
          </w:tcPr>
          <w:p>
            <w:pPr>
              <w:pStyle w:val="61"/>
              <w:widowControl w:val="0"/>
              <w:autoSpaceDE w:val="0"/>
              <w:autoSpaceDN w:val="0"/>
              <w:spacing w:before="0" w:after="0" w:line="312" w:lineRule="auto"/>
              <w:jc w:val="center"/>
              <w:rPr>
                <w:rFonts w:hint="eastAsia" w:ascii="宋体" w:hAnsi="宋体" w:eastAsia="宋体" w:cs="宋体"/>
                <w:color w:val="auto"/>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1738" w:type="dxa"/>
            <w:vAlign w:val="center"/>
          </w:tcPr>
          <w:p>
            <w:pPr>
              <w:spacing w:line="312" w:lineRule="auto"/>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建设家庭养老床位的质保维护期</w:t>
            </w:r>
          </w:p>
        </w:tc>
        <w:tc>
          <w:tcPr>
            <w:tcW w:w="7046" w:type="dxa"/>
            <w:vAlign w:val="center"/>
          </w:tcPr>
          <w:p>
            <w:pPr>
              <w:pStyle w:val="61"/>
              <w:widowControl w:val="0"/>
              <w:autoSpaceDE w:val="0"/>
              <w:autoSpaceDN w:val="0"/>
              <w:spacing w:before="0" w:after="0" w:line="312" w:lineRule="auto"/>
              <w:jc w:val="center"/>
              <w:rPr>
                <w:rFonts w:hint="eastAsia" w:ascii="宋体" w:hAnsi="宋体" w:eastAsia="宋体" w:cs="宋体"/>
                <w:color w:val="auto"/>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1738"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046" w:type="dxa"/>
            <w:vAlign w:val="center"/>
          </w:tcPr>
          <w:p>
            <w:pPr>
              <w:spacing w:line="312" w:lineRule="auto"/>
              <w:jc w:val="left"/>
              <w:rPr>
                <w:rFonts w:hint="eastAsia" w:ascii="宋体" w:hAnsi="宋体" w:eastAsia="宋体" w:cs="宋体"/>
                <w:color w:val="auto"/>
                <w:szCs w:val="21"/>
                <w:highlight w:val="none"/>
              </w:rPr>
            </w:pPr>
          </w:p>
        </w:tc>
      </w:tr>
    </w:tbl>
    <w:p>
      <w:pPr>
        <w:spacing w:line="312" w:lineRule="auto"/>
        <w:ind w:firstLine="422" w:firstLineChars="200"/>
        <w:rPr>
          <w:rFonts w:hint="eastAsia" w:ascii="宋体" w:hAnsi="宋体" w:eastAsia="宋体" w:cs="宋体"/>
          <w:b/>
          <w:color w:val="auto"/>
          <w:szCs w:val="21"/>
          <w:highlight w:val="none"/>
        </w:rPr>
      </w:pP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单位电子签章</w:t>
      </w:r>
      <w:r>
        <w:rPr>
          <w:rFonts w:hint="eastAsia" w:ascii="宋体" w:hAnsi="宋体" w:eastAsia="宋体" w:cs="宋体"/>
          <w:color w:val="auto"/>
          <w:szCs w:val="21"/>
          <w:highlight w:val="none"/>
          <w:lang w:eastAsia="zh-CN"/>
        </w:rPr>
        <w:t>）</w:t>
      </w:r>
    </w:p>
    <w:p>
      <w:pPr>
        <w:spacing w:line="312" w:lineRule="auto"/>
        <w:ind w:firstLine="3885" w:firstLineChars="1850"/>
        <w:rPr>
          <w:rFonts w:hint="eastAsia" w:ascii="宋体" w:hAnsi="宋体" w:eastAsia="宋体" w:cs="宋体"/>
          <w:color w:val="auto"/>
          <w:szCs w:val="21"/>
          <w:highlight w:val="none"/>
        </w:rPr>
      </w:pPr>
    </w:p>
    <w:p>
      <w:pPr>
        <w:spacing w:line="312" w:lineRule="auto"/>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电子签名或盖章</w:t>
      </w:r>
      <w:r>
        <w:rPr>
          <w:rFonts w:hint="eastAsia" w:ascii="宋体" w:hAnsi="宋体" w:eastAsia="宋体" w:cs="宋体"/>
          <w:color w:val="auto"/>
          <w:szCs w:val="21"/>
          <w:highlight w:val="none"/>
          <w:lang w:eastAsia="zh-CN"/>
        </w:rPr>
        <w:t>）</w:t>
      </w:r>
    </w:p>
    <w:p>
      <w:pPr>
        <w:spacing w:line="312" w:lineRule="auto"/>
        <w:ind w:firstLine="3885" w:firstLineChars="1850"/>
        <w:rPr>
          <w:rFonts w:hint="eastAsia" w:ascii="宋体" w:hAnsi="宋体" w:eastAsia="宋体" w:cs="宋体"/>
          <w:color w:val="auto"/>
          <w:szCs w:val="21"/>
          <w:highlight w:val="none"/>
        </w:rPr>
      </w:pPr>
    </w:p>
    <w:p>
      <w:pPr>
        <w:spacing w:line="312" w:lineRule="auto"/>
        <w:ind w:firstLine="3990" w:firstLineChars="1900"/>
        <w:rPr>
          <w:rFonts w:hint="eastAsia" w:ascii="宋体" w:hAnsi="宋体" w:eastAsia="宋体" w:cs="宋体"/>
          <w:b/>
          <w:color w:val="auto"/>
          <w:szCs w:val="28"/>
          <w:highlight w:val="none"/>
        </w:rPr>
      </w:pPr>
      <w:r>
        <w:rPr>
          <w:rFonts w:hint="eastAsia" w:ascii="宋体" w:hAnsi="宋体" w:eastAsia="宋体" w:cs="宋体"/>
          <w:color w:val="auto"/>
          <w:szCs w:val="21"/>
          <w:highlight w:val="none"/>
        </w:rPr>
        <w:t>年   月    日</w:t>
      </w:r>
    </w:p>
    <w:p>
      <w:pP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br w:type="page"/>
      </w:r>
    </w:p>
    <w:p>
      <w:pPr>
        <w:pStyle w:val="8"/>
        <w:numPr>
          <w:ilvl w:val="0"/>
          <w:numId w:val="0"/>
        </w:numPr>
        <w:tabs>
          <w:tab w:val="left" w:pos="1260"/>
          <w:tab w:val="clear" w:pos="840"/>
        </w:tabs>
        <w:spacing w:line="312"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二、法定代表人（单位负责人）身份证明</w:t>
      </w:r>
      <w:r>
        <w:rPr>
          <w:rFonts w:hint="eastAsia" w:ascii="宋体" w:hAnsi="宋体" w:eastAsia="宋体" w:cs="宋体"/>
          <w:color w:val="auto"/>
          <w:sz w:val="22"/>
          <w:szCs w:val="22"/>
          <w:highlight w:val="none"/>
        </w:rPr>
        <w:t>（适用于无委托代理人的情况）</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投标人名称：  </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p>
      <w:pPr>
        <w:spacing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pStyle w:val="5"/>
        <w:spacing w:line="312" w:lineRule="auto"/>
        <w:ind w:firstLine="21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投标人：（单位电子签章）</w:t>
      </w:r>
    </w:p>
    <w:p>
      <w:pPr>
        <w:spacing w:line="312" w:lineRule="auto"/>
        <w:ind w:firstLine="4515" w:firstLineChars="2150"/>
        <w:rPr>
          <w:rFonts w:hint="eastAsia" w:ascii="宋体" w:hAnsi="宋体" w:eastAsia="宋体" w:cs="宋体"/>
          <w:color w:val="auto"/>
          <w:szCs w:val="21"/>
          <w:highlight w:val="none"/>
          <w:u w:val="single"/>
        </w:rPr>
      </w:pPr>
    </w:p>
    <w:p>
      <w:pPr>
        <w:spacing w:line="312"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12" w:lineRule="auto"/>
        <w:ind w:firstLine="420" w:firstLineChars="200"/>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420"/>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420"/>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420"/>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420"/>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420"/>
        <w:rPr>
          <w:rFonts w:hint="eastAsia" w:ascii="宋体" w:hAnsi="宋体" w:eastAsia="宋体" w:cs="宋体"/>
          <w:color w:val="auto"/>
          <w:sz w:val="21"/>
          <w:szCs w:val="21"/>
          <w:highlight w:val="none"/>
        </w:rPr>
      </w:pPr>
    </w:p>
    <w:p>
      <w:pPr>
        <w:pStyle w:val="22"/>
        <w:spacing w:line="312" w:lineRule="auto"/>
        <w:rPr>
          <w:rFonts w:hint="eastAsia" w:ascii="宋体" w:hAnsi="宋体" w:eastAsia="宋体" w:cs="宋体"/>
          <w:color w:val="auto"/>
          <w:highlight w:val="none"/>
        </w:rPr>
      </w:pPr>
    </w:p>
    <w:p>
      <w:pPr>
        <w:pStyle w:val="8"/>
        <w:numPr>
          <w:ilvl w:val="0"/>
          <w:numId w:val="0"/>
        </w:numPr>
        <w:tabs>
          <w:tab w:val="left" w:pos="1260"/>
          <w:tab w:val="clear" w:pos="840"/>
        </w:tabs>
        <w:spacing w:line="312"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二、授权委托书</w:t>
      </w:r>
      <w:r>
        <w:rPr>
          <w:rFonts w:hint="eastAsia" w:ascii="宋体" w:hAnsi="宋体" w:eastAsia="宋体" w:cs="宋体"/>
          <w:color w:val="auto"/>
          <w:sz w:val="22"/>
          <w:szCs w:val="22"/>
          <w:highlight w:val="none"/>
        </w:rPr>
        <w:t>（适用于有委托代理人的情况）</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投标文件、签订合同和处理有关事宜，其法律后果由我方承担。</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pStyle w:val="2"/>
        <w:spacing w:line="312" w:lineRule="auto"/>
        <w:rPr>
          <w:rFonts w:hint="eastAsia" w:ascii="宋体" w:hAnsi="宋体" w:eastAsia="宋体" w:cs="宋体"/>
          <w:color w:val="auto"/>
          <w:szCs w:val="21"/>
          <w:highlight w:val="none"/>
        </w:rPr>
      </w:pPr>
    </w:p>
    <w:p>
      <w:pPr>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委托期限：本授权书至投标有效期结束前始终有效。</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附：法定代表人身份证复印件及委托代理人身份证复印件</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注：本授权委托书需由投标人加盖单位公章并由法定代表人和委托代理人签字。</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725" w:firstLineChars="2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投标人：（单位电子签章）</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725" w:firstLineChars="2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法定代表人：（电子签名或盖章）</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725" w:firstLineChars="2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312" w:lineRule="auto"/>
        <w:ind w:firstLine="4725" w:firstLineChars="2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委托代理人：（电子签名或盖章）</w:t>
      </w:r>
    </w:p>
    <w:p>
      <w:pPr>
        <w:spacing w:line="312" w:lineRule="auto"/>
        <w:ind w:firstLine="420" w:firstLineChars="200"/>
        <w:rPr>
          <w:rFonts w:hint="eastAsia" w:ascii="宋体" w:hAnsi="宋体" w:eastAsia="宋体" w:cs="宋体"/>
          <w:color w:val="auto"/>
          <w:szCs w:val="21"/>
          <w:highlight w:val="none"/>
        </w:rPr>
      </w:pPr>
    </w:p>
    <w:p>
      <w:pPr>
        <w:spacing w:line="312" w:lineRule="auto"/>
        <w:ind w:firstLine="4725" w:firstLineChars="2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312" w:lineRule="auto"/>
        <w:ind w:firstLine="5355" w:firstLineChars="2550"/>
        <w:rPr>
          <w:rFonts w:hint="eastAsia" w:ascii="宋体" w:hAnsi="宋体" w:eastAsia="宋体" w:cs="宋体"/>
          <w:color w:val="auto"/>
          <w:szCs w:val="21"/>
          <w:highlight w:val="none"/>
        </w:rPr>
      </w:pPr>
    </w:p>
    <w:p>
      <w:pPr>
        <w:spacing w:line="312" w:lineRule="auto"/>
        <w:ind w:firstLine="5040" w:firstLineChars="2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12" w:lineRule="auto"/>
        <w:rPr>
          <w:rFonts w:hint="eastAsia" w:ascii="宋体" w:hAnsi="宋体" w:eastAsia="宋体" w:cs="宋体"/>
          <w:color w:val="auto"/>
          <w:sz w:val="24"/>
          <w:highlight w:val="none"/>
        </w:rPr>
      </w:pPr>
    </w:p>
    <w:p>
      <w:pPr>
        <w:spacing w:line="312" w:lineRule="auto"/>
        <w:rPr>
          <w:rFonts w:hint="eastAsia" w:ascii="宋体" w:hAnsi="宋体" w:eastAsia="宋体" w:cs="宋体"/>
          <w:bCs/>
          <w:color w:val="auto"/>
          <w:sz w:val="24"/>
          <w:highlight w:val="none"/>
        </w:rPr>
      </w:pPr>
    </w:p>
    <w:p>
      <w:pPr>
        <w:spacing w:line="312" w:lineRule="auto"/>
        <w:rPr>
          <w:rFonts w:hint="eastAsia" w:ascii="宋体" w:hAnsi="宋体" w:eastAsia="宋体" w:cs="宋体"/>
          <w:bCs/>
          <w:color w:val="auto"/>
          <w:sz w:val="24"/>
          <w:highlight w:val="none"/>
        </w:rPr>
      </w:pPr>
    </w:p>
    <w:p>
      <w:pPr>
        <w:spacing w:line="312" w:lineRule="auto"/>
        <w:rPr>
          <w:rFonts w:hint="eastAsia" w:ascii="宋体" w:hAnsi="宋体" w:eastAsia="宋体" w:cs="宋体"/>
          <w:bCs/>
          <w:color w:val="auto"/>
          <w:sz w:val="24"/>
          <w:highlight w:val="none"/>
        </w:rPr>
      </w:pPr>
    </w:p>
    <w:p>
      <w:pPr>
        <w:pStyle w:val="5"/>
        <w:spacing w:line="312" w:lineRule="auto"/>
        <w:ind w:firstLine="210"/>
        <w:rPr>
          <w:rFonts w:hint="eastAsia" w:ascii="宋体" w:hAnsi="宋体" w:eastAsia="宋体" w:cs="宋体"/>
          <w:color w:val="auto"/>
          <w:highlight w:val="none"/>
        </w:rPr>
      </w:pPr>
    </w:p>
    <w:p>
      <w:pPr>
        <w:pStyle w:val="5"/>
        <w:spacing w:line="312" w:lineRule="auto"/>
        <w:ind w:firstLine="210"/>
        <w:rPr>
          <w:rFonts w:hint="eastAsia" w:ascii="宋体" w:hAnsi="宋体" w:eastAsia="宋体" w:cs="宋体"/>
          <w:color w:val="auto"/>
          <w:highlight w:val="none"/>
        </w:rPr>
      </w:pPr>
    </w:p>
    <w:p>
      <w:pPr>
        <w:pStyle w:val="27"/>
        <w:spacing w:line="312" w:lineRule="auto"/>
        <w:ind w:firstLine="560"/>
        <w:rPr>
          <w:rFonts w:hint="eastAsia" w:ascii="宋体" w:hAnsi="宋体" w:eastAsia="宋体" w:cs="宋体"/>
          <w:color w:val="auto"/>
          <w:highlight w:val="none"/>
        </w:rPr>
      </w:pPr>
    </w:p>
    <w:p>
      <w:pPr>
        <w:keepNext/>
        <w:keepLines/>
        <w:widowControl w:val="0"/>
        <w:spacing w:before="60" w:after="60" w:line="360" w:lineRule="auto"/>
        <w:ind w:firstLine="0" w:firstLineChars="0"/>
        <w:jc w:val="center"/>
        <w:outlineLvl w:val="1"/>
        <w:rPr>
          <w:rFonts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三、分项报价表</w:t>
      </w:r>
    </w:p>
    <w:p>
      <w:pPr>
        <w:spacing w:line="360" w:lineRule="auto"/>
        <w:ind w:firstLine="482" w:firstLineChars="200"/>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投标分项报价表</w:t>
      </w:r>
    </w:p>
    <w:tbl>
      <w:tblPr>
        <w:tblStyle w:val="29"/>
        <w:tblW w:w="92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451"/>
        <w:gridCol w:w="1515"/>
        <w:gridCol w:w="1657"/>
        <w:gridCol w:w="889"/>
        <w:gridCol w:w="1157"/>
        <w:gridCol w:w="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323" w:type="dxa"/>
            <w:vAlign w:val="center"/>
          </w:tcPr>
          <w:p>
            <w:pPr>
              <w:spacing w:before="205" w:beforeLines="50" w:after="205" w:afterLines="5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51" w:type="dxa"/>
            <w:vAlign w:val="center"/>
          </w:tcPr>
          <w:p>
            <w:pPr>
              <w:spacing w:before="205" w:beforeLines="50" w:after="205" w:afterLines="50"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类别</w:t>
            </w:r>
          </w:p>
        </w:tc>
        <w:tc>
          <w:tcPr>
            <w:tcW w:w="1515" w:type="dxa"/>
            <w:vAlign w:val="center"/>
          </w:tcPr>
          <w:p>
            <w:pPr>
              <w:spacing w:before="205" w:beforeLines="50" w:after="205" w:afterLines="50"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1657" w:type="dxa"/>
            <w:vAlign w:val="center"/>
          </w:tcPr>
          <w:p>
            <w:pPr>
              <w:spacing w:before="205" w:beforeLines="50" w:after="205" w:afterLines="50"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具体内容</w:t>
            </w:r>
          </w:p>
        </w:tc>
        <w:tc>
          <w:tcPr>
            <w:tcW w:w="889" w:type="dxa"/>
            <w:vAlign w:val="center"/>
          </w:tcPr>
          <w:p>
            <w:pPr>
              <w:spacing w:before="205" w:beforeLines="50" w:after="205" w:afterLines="50" w:line="36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单位</w:t>
            </w:r>
          </w:p>
        </w:tc>
        <w:tc>
          <w:tcPr>
            <w:tcW w:w="1157" w:type="dxa"/>
            <w:vAlign w:val="center"/>
          </w:tcPr>
          <w:p>
            <w:pPr>
              <w:spacing w:before="205" w:beforeLines="50" w:after="205" w:afterLines="50"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单价</w:t>
            </w:r>
          </w:p>
        </w:tc>
        <w:tc>
          <w:tcPr>
            <w:tcW w:w="1286" w:type="dxa"/>
            <w:gridSpan w:val="2"/>
            <w:vAlign w:val="center"/>
          </w:tcPr>
          <w:p>
            <w:pPr>
              <w:spacing w:before="205" w:beforeLines="50" w:after="205" w:afterLines="50"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5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515"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6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889"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157"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6"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23" w:type="dxa"/>
            <w:vAlign w:val="center"/>
          </w:tcPr>
          <w:p>
            <w:pPr>
              <w:spacing w:before="120" w:after="12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512" w:type="dxa"/>
            <w:gridSpan w:val="4"/>
            <w:vAlign w:val="center"/>
          </w:tcPr>
          <w:p>
            <w:pPr>
              <w:snapToGrid w:val="0"/>
              <w:spacing w:line="360" w:lineRule="auto"/>
              <w:ind w:firstLine="0" w:firstLineChars="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总价</w:t>
            </w:r>
          </w:p>
        </w:tc>
        <w:tc>
          <w:tcPr>
            <w:tcW w:w="1162" w:type="dxa"/>
            <w:gridSpan w:val="2"/>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c>
          <w:tcPr>
            <w:tcW w:w="1281" w:type="dxa"/>
            <w:vAlign w:val="center"/>
          </w:tcPr>
          <w:p>
            <w:pPr>
              <w:snapToGrid w:val="0"/>
              <w:spacing w:line="360" w:lineRule="auto"/>
              <w:ind w:firstLine="420" w:firstLineChars="200"/>
              <w:jc w:val="center"/>
              <w:rPr>
                <w:rFonts w:ascii="宋体" w:hAnsi="宋体" w:eastAsia="宋体" w:cs="宋体"/>
                <w:color w:val="auto"/>
                <w:sz w:val="21"/>
                <w:szCs w:val="21"/>
                <w:highlight w:val="none"/>
              </w:rPr>
            </w:pPr>
          </w:p>
        </w:tc>
      </w:tr>
    </w:tbl>
    <w:p>
      <w:pPr>
        <w:numPr>
          <w:ilvl w:val="0"/>
          <w:numId w:val="0"/>
        </w:num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该表格仅供参考投标人，可根据需要自行扩展。</w:t>
      </w:r>
    </w:p>
    <w:p>
      <w:pPr>
        <w:spacing w:line="360" w:lineRule="auto"/>
        <w:ind w:firstLine="480" w:firstLineChars="200"/>
        <w:rPr>
          <w:rFonts w:ascii="宋体" w:hAnsi="宋体" w:eastAsia="宋体" w:cs="宋体"/>
          <w:color w:val="auto"/>
          <w:sz w:val="24"/>
          <w:szCs w:val="22"/>
          <w:highlight w:val="none"/>
        </w:rPr>
      </w:pPr>
    </w:p>
    <w:p>
      <w:pPr>
        <w:tabs>
          <w:tab w:val="left" w:pos="1365"/>
        </w:tabs>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投标单位（单位电子签章）：                  </w:t>
      </w:r>
    </w:p>
    <w:p>
      <w:pPr>
        <w:tabs>
          <w:tab w:val="left" w:pos="1365"/>
        </w:tabs>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法定代表人或其委托代理人（电子签名或盖章）：</w:t>
      </w:r>
    </w:p>
    <w:p>
      <w:pPr>
        <w:spacing w:line="360" w:lineRule="auto"/>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widowControl w:val="0"/>
        <w:spacing w:line="360" w:lineRule="auto"/>
        <w:jc w:val="center"/>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四、技术条款偏差表</w:t>
      </w:r>
    </w:p>
    <w:p>
      <w:pPr>
        <w:pStyle w:val="52"/>
        <w:ind w:left="0" w:leftChars="0" w:firstLine="0" w:firstLineChars="0"/>
        <w:jc w:val="center"/>
        <w:rPr>
          <w:rFonts w:hint="eastAsia" w:eastAsia="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建设家庭养老床位</w:t>
      </w: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参数</w:t>
      </w:r>
      <w:r>
        <w:rPr>
          <w:rFonts w:hint="eastAsia" w:ascii="宋体" w:hAnsi="宋体" w:eastAsia="宋体" w:cs="宋体"/>
          <w:b/>
          <w:color w:val="auto"/>
          <w:sz w:val="21"/>
          <w:szCs w:val="21"/>
          <w:highlight w:val="none"/>
        </w:rPr>
        <w:t>偏离表</w:t>
      </w:r>
    </w:p>
    <w:tbl>
      <w:tblPr>
        <w:tblStyle w:val="29"/>
        <w:tblW w:w="9815" w:type="dxa"/>
        <w:tblInd w:w="-2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
        <w:gridCol w:w="1629"/>
        <w:gridCol w:w="1554"/>
        <w:gridCol w:w="3449"/>
        <w:gridCol w:w="21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投标产品名称</w:t>
            </w:r>
          </w:p>
        </w:tc>
        <w:tc>
          <w:tcPr>
            <w:tcW w:w="162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招标</w:t>
            </w:r>
            <w:r>
              <w:rPr>
                <w:rFonts w:hint="eastAsia" w:ascii="宋体" w:hAnsi="宋体" w:cs="宋体"/>
                <w:bCs w:val="0"/>
                <w:color w:val="auto"/>
                <w:szCs w:val="24"/>
                <w:highlight w:val="none"/>
                <w:lang w:val="en-US" w:eastAsia="zh-CN"/>
              </w:rPr>
              <w:t>文件中要求的</w:t>
            </w:r>
            <w:r>
              <w:rPr>
                <w:rFonts w:hint="eastAsia" w:ascii="宋体" w:hAnsi="宋体" w:cs="宋体"/>
                <w:bCs w:val="0"/>
                <w:color w:val="auto"/>
                <w:szCs w:val="24"/>
                <w:highlight w:val="none"/>
              </w:rPr>
              <w:t>技术参数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投标</w:t>
            </w:r>
            <w:r>
              <w:rPr>
                <w:rFonts w:hint="eastAsia" w:ascii="宋体" w:hAnsi="宋体" w:cs="宋体"/>
                <w:bCs w:val="0"/>
                <w:color w:val="auto"/>
                <w:szCs w:val="24"/>
                <w:highlight w:val="none"/>
                <w:lang w:val="en-US" w:eastAsia="zh-CN"/>
              </w:rPr>
              <w:t>文件中响应</w:t>
            </w:r>
            <w:r>
              <w:rPr>
                <w:rFonts w:hint="eastAsia" w:ascii="宋体" w:hAnsi="宋体" w:cs="宋体"/>
                <w:bCs w:val="0"/>
                <w:color w:val="auto"/>
                <w:szCs w:val="24"/>
                <w:highlight w:val="none"/>
              </w:rPr>
              <w:t>技术参数</w:t>
            </w:r>
          </w:p>
        </w:tc>
        <w:tc>
          <w:tcPr>
            <w:tcW w:w="3449"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偏离说明</w:t>
            </w:r>
          </w:p>
        </w:tc>
        <w:tc>
          <w:tcPr>
            <w:tcW w:w="21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55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449" w:type="dxa"/>
            <w:tcBorders>
              <w:top w:val="single" w:color="auto" w:sz="4" w:space="0"/>
              <w:left w:val="single" w:color="auto" w:sz="4" w:space="0"/>
              <w:bottom w:val="single" w:color="auto" w:sz="4" w:space="0"/>
              <w:right w:val="single" w:color="auto" w:sz="4" w:space="0"/>
            </w:tcBorders>
          </w:tcPr>
          <w:p>
            <w:pPr>
              <w:spacing w:line="240" w:lineRule="auto"/>
              <w:ind w:left="0" w:leftChars="0" w:firstLine="0" w:firstLineChars="0"/>
              <w:rPr>
                <w:rFonts w:ascii="宋体" w:hAnsi="宋体" w:cs="宋体"/>
                <w:bCs w:val="0"/>
                <w:color w:val="auto"/>
                <w:szCs w:val="24"/>
                <w:highlight w:val="none"/>
              </w:rPr>
            </w:pPr>
            <w:r>
              <w:rPr>
                <w:rFonts w:hint="eastAsia" w:ascii="宋体" w:hAnsi="宋体" w:cs="宋体"/>
                <w:bCs w:val="0"/>
                <w:color w:val="auto"/>
                <w:sz w:val="18"/>
                <w:szCs w:val="18"/>
                <w:highlight w:val="none"/>
              </w:rPr>
              <w:t>投标</w:t>
            </w:r>
            <w:r>
              <w:rPr>
                <w:rFonts w:hint="eastAsia" w:ascii="宋体" w:hAnsi="宋体" w:cs="宋体"/>
                <w:bCs w:val="0"/>
                <w:color w:val="auto"/>
                <w:sz w:val="18"/>
                <w:szCs w:val="18"/>
                <w:highlight w:val="none"/>
                <w:lang w:val="en-US" w:eastAsia="zh-CN"/>
              </w:rPr>
              <w:t>产品</w:t>
            </w:r>
            <w:r>
              <w:rPr>
                <w:rFonts w:hint="eastAsia" w:ascii="宋体" w:hAnsi="宋体" w:cs="宋体"/>
                <w:bCs w:val="0"/>
                <w:color w:val="auto"/>
                <w:sz w:val="18"/>
                <w:szCs w:val="18"/>
                <w:highlight w:val="none"/>
              </w:rPr>
              <w:t>中各项技术参数符合招标文件要求此项目填写“符合”，优于招标文件要求此项填写“正偏离”，不能满足招标文件要求此项填写“负偏离”；</w:t>
            </w:r>
          </w:p>
        </w:tc>
        <w:tc>
          <w:tcPr>
            <w:tcW w:w="2172" w:type="dxa"/>
            <w:tcBorders>
              <w:top w:val="single" w:color="auto" w:sz="4" w:space="0"/>
              <w:left w:val="single" w:color="auto" w:sz="4" w:space="0"/>
              <w:bottom w:val="single" w:color="auto" w:sz="4" w:space="0"/>
              <w:right w:val="single" w:color="auto" w:sz="4" w:space="0"/>
            </w:tcBorders>
          </w:tcPr>
          <w:p>
            <w:pPr>
              <w:spacing w:line="240" w:lineRule="auto"/>
              <w:ind w:left="0" w:leftChars="0" w:firstLine="0" w:firstLineChars="0"/>
              <w:rPr>
                <w:rFonts w:hint="default" w:eastAsiaTheme="minorEastAsia"/>
                <w:color w:val="auto"/>
                <w:highlight w:val="none"/>
                <w:lang w:val="en-US" w:eastAsia="zh-CN"/>
              </w:rPr>
            </w:pPr>
            <w:r>
              <w:rPr>
                <w:rFonts w:hint="eastAsia" w:ascii="宋体" w:hAnsi="宋体" w:cs="宋体"/>
                <w:bCs w:val="0"/>
                <w:color w:val="auto"/>
                <w:sz w:val="18"/>
                <w:szCs w:val="18"/>
                <w:highlight w:val="none"/>
              </w:rPr>
              <w:t>“负偏离”</w:t>
            </w:r>
            <w:r>
              <w:rPr>
                <w:rFonts w:hint="eastAsia" w:ascii="宋体" w:hAnsi="宋体" w:cs="宋体"/>
                <w:bCs w:val="0"/>
                <w:color w:val="auto"/>
                <w:sz w:val="18"/>
                <w:szCs w:val="18"/>
                <w:highlight w:val="none"/>
                <w:lang w:val="en-US" w:eastAsia="zh-CN"/>
              </w:rPr>
              <w:t>项详细说明；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55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4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217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155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344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217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color w:val="auto"/>
                <w:highlight w:val="none"/>
              </w:rPr>
            </w:pPr>
          </w:p>
          <w:p>
            <w:pPr>
              <w:pStyle w:val="2"/>
              <w:spacing w:line="240" w:lineRule="auto"/>
              <w:rPr>
                <w:color w:val="auto"/>
                <w:highlight w:val="none"/>
              </w:rPr>
            </w:pPr>
          </w:p>
          <w:p>
            <w:pPr>
              <w:pStyle w:val="6"/>
              <w:spacing w:line="240" w:lineRule="auto"/>
              <w:rPr>
                <w:color w:val="auto"/>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55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4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217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55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4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217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1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6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155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344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217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r>
    </w:tbl>
    <w:p>
      <w:pPr>
        <w:pStyle w:val="52"/>
        <w:ind w:left="0" w:leftChars="0" w:firstLine="0" w:firstLineChars="0"/>
        <w:jc w:val="center"/>
        <w:rPr>
          <w:rFonts w:hint="eastAsia" w:eastAsia="宋体"/>
          <w:color w:val="auto"/>
          <w:sz w:val="24"/>
          <w:szCs w:val="24"/>
          <w:highlight w:val="none"/>
          <w:lang w:val="en-US" w:eastAsia="zh-CN"/>
        </w:rPr>
      </w:pPr>
      <w:r>
        <w:rPr>
          <w:rFonts w:hint="eastAsia" w:ascii="宋体" w:hAnsi="宋体" w:eastAsia="宋体" w:cs="宋体"/>
          <w:b/>
          <w:color w:val="auto"/>
          <w:sz w:val="21"/>
          <w:szCs w:val="21"/>
          <w:highlight w:val="none"/>
          <w:lang w:val="en-US" w:eastAsia="zh-CN"/>
        </w:rPr>
        <w:t>居家养老上门服务标准</w:t>
      </w:r>
      <w:r>
        <w:rPr>
          <w:rFonts w:hint="eastAsia" w:ascii="宋体" w:hAnsi="宋体" w:eastAsia="宋体" w:cs="宋体"/>
          <w:b/>
          <w:color w:val="auto"/>
          <w:sz w:val="21"/>
          <w:szCs w:val="21"/>
          <w:highlight w:val="none"/>
        </w:rPr>
        <w:t>偏离表</w:t>
      </w:r>
    </w:p>
    <w:tbl>
      <w:tblPr>
        <w:tblStyle w:val="29"/>
        <w:tblW w:w="9815" w:type="dxa"/>
        <w:tblInd w:w="-2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1701"/>
        <w:gridCol w:w="1701"/>
        <w:gridCol w:w="3555"/>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lang w:val="en-US" w:eastAsia="zh-CN"/>
              </w:rPr>
              <w:t>服务项目</w:t>
            </w:r>
            <w:r>
              <w:rPr>
                <w:rFonts w:hint="eastAsia" w:ascii="宋体" w:hAnsi="宋体" w:cs="宋体"/>
                <w:bCs w:val="0"/>
                <w:color w:val="auto"/>
                <w:szCs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宋体" w:hAnsi="宋体" w:cs="宋体" w:eastAsiaTheme="minorEastAsia"/>
                <w:bCs w:val="0"/>
                <w:color w:val="auto"/>
                <w:szCs w:val="24"/>
                <w:highlight w:val="none"/>
                <w:lang w:val="en-US" w:eastAsia="zh-CN"/>
              </w:rPr>
            </w:pPr>
            <w:r>
              <w:rPr>
                <w:rFonts w:hint="eastAsia" w:ascii="宋体" w:hAnsi="宋体" w:cs="宋体"/>
                <w:bCs w:val="0"/>
                <w:color w:val="auto"/>
                <w:szCs w:val="24"/>
                <w:highlight w:val="none"/>
              </w:rPr>
              <w:t>招标</w:t>
            </w:r>
            <w:r>
              <w:rPr>
                <w:rFonts w:hint="eastAsia" w:ascii="宋体" w:hAnsi="宋体" w:cs="宋体"/>
                <w:bCs w:val="0"/>
                <w:color w:val="auto"/>
                <w:szCs w:val="24"/>
                <w:highlight w:val="none"/>
                <w:lang w:val="en-US" w:eastAsia="zh-CN"/>
              </w:rPr>
              <w:t>文件要求的服务标准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宋体" w:hAnsi="宋体" w:cs="宋体" w:eastAsiaTheme="minorEastAsia"/>
                <w:bCs w:val="0"/>
                <w:color w:val="auto"/>
                <w:szCs w:val="24"/>
                <w:highlight w:val="none"/>
                <w:lang w:val="en-US" w:eastAsia="zh-CN"/>
              </w:rPr>
            </w:pPr>
            <w:r>
              <w:rPr>
                <w:rFonts w:hint="eastAsia" w:ascii="宋体" w:hAnsi="宋体" w:cs="宋体"/>
                <w:bCs w:val="0"/>
                <w:color w:val="auto"/>
                <w:szCs w:val="24"/>
                <w:highlight w:val="none"/>
              </w:rPr>
              <w:t>投标</w:t>
            </w:r>
            <w:r>
              <w:rPr>
                <w:rFonts w:hint="eastAsia" w:ascii="宋体" w:hAnsi="宋体" w:cs="宋体"/>
                <w:bCs w:val="0"/>
                <w:color w:val="auto"/>
                <w:szCs w:val="24"/>
                <w:highlight w:val="none"/>
                <w:lang w:val="en-US" w:eastAsia="zh-CN"/>
              </w:rPr>
              <w:t>文件响应的服务标准</w:t>
            </w:r>
          </w:p>
        </w:tc>
        <w:tc>
          <w:tcPr>
            <w:tcW w:w="3555"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偏离说明</w:t>
            </w:r>
          </w:p>
        </w:tc>
        <w:tc>
          <w:tcPr>
            <w:tcW w:w="12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ascii="宋体" w:hAnsi="宋体" w:cs="宋体"/>
                <w:bCs w:val="0"/>
                <w:color w:val="auto"/>
                <w:szCs w:val="24"/>
                <w:highlight w:val="none"/>
              </w:rPr>
            </w:pPr>
            <w:r>
              <w:rPr>
                <w:rFonts w:hint="eastAsia" w:ascii="宋体" w:hAnsi="宋体" w:cs="宋体"/>
                <w:bCs w:val="0"/>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58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555" w:type="dxa"/>
            <w:tcBorders>
              <w:top w:val="single" w:color="auto" w:sz="4" w:space="0"/>
              <w:left w:val="single" w:color="auto" w:sz="4" w:space="0"/>
              <w:bottom w:val="single" w:color="auto" w:sz="4" w:space="0"/>
              <w:right w:val="single" w:color="auto" w:sz="4" w:space="0"/>
            </w:tcBorders>
          </w:tcPr>
          <w:p>
            <w:pPr>
              <w:spacing w:line="240" w:lineRule="auto"/>
              <w:ind w:left="0" w:leftChars="0" w:firstLine="0" w:firstLineChars="0"/>
              <w:rPr>
                <w:rFonts w:ascii="宋体" w:hAnsi="宋体" w:cs="宋体"/>
                <w:bCs w:val="0"/>
                <w:color w:val="auto"/>
                <w:szCs w:val="24"/>
                <w:highlight w:val="none"/>
              </w:rPr>
            </w:pPr>
            <w:r>
              <w:rPr>
                <w:rFonts w:hint="eastAsia" w:ascii="宋体" w:hAnsi="宋体" w:cs="宋体"/>
                <w:bCs w:val="0"/>
                <w:color w:val="auto"/>
                <w:sz w:val="18"/>
                <w:szCs w:val="18"/>
                <w:highlight w:val="none"/>
                <w:lang w:val="en-US" w:eastAsia="zh-CN"/>
              </w:rPr>
              <w:t>服务项目</w:t>
            </w:r>
            <w:r>
              <w:rPr>
                <w:rFonts w:hint="eastAsia" w:ascii="宋体" w:hAnsi="宋体" w:cs="宋体"/>
                <w:bCs w:val="0"/>
                <w:color w:val="auto"/>
                <w:sz w:val="18"/>
                <w:szCs w:val="18"/>
                <w:highlight w:val="none"/>
              </w:rPr>
              <w:t>中各项</w:t>
            </w:r>
            <w:r>
              <w:rPr>
                <w:rFonts w:hint="eastAsia" w:ascii="宋体" w:hAnsi="宋体" w:cs="宋体"/>
                <w:bCs w:val="0"/>
                <w:color w:val="auto"/>
                <w:sz w:val="18"/>
                <w:szCs w:val="18"/>
                <w:highlight w:val="none"/>
                <w:lang w:val="en-US" w:eastAsia="zh-CN"/>
              </w:rPr>
              <w:t>服务标准</w:t>
            </w:r>
            <w:r>
              <w:rPr>
                <w:rFonts w:hint="eastAsia" w:ascii="宋体" w:hAnsi="宋体" w:cs="宋体"/>
                <w:bCs w:val="0"/>
                <w:color w:val="auto"/>
                <w:sz w:val="18"/>
                <w:szCs w:val="18"/>
                <w:highlight w:val="none"/>
              </w:rPr>
              <w:t>符合招标文件要求此项目填写“符合”，优于招标文件要求此项填写“正偏离”，不能满足招标文件要求此项填写“负偏离”；</w:t>
            </w:r>
          </w:p>
        </w:tc>
        <w:tc>
          <w:tcPr>
            <w:tcW w:w="1272" w:type="dxa"/>
            <w:tcBorders>
              <w:top w:val="single" w:color="auto" w:sz="4" w:space="0"/>
              <w:left w:val="single" w:color="auto" w:sz="4" w:space="0"/>
              <w:bottom w:val="single" w:color="auto" w:sz="4" w:space="0"/>
              <w:right w:val="single" w:color="auto" w:sz="4" w:space="0"/>
            </w:tcBorders>
          </w:tcPr>
          <w:p>
            <w:pPr>
              <w:spacing w:line="240" w:lineRule="auto"/>
              <w:ind w:left="0" w:leftChars="0" w:firstLine="0" w:firstLineChars="0"/>
              <w:rPr>
                <w:rFonts w:ascii="宋体" w:hAnsi="宋体" w:cs="宋体"/>
                <w:bCs w:val="0"/>
                <w:color w:val="auto"/>
                <w:szCs w:val="24"/>
                <w:highlight w:val="none"/>
              </w:rPr>
            </w:pPr>
            <w:r>
              <w:rPr>
                <w:rFonts w:hint="eastAsia" w:ascii="宋体" w:hAnsi="宋体" w:cs="宋体"/>
                <w:bCs w:val="0"/>
                <w:color w:val="auto"/>
                <w:sz w:val="18"/>
                <w:szCs w:val="18"/>
                <w:highlight w:val="none"/>
              </w:rPr>
              <w:t>“负偏离”</w:t>
            </w:r>
            <w:r>
              <w:rPr>
                <w:rFonts w:hint="eastAsia" w:ascii="宋体" w:hAnsi="宋体" w:cs="宋体"/>
                <w:bCs w:val="0"/>
                <w:color w:val="auto"/>
                <w:sz w:val="18"/>
                <w:szCs w:val="18"/>
                <w:highlight w:val="none"/>
                <w:lang w:val="en-US" w:eastAsia="zh-CN"/>
              </w:rPr>
              <w:t>项详细说明；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58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355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27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58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bCs w:val="0"/>
                <w:color w:val="auto"/>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170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35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c>
          <w:tcPr>
            <w:tcW w:w="127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bCs w:val="0"/>
                <w:color w:val="auto"/>
                <w:szCs w:val="24"/>
                <w:highlight w:val="none"/>
              </w:rPr>
            </w:pPr>
            <w:r>
              <w:rPr>
                <w:rFonts w:hint="eastAsia" w:ascii="宋体" w:hAnsi="宋体" w:cs="宋体"/>
                <w:bCs w:val="0"/>
                <w:color w:val="auto"/>
                <w:szCs w:val="24"/>
                <w:highlight w:val="none"/>
              </w:rPr>
              <w:t>...</w:t>
            </w:r>
          </w:p>
        </w:tc>
      </w:tr>
    </w:tbl>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投标人根据本招标文件的投标人须知及合同条款填写本表；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正偏离是指应答的条件高于招标文件要求，负偏离是指应答的条件低于招标文件要求，正偏离项目不作扣分处理。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投标人须完整填写响应表。如果未完整填写本表的各项内容则视作投标人已经对招标文件相关要求和内容完全理解并同意，其投标报价为在此基础上的完全价格。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采购人签订合同。</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投标人应对招标文件第二章投标人须知前附表中的商务要求及第四章合同条款进行说明。</w:t>
      </w:r>
    </w:p>
    <w:p>
      <w:pPr>
        <w:spacing w:line="360" w:lineRule="auto"/>
        <w:ind w:firstLine="4200" w:firstLineChars="2000"/>
        <w:rPr>
          <w:rFonts w:ascii="宋体" w:hAnsi="宋体" w:eastAsia="宋体" w:cs="宋体"/>
          <w:color w:val="auto"/>
          <w:szCs w:val="21"/>
          <w:highlight w:val="none"/>
        </w:rPr>
      </w:pPr>
    </w:p>
    <w:p>
      <w:pPr>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pPr>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pPr>
        <w:pStyle w:val="5"/>
        <w:spacing w:line="312" w:lineRule="auto"/>
        <w:ind w:firstLine="4200" w:firstLineChars="20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pPr>
        <w:pStyle w:val="2"/>
        <w:numPr>
          <w:ilvl w:val="0"/>
          <w:numId w:val="0"/>
        </w:numPr>
        <w:spacing w:line="312" w:lineRule="auto"/>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五、技术</w:t>
      </w:r>
      <w:r>
        <w:rPr>
          <w:rFonts w:hint="eastAsia" w:ascii="宋体" w:hAnsi="宋体" w:eastAsia="宋体" w:cs="宋体"/>
          <w:b/>
          <w:color w:val="auto"/>
          <w:sz w:val="28"/>
          <w:szCs w:val="28"/>
          <w:highlight w:val="none"/>
        </w:rPr>
        <w:t>方案</w:t>
      </w:r>
    </w:p>
    <w:p>
      <w:pPr>
        <w:pStyle w:val="3"/>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（格式自拟）</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6"/>
        <w:rPr>
          <w:rFonts w:hint="eastAsia"/>
        </w:rPr>
      </w:pPr>
    </w:p>
    <w:p>
      <w:pPr>
        <w:adjustRightInd w:val="0"/>
        <w:snapToGrid w:val="0"/>
        <w:spacing w:line="360" w:lineRule="auto"/>
        <w:jc w:val="center"/>
        <w:outlineLvl w:val="1"/>
        <w:rPr>
          <w:rFonts w:ascii="宋体" w:hAnsi="宋体" w:eastAsia="宋体" w:cs="宋体"/>
          <w:b/>
          <w:color w:val="auto"/>
          <w:sz w:val="28"/>
          <w:szCs w:val="28"/>
          <w:highlight w:val="none"/>
        </w:rPr>
      </w:pPr>
      <w:r>
        <w:rPr>
          <w:rFonts w:hint="eastAsia" w:ascii="宋体" w:hAnsi="宋体" w:cs="宋体"/>
          <w:b/>
          <w:bCs/>
          <w:color w:val="auto"/>
          <w:sz w:val="21"/>
          <w:szCs w:val="21"/>
          <w:highlight w:val="none"/>
          <w:lang w:val="en-US" w:eastAsia="zh-CN"/>
        </w:rPr>
        <w:t>六、</w:t>
      </w:r>
      <w:r>
        <w:rPr>
          <w:rFonts w:hint="eastAsia" w:ascii="宋体" w:hAnsi="宋体" w:cs="宋体"/>
          <w:b/>
          <w:color w:val="auto"/>
          <w:sz w:val="28"/>
          <w:szCs w:val="28"/>
          <w:highlight w:val="none"/>
          <w:lang w:val="en-US" w:eastAsia="zh-CN"/>
        </w:rPr>
        <w:t>项目组</w:t>
      </w:r>
      <w:r>
        <w:rPr>
          <w:rFonts w:hint="eastAsia" w:ascii="宋体" w:hAnsi="宋体" w:eastAsia="宋体" w:cs="宋体"/>
          <w:b/>
          <w:color w:val="auto"/>
          <w:sz w:val="28"/>
          <w:szCs w:val="28"/>
          <w:highlight w:val="none"/>
        </w:rPr>
        <w:t>成员情况表</w:t>
      </w:r>
    </w:p>
    <w:p>
      <w:pPr>
        <w:spacing w:line="360" w:lineRule="auto"/>
        <w:jc w:val="center"/>
        <w:rPr>
          <w:rFonts w:ascii="宋体" w:hAnsi="宋体" w:eastAsia="宋体" w:cs="宋体"/>
          <w:b/>
          <w:color w:val="auto"/>
          <w:sz w:val="32"/>
          <w:szCs w:val="32"/>
          <w:highlight w:val="none"/>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760"/>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从事本行业工作年限</w:t>
            </w:r>
          </w:p>
        </w:tc>
        <w:tc>
          <w:tcPr>
            <w:tcW w:w="1843" w:type="dxa"/>
            <w:tcBorders>
              <w:top w:val="single" w:color="auto" w:sz="4" w:space="0"/>
              <w:left w:val="single" w:color="auto" w:sz="4" w:space="0"/>
              <w:right w:val="single" w:color="auto" w:sz="4" w:space="0"/>
            </w:tcBorders>
            <w:shd w:val="clear" w:color="auto" w:fill="auto"/>
            <w:noWrap/>
            <w:vAlign w:val="center"/>
          </w:tcPr>
          <w:p>
            <w:pPr>
              <w:spacing w:before="156" w:beforeLines="50" w:after="156" w:afterLines="5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在本项目中承担的工作</w:t>
            </w:r>
          </w:p>
        </w:tc>
        <w:tc>
          <w:tcPr>
            <w:tcW w:w="1842" w:type="dxa"/>
            <w:tcBorders>
              <w:top w:val="single" w:color="auto" w:sz="4" w:space="0"/>
              <w:left w:val="single" w:color="auto" w:sz="4" w:space="0"/>
              <w:right w:val="single" w:color="auto" w:sz="4" w:space="0"/>
            </w:tcBorders>
            <w:shd w:val="clear" w:color="auto" w:fill="auto"/>
            <w:noWrap/>
            <w:vAlign w:val="center"/>
          </w:tcPr>
          <w:p>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个人专业证书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3"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1842"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r>
    </w:tbl>
    <w:p>
      <w:pPr>
        <w:spacing w:line="360" w:lineRule="auto"/>
        <w:ind w:left="720" w:hanging="630" w:hangingChars="300"/>
        <w:jc w:val="left"/>
        <w:rPr>
          <w:rFonts w:hint="eastAsia" w:ascii="宋体" w:hAnsi="宋体" w:eastAsia="宋体" w:cs="宋体"/>
          <w:color w:val="auto"/>
          <w:sz w:val="21"/>
          <w:szCs w:val="21"/>
          <w:highlight w:val="none"/>
        </w:rPr>
      </w:pPr>
    </w:p>
    <w:p>
      <w:pPr>
        <w:spacing w:line="360" w:lineRule="auto"/>
        <w:ind w:left="720" w:hanging="630" w:hanging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说明：按招标文件要求提供相关证明材料</w:t>
      </w: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ind w:left="638" w:leftChars="304" w:right="283" w:rightChars="135" w:firstLine="3780" w:firstLineChars="1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投标人（单位电子签章）：</w:t>
      </w:r>
    </w:p>
    <w:p>
      <w:pPr>
        <w:pStyle w:val="6"/>
        <w:ind w:firstLine="4410" w:firstLineChars="2100"/>
        <w:rPr>
          <w:rFonts w:hint="eastAsia" w:eastAsia="宋体"/>
          <w:lang w:val="en-US" w:eastAsia="zh-CN"/>
        </w:rPr>
      </w:pPr>
      <w:r>
        <w:rPr>
          <w:rFonts w:hint="eastAsia" w:ascii="宋体" w:hAnsi="宋体" w:eastAsia="宋体" w:cs="宋体"/>
          <w:color w:val="auto"/>
          <w:sz w:val="21"/>
          <w:szCs w:val="21"/>
          <w:highlight w:val="none"/>
        </w:rPr>
        <w:t>日   期：</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3"/>
        <w:spacing w:line="312" w:lineRule="auto"/>
        <w:jc w:val="center"/>
        <w:outlineLvl w:val="1"/>
        <w:rPr>
          <w:rFonts w:hint="eastAsia" w:ascii="宋体" w:hAnsi="宋体" w:eastAsia="宋体" w:cs="宋体"/>
          <w:b/>
          <w:color w:val="auto"/>
          <w:sz w:val="28"/>
          <w:szCs w:val="28"/>
          <w:highlight w:val="none"/>
        </w:rPr>
      </w:pPr>
      <w:r>
        <w:rPr>
          <w:rFonts w:hint="eastAsia" w:ascii="宋体" w:cs="宋体"/>
          <w:b/>
          <w:color w:val="auto"/>
          <w:sz w:val="28"/>
          <w:szCs w:val="28"/>
          <w:highlight w:val="none"/>
          <w:lang w:val="en-US" w:eastAsia="zh-CN"/>
        </w:rPr>
        <w:t>七</w:t>
      </w:r>
      <w:r>
        <w:rPr>
          <w:rFonts w:hint="eastAsia" w:ascii="宋体" w:hAnsi="宋体" w:eastAsia="宋体" w:cs="宋体"/>
          <w:b/>
          <w:color w:val="auto"/>
          <w:sz w:val="28"/>
          <w:szCs w:val="28"/>
          <w:highlight w:val="none"/>
        </w:rPr>
        <w:t>、资格审查资料</w:t>
      </w:r>
    </w:p>
    <w:p>
      <w:pPr>
        <w:numPr>
          <w:ilvl w:val="3"/>
          <w:numId w:val="0"/>
        </w:numPr>
        <w:tabs>
          <w:tab w:val="left" w:pos="1680"/>
        </w:tabs>
        <w:spacing w:after="312" w:afterLines="100" w:line="312"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1、投标人基本情况表</w:t>
      </w:r>
    </w:p>
    <w:tbl>
      <w:tblPr>
        <w:tblStyle w:val="29"/>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550" w:type="dxa"/>
            <w:gridSpan w:val="7"/>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4132" w:type="dxa"/>
            <w:gridSpan w:val="3"/>
          </w:tcPr>
          <w:p>
            <w:pPr>
              <w:spacing w:line="312" w:lineRule="auto"/>
              <w:jc w:val="center"/>
              <w:rPr>
                <w:rFonts w:hint="eastAsia" w:ascii="宋体" w:hAnsi="宋体" w:eastAsia="宋体" w:cs="宋体"/>
                <w:color w:val="auto"/>
                <w:szCs w:val="21"/>
                <w:highlight w:val="none"/>
              </w:rPr>
            </w:pPr>
          </w:p>
        </w:tc>
        <w:tc>
          <w:tcPr>
            <w:tcW w:w="1089"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29" w:type="dxa"/>
            <w:gridSpan w:val="3"/>
          </w:tcPr>
          <w:p>
            <w:pPr>
              <w:spacing w:line="312"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4132" w:type="dxa"/>
            <w:gridSpan w:val="3"/>
          </w:tcPr>
          <w:p>
            <w:pPr>
              <w:spacing w:line="312" w:lineRule="auto"/>
              <w:jc w:val="center"/>
              <w:rPr>
                <w:rFonts w:hint="eastAsia" w:ascii="宋体" w:hAnsi="宋体" w:eastAsia="宋体" w:cs="宋体"/>
                <w:color w:val="auto"/>
                <w:szCs w:val="21"/>
                <w:highlight w:val="none"/>
              </w:rPr>
            </w:pPr>
          </w:p>
        </w:tc>
        <w:tc>
          <w:tcPr>
            <w:tcW w:w="1089"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329" w:type="dxa"/>
            <w:gridSpan w:val="3"/>
          </w:tcPr>
          <w:p>
            <w:pPr>
              <w:spacing w:line="312"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077"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3055" w:type="dxa"/>
            <w:gridSpan w:val="2"/>
          </w:tcPr>
          <w:p>
            <w:pPr>
              <w:spacing w:line="312" w:lineRule="auto"/>
              <w:rPr>
                <w:rFonts w:hint="eastAsia" w:ascii="宋体" w:hAnsi="宋体" w:eastAsia="宋体" w:cs="宋体"/>
                <w:color w:val="auto"/>
                <w:szCs w:val="21"/>
                <w:highlight w:val="none"/>
              </w:rPr>
            </w:pPr>
          </w:p>
        </w:tc>
        <w:tc>
          <w:tcPr>
            <w:tcW w:w="1089"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329" w:type="dxa"/>
            <w:gridSpan w:val="3"/>
          </w:tcPr>
          <w:p>
            <w:pPr>
              <w:spacing w:line="312"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spacing w:line="312" w:lineRule="auto"/>
              <w:jc w:val="center"/>
              <w:rPr>
                <w:rFonts w:hint="eastAsia" w:ascii="宋体" w:hAnsi="宋体" w:eastAsia="宋体" w:cs="宋体"/>
                <w:color w:val="auto"/>
                <w:szCs w:val="21"/>
                <w:highlight w:val="none"/>
              </w:rPr>
            </w:pPr>
          </w:p>
        </w:tc>
        <w:tc>
          <w:tcPr>
            <w:tcW w:w="1077"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55" w:type="dxa"/>
            <w:gridSpan w:val="2"/>
          </w:tcPr>
          <w:p>
            <w:pPr>
              <w:spacing w:line="312" w:lineRule="auto"/>
              <w:rPr>
                <w:rFonts w:hint="eastAsia" w:ascii="宋体" w:hAnsi="宋体" w:eastAsia="宋体" w:cs="宋体"/>
                <w:color w:val="auto"/>
                <w:szCs w:val="21"/>
                <w:highlight w:val="none"/>
              </w:rPr>
            </w:pPr>
          </w:p>
        </w:tc>
        <w:tc>
          <w:tcPr>
            <w:tcW w:w="1089"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329" w:type="dxa"/>
            <w:gridSpan w:val="3"/>
          </w:tcPr>
          <w:p>
            <w:pPr>
              <w:spacing w:line="312"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77"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03" w:type="dxa"/>
          </w:tcPr>
          <w:p>
            <w:pPr>
              <w:spacing w:line="312" w:lineRule="auto"/>
              <w:jc w:val="center"/>
              <w:rPr>
                <w:rFonts w:hint="eastAsia" w:ascii="宋体" w:hAnsi="宋体" w:eastAsia="宋体" w:cs="宋体"/>
                <w:color w:val="auto"/>
                <w:szCs w:val="21"/>
                <w:highlight w:val="none"/>
              </w:rPr>
            </w:pPr>
          </w:p>
        </w:tc>
        <w:tc>
          <w:tcPr>
            <w:tcW w:w="1252"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5" w:type="dxa"/>
            <w:gridSpan w:val="2"/>
          </w:tcPr>
          <w:p>
            <w:pPr>
              <w:spacing w:line="312" w:lineRule="auto"/>
              <w:jc w:val="center"/>
              <w:rPr>
                <w:rFonts w:hint="eastAsia" w:ascii="宋体" w:hAnsi="宋体" w:eastAsia="宋体" w:cs="宋体"/>
                <w:color w:val="auto"/>
                <w:szCs w:val="21"/>
                <w:highlight w:val="none"/>
              </w:rPr>
            </w:pPr>
          </w:p>
        </w:tc>
        <w:tc>
          <w:tcPr>
            <w:tcW w:w="723" w:type="dxa"/>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30" w:type="dxa"/>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投标人须知要求投标人需具有的各类资质证书（若有）</w:t>
            </w:r>
          </w:p>
        </w:tc>
        <w:tc>
          <w:tcPr>
            <w:tcW w:w="7550" w:type="dxa"/>
            <w:gridSpan w:val="7"/>
          </w:tcPr>
          <w:p>
            <w:pPr>
              <w:spacing w:line="312" w:lineRule="auto"/>
              <w:jc w:val="center"/>
              <w:rPr>
                <w:rFonts w:hint="eastAsia" w:ascii="宋体" w:hAnsi="宋体" w:eastAsia="宋体" w:cs="宋体"/>
                <w:color w:val="auto"/>
                <w:szCs w:val="21"/>
                <w:highlight w:val="none"/>
              </w:rPr>
            </w:pPr>
          </w:p>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7550" w:type="dxa"/>
            <w:gridSpan w:val="7"/>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基本账户银行账号</w:t>
            </w:r>
          </w:p>
        </w:tc>
        <w:tc>
          <w:tcPr>
            <w:tcW w:w="7550" w:type="dxa"/>
            <w:gridSpan w:val="7"/>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近三年营业额</w:t>
            </w:r>
          </w:p>
        </w:tc>
        <w:tc>
          <w:tcPr>
            <w:tcW w:w="7550" w:type="dxa"/>
            <w:gridSpan w:val="7"/>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7550" w:type="dxa"/>
            <w:gridSpan w:val="7"/>
          </w:tcPr>
          <w:p>
            <w:pPr>
              <w:spacing w:line="312"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80" w:type="dxa"/>
            <w:vAlign w:val="center"/>
          </w:tcPr>
          <w:p>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7550" w:type="dxa"/>
            <w:gridSpan w:val="7"/>
          </w:tcPr>
          <w:p>
            <w:pPr>
              <w:spacing w:line="312" w:lineRule="auto"/>
              <w:ind w:firstLine="420" w:firstLineChars="200"/>
              <w:jc w:val="center"/>
              <w:rPr>
                <w:rFonts w:hint="eastAsia" w:ascii="宋体" w:hAnsi="宋体" w:eastAsia="宋体" w:cs="宋体"/>
                <w:color w:val="auto"/>
                <w:szCs w:val="21"/>
                <w:highlight w:val="none"/>
              </w:rPr>
            </w:pPr>
          </w:p>
        </w:tc>
      </w:tr>
    </w:tbl>
    <w:p>
      <w:pPr>
        <w:pStyle w:val="2"/>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注：根据</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须知第1.5.1项的要求在本表后附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营业执照等相关证明材料及</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信用承诺函</w:t>
      </w:r>
      <w:r>
        <w:rPr>
          <w:rFonts w:hint="eastAsia" w:ascii="宋体" w:hAnsi="宋体" w:eastAsia="宋体" w:cs="宋体"/>
          <w:color w:val="auto"/>
          <w:szCs w:val="21"/>
          <w:highlight w:val="none"/>
        </w:rPr>
        <w:t>。</w:t>
      </w:r>
    </w:p>
    <w:p>
      <w:pPr>
        <w:pStyle w:val="5"/>
        <w:spacing w:line="312" w:lineRule="auto"/>
        <w:ind w:firstLine="210"/>
        <w:rPr>
          <w:rFonts w:hint="eastAsia" w:ascii="宋体" w:hAnsi="宋体" w:eastAsia="宋体" w:cs="宋体"/>
          <w:color w:val="auto"/>
          <w:highlight w:val="none"/>
        </w:rPr>
        <w:sectPr>
          <w:headerReference r:id="rId7" w:type="default"/>
          <w:pgSz w:w="11906" w:h="16838"/>
          <w:pgMar w:top="1389" w:right="1417" w:bottom="1389" w:left="1417"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spacing w:line="312" w:lineRule="auto"/>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1.1附件：</w:t>
      </w:r>
    </w:p>
    <w:p>
      <w:pPr>
        <w:spacing w:line="312" w:lineRule="auto"/>
        <w:jc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信阳市政府采购供应商信用承诺函</w:t>
      </w:r>
    </w:p>
    <w:p>
      <w:pPr>
        <w:spacing w:line="312" w:lineRule="auto"/>
        <w:ind w:firstLine="420" w:firstLineChars="200"/>
        <w:jc w:val="left"/>
        <w:rPr>
          <w:rFonts w:hint="eastAsia" w:ascii="宋体" w:hAnsi="宋体" w:eastAsia="宋体" w:cs="宋体"/>
          <w:color w:val="auto"/>
          <w:kern w:val="0"/>
          <w:szCs w:val="21"/>
          <w:highlight w:val="none"/>
          <w:lang w:bidi="ar"/>
        </w:rPr>
      </w:pPr>
    </w:p>
    <w:p>
      <w:pPr>
        <w:spacing w:line="312"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致</w:t>
      </w:r>
      <w:r>
        <w:rPr>
          <w:rFonts w:hint="eastAsia" w:ascii="宋体" w:hAnsi="宋体" w:eastAsia="宋体" w:cs="宋体"/>
          <w:color w:val="auto"/>
          <w:kern w:val="0"/>
          <w:szCs w:val="21"/>
          <w:highlight w:val="none"/>
          <w:u w:val="single"/>
          <w:lang w:bidi="ar"/>
        </w:rPr>
        <w:t xml:space="preserve">（采购人或采购代理机构）：         </w:t>
      </w:r>
      <w:r>
        <w:rPr>
          <w:rFonts w:hint="eastAsia" w:ascii="宋体" w:hAnsi="宋体" w:eastAsia="宋体" w:cs="宋体"/>
          <w:color w:val="auto"/>
          <w:kern w:val="0"/>
          <w:szCs w:val="21"/>
          <w:highlight w:val="none"/>
          <w:lang w:bidi="ar"/>
        </w:rPr>
        <w:t xml:space="preserve">      </w:t>
      </w:r>
    </w:p>
    <w:p>
      <w:pPr>
        <w:spacing w:line="312" w:lineRule="auto"/>
        <w:ind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单位名称（自然人姓名）</w:t>
      </w:r>
      <w:r>
        <w:rPr>
          <w:rFonts w:hint="eastAsia" w:ascii="宋体" w:hAnsi="宋体" w:eastAsia="宋体" w:cs="宋体"/>
          <w:color w:val="auto"/>
          <w:kern w:val="0"/>
          <w:szCs w:val="21"/>
          <w:highlight w:val="none"/>
          <w:u w:val="single"/>
          <w:lang w:bidi="ar"/>
        </w:rPr>
        <w:t xml:space="preserve">：   </w:t>
      </w:r>
    </w:p>
    <w:p>
      <w:pPr>
        <w:spacing w:line="312" w:lineRule="auto"/>
        <w:ind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统一社会信用代码（身份证号码）</w:t>
      </w:r>
      <w:r>
        <w:rPr>
          <w:rFonts w:hint="eastAsia" w:ascii="宋体" w:hAnsi="宋体" w:eastAsia="宋体" w:cs="宋体"/>
          <w:color w:val="auto"/>
          <w:kern w:val="0"/>
          <w:szCs w:val="21"/>
          <w:highlight w:val="none"/>
          <w:u w:val="single"/>
          <w:lang w:bidi="ar"/>
        </w:rPr>
        <w:t xml:space="preserve">： </w:t>
      </w:r>
    </w:p>
    <w:p>
      <w:pPr>
        <w:spacing w:line="312" w:lineRule="auto"/>
        <w:ind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法定代表人（负责人）</w:t>
      </w:r>
      <w:r>
        <w:rPr>
          <w:rFonts w:hint="eastAsia" w:ascii="宋体" w:hAnsi="宋体" w:eastAsia="宋体" w:cs="宋体"/>
          <w:color w:val="auto"/>
          <w:kern w:val="0"/>
          <w:szCs w:val="21"/>
          <w:highlight w:val="none"/>
          <w:u w:val="single"/>
          <w:lang w:bidi="ar"/>
        </w:rPr>
        <w:t xml:space="preserve">：   </w:t>
      </w:r>
    </w:p>
    <w:p>
      <w:pPr>
        <w:spacing w:line="312" w:lineRule="auto"/>
        <w:ind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联系地址和电话</w:t>
      </w:r>
      <w:r>
        <w:rPr>
          <w:rFonts w:hint="eastAsia" w:ascii="宋体" w:hAnsi="宋体" w:eastAsia="宋体" w:cs="宋体"/>
          <w:color w:val="auto"/>
          <w:kern w:val="0"/>
          <w:szCs w:val="21"/>
          <w:highlight w:val="none"/>
          <w:u w:val="single"/>
          <w:lang w:bidi="ar"/>
        </w:rPr>
        <w:t xml:space="preserve">：              </w:t>
      </w:r>
    </w:p>
    <w:p>
      <w:pPr>
        <w:spacing w:line="312"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为维护公平、公正、公开的政府采购市场秩序，树立诚实守信的政府采购供应商形象，我单位（本人）自愿作出以下承诺：</w:t>
      </w:r>
    </w:p>
    <w:p>
      <w:pPr>
        <w:numPr>
          <w:ilvl w:val="0"/>
          <w:numId w:val="15"/>
        </w:numPr>
        <w:spacing w:line="312"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具有独立承担民事责任的能力；</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具有良好的商业信誉和健全的财务会计制度； </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具有履行合同所必需的设备和专业技术能力；</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有依法缴纳税收和社会保障资金的良好记录； </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参加政府采购活动前三年内，在经营活动中没有重大违法记录； </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未被列入经营异常名录或者严重违法失信名单、失信被执行人、</w:t>
      </w:r>
      <w:r>
        <w:rPr>
          <w:rFonts w:hint="eastAsia" w:ascii="宋体" w:hAnsi="宋体" w:eastAsia="宋体" w:cs="宋体"/>
          <w:color w:val="auto"/>
          <w:kern w:val="0"/>
          <w:szCs w:val="21"/>
          <w:highlight w:val="none"/>
          <w:lang w:eastAsia="zh-CN" w:bidi="ar"/>
        </w:rPr>
        <w:t>重大税收违法失信主体</w:t>
      </w:r>
      <w:r>
        <w:rPr>
          <w:rFonts w:hint="eastAsia" w:ascii="宋体" w:hAnsi="宋体" w:eastAsia="宋体" w:cs="宋体"/>
          <w:color w:val="auto"/>
          <w:kern w:val="0"/>
          <w:szCs w:val="21"/>
          <w:highlight w:val="none"/>
          <w:lang w:bidi="ar"/>
        </w:rPr>
        <w:t>、政府采购严重违法失信行为记录名单；</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未被相关监管部门作出行政处罚且尚在处罚有效期内； </w:t>
      </w:r>
    </w:p>
    <w:p>
      <w:pPr>
        <w:numPr>
          <w:ilvl w:val="0"/>
          <w:numId w:val="16"/>
        </w:numPr>
        <w:spacing w:line="312" w:lineRule="auto"/>
        <w:ind w:lef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未曾做出虚假采购承诺； </w:t>
      </w:r>
    </w:p>
    <w:p>
      <w:pPr>
        <w:spacing w:line="312"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（九）符合法律、行政法规规定的其他条件。</w:t>
      </w:r>
    </w:p>
    <w:p>
      <w:pPr>
        <w:numPr>
          <w:ilvl w:val="0"/>
          <w:numId w:val="15"/>
        </w:numPr>
        <w:spacing w:line="312"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line="312" w:lineRule="auto"/>
        <w:ind w:firstLine="420" w:firstLineChars="200"/>
        <w:jc w:val="left"/>
        <w:rPr>
          <w:rFonts w:hint="eastAsia" w:ascii="宋体" w:hAnsi="宋体" w:eastAsia="宋体" w:cs="宋体"/>
          <w:color w:val="auto"/>
          <w:kern w:val="0"/>
          <w:szCs w:val="21"/>
          <w:highlight w:val="none"/>
          <w:lang w:bidi="ar"/>
        </w:rPr>
      </w:pPr>
    </w:p>
    <w:p>
      <w:pPr>
        <w:spacing w:line="312"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供应商（公章）：</w:t>
      </w:r>
    </w:p>
    <w:p>
      <w:pPr>
        <w:spacing w:line="312" w:lineRule="auto"/>
        <w:ind w:firstLine="210" w:firstLineChars="1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法定代表人、负责人、本人或授权代表（签字或盖章）：</w:t>
      </w:r>
    </w:p>
    <w:p>
      <w:pPr>
        <w:spacing w:line="312" w:lineRule="auto"/>
        <w:ind w:firstLine="210" w:firstLineChars="1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日期：  年  月  日</w:t>
      </w:r>
    </w:p>
    <w:p>
      <w:pPr>
        <w:spacing w:line="312" w:lineRule="auto"/>
        <w:ind w:firstLine="210" w:firstLineChars="1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注：1、供应商须在响应文件中按此模板提供承诺函，未提供视为未实质性响应磋商文件要求，按无效投标处理。</w:t>
      </w:r>
    </w:p>
    <w:p>
      <w:pPr>
        <w:spacing w:line="312"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2、供应商的法定代表人或者授权代表的签字或盖章应真实、有效，如由授权代表签字或盖章的，应提供“法定代表人授权书”。</w:t>
      </w:r>
    </w:p>
    <w:p>
      <w:pPr>
        <w:spacing w:before="312" w:beforeLines="100" w:after="156" w:afterLines="50" w:line="312" w:lineRule="auto"/>
        <w:rPr>
          <w:rFonts w:hint="eastAsia" w:ascii="宋体" w:hAnsi="宋体" w:eastAsia="宋体" w:cs="宋体"/>
          <w:b/>
          <w:color w:val="auto"/>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pStyle w:val="27"/>
        <w:spacing w:line="312" w:lineRule="auto"/>
        <w:ind w:firstLine="560"/>
        <w:rPr>
          <w:rFonts w:hint="eastAsia" w:ascii="宋体" w:hAnsi="宋体" w:eastAsia="宋体" w:cs="宋体"/>
          <w:color w:val="auto"/>
          <w:szCs w:val="21"/>
          <w:highlight w:val="none"/>
        </w:rPr>
      </w:pPr>
    </w:p>
    <w:p>
      <w:pPr>
        <w:spacing w:line="312" w:lineRule="auto"/>
        <w:rPr>
          <w:rFonts w:hint="eastAsia" w:ascii="宋体" w:hAnsi="宋体" w:eastAsia="宋体" w:cs="宋体"/>
          <w:color w:val="auto"/>
          <w:szCs w:val="21"/>
          <w:highlight w:val="none"/>
        </w:rPr>
      </w:pPr>
    </w:p>
    <w:p>
      <w:pPr>
        <w:pStyle w:val="5"/>
        <w:spacing w:line="312" w:lineRule="auto"/>
        <w:ind w:firstLine="210"/>
        <w:rPr>
          <w:rFonts w:hint="eastAsia" w:ascii="宋体" w:hAnsi="宋体" w:eastAsia="宋体" w:cs="宋体"/>
          <w:color w:val="auto"/>
          <w:szCs w:val="21"/>
          <w:highlight w:val="none"/>
        </w:rPr>
      </w:pPr>
    </w:p>
    <w:p>
      <w:pPr>
        <w:spacing w:line="312" w:lineRule="auto"/>
        <w:ind w:firstLine="211" w:firstLineChars="10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1.2单位负责人为同一人或者存在直接控股、管理关系的不同单位，不得同时参加同一合同项下的政府采购活动（提供加盖供应商公章的“国家企业信用信息公示系统”中公示的公司基础信息）</w:t>
      </w:r>
    </w:p>
    <w:p>
      <w:pP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br w:type="page"/>
      </w:r>
    </w:p>
    <w:p>
      <w:pPr>
        <w:spacing w:line="312" w:lineRule="auto"/>
        <w:ind w:firstLine="281" w:firstLineChars="100"/>
        <w:jc w:val="center"/>
        <w:outlineLvl w:val="1"/>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、其他材料</w:t>
      </w:r>
    </w:p>
    <w:p>
      <w:pPr>
        <w:keepNext w:val="0"/>
        <w:keepLines w:val="0"/>
        <w:pageBreakBefore w:val="0"/>
        <w:widowControl w:val="0"/>
        <w:kinsoku/>
        <w:wordWrap w:val="0"/>
        <w:overflowPunct/>
        <w:topLinePunct/>
        <w:bidi w:val="0"/>
        <w:snapToGrid/>
        <w:spacing w:line="360" w:lineRule="auto"/>
        <w:jc w:val="center"/>
        <w:textAlignment w:val="auto"/>
        <w:outlineLvl w:val="9"/>
        <w:rPr>
          <w:rFonts w:hint="eastAsia" w:ascii="宋体" w:hAnsi="宋体" w:eastAsia="宋体" w:cs="宋体"/>
          <w:color w:val="auto"/>
          <w:sz w:val="21"/>
          <w:szCs w:val="21"/>
          <w:highlight w:val="none"/>
        </w:rPr>
      </w:pPr>
      <w:bookmarkStart w:id="117" w:name="_Toc523494085"/>
      <w:bookmarkEnd w:id="117"/>
      <w:bookmarkStart w:id="118" w:name="_Toc525210051"/>
      <w:bookmarkEnd w:id="118"/>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中小企业声明函（</w:t>
      </w:r>
      <w:r>
        <w:rPr>
          <w:rFonts w:hint="eastAsia" w:ascii="宋体" w:hAnsi="宋体" w:eastAsia="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w:t>
      </w:r>
    </w:p>
    <w:p>
      <w:pPr>
        <w:keepNext w:val="0"/>
        <w:keepLines w:val="0"/>
        <w:pageBreakBefore w:val="0"/>
        <w:widowControl w:val="0"/>
        <w:numPr>
          <w:ilvl w:val="0"/>
          <w:numId w:val="17"/>
        </w:numPr>
        <w:kinsoku/>
        <w:wordWrap w:val="0"/>
        <w:overflowPunct/>
        <w:topLinePunct/>
        <w:autoSpaceDE/>
        <w:autoSpaceDN/>
        <w:bidi w:val="0"/>
        <w:adjustRightInd/>
        <w:snapToGrid/>
        <w:spacing w:line="360" w:lineRule="auto"/>
        <w:ind w:left="-210" w:leftChars="0" w:firstLine="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本公司（联合体）郑重声明，根据《政府采购促进中小企业发展管理办法》（财库﹝2020﹞46 号）的规定，本公司 （联合体）参加（单位名称）的（项目名称）采购活动，工程的施工单位全部为符合政策要求的中小企业（或者：服务 全部由符合政策要求的中小企业承接）。相关企业（含联合体中的中小企业、签订分包意向协议的中小企业）的具体情 况如下： </w:t>
      </w:r>
    </w:p>
    <w:p>
      <w:pPr>
        <w:keepNext w:val="0"/>
        <w:keepLines w:val="0"/>
        <w:pageBreakBefore w:val="0"/>
        <w:widowControl w:val="0"/>
        <w:numPr>
          <w:ilvl w:val="0"/>
          <w:numId w:val="17"/>
        </w:numPr>
        <w:kinsoku/>
        <w:wordWrap w:val="0"/>
        <w:overflowPunct/>
        <w:topLinePunct/>
        <w:autoSpaceDE/>
        <w:autoSpaceDN/>
        <w:bidi w:val="0"/>
        <w:adjustRightInd/>
        <w:snapToGrid/>
        <w:spacing w:line="360" w:lineRule="auto"/>
        <w:ind w:left="-210" w:leftChars="0" w:firstLine="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（标的名称）</w:t>
      </w:r>
      <w:r>
        <w:rPr>
          <w:rFonts w:hint="eastAsia" w:ascii="宋体" w:hAnsi="宋体" w:eastAsia="宋体" w:cs="宋体"/>
          <w:color w:val="auto"/>
          <w:kern w:val="2"/>
          <w:sz w:val="21"/>
          <w:szCs w:val="21"/>
          <w:highlight w:val="none"/>
          <w:lang w:val="en-US" w:eastAsia="zh-CN" w:bidi="ar-SA"/>
        </w:rPr>
        <w:t xml:space="preserve"> ，属于</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（企业名称）</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人</w:t>
      </w:r>
      <w:r>
        <w:rPr>
          <w:rFonts w:hint="eastAsia" w:ascii="宋体" w:hAnsi="宋体" w:eastAsia="宋体" w:cs="宋体"/>
          <w:color w:val="auto"/>
          <w:kern w:val="2"/>
          <w:sz w:val="21"/>
          <w:szCs w:val="21"/>
          <w:highlight w:val="none"/>
          <w:lang w:val="en-US" w:eastAsia="zh-CN" w:bidi="ar-SA"/>
        </w:rPr>
        <w:t>，营业收入为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万元</w:t>
      </w:r>
      <w:r>
        <w:rPr>
          <w:rFonts w:hint="eastAsia" w:ascii="宋体" w:hAnsi="宋体" w:eastAsia="宋体" w:cs="宋体"/>
          <w:color w:val="auto"/>
          <w:kern w:val="2"/>
          <w:sz w:val="21"/>
          <w:szCs w:val="21"/>
          <w:highlight w:val="none"/>
          <w:lang w:val="en-US" w:eastAsia="zh-CN" w:bidi="ar-SA"/>
        </w:rPr>
        <w:t>，资产总额为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万元</w:t>
      </w:r>
      <w:r>
        <w:rPr>
          <w:rFonts w:hint="eastAsia" w:ascii="宋体" w:hAnsi="宋体" w:eastAsia="宋体" w:cs="宋体"/>
          <w:color w:val="auto"/>
          <w:kern w:val="2"/>
          <w:sz w:val="21"/>
          <w:szCs w:val="21"/>
          <w:highlight w:val="none"/>
          <w:lang w:val="en-US" w:eastAsia="zh-CN" w:bidi="ar-SA"/>
        </w:rPr>
        <w:t>，属于</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（中型企业、 小型企业、微型企业）</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17"/>
        </w:numPr>
        <w:kinsoku/>
        <w:wordWrap w:val="0"/>
        <w:overflowPunct/>
        <w:topLinePunct/>
        <w:autoSpaceDE/>
        <w:autoSpaceDN/>
        <w:bidi w:val="0"/>
        <w:adjustRightInd/>
        <w:snapToGrid/>
        <w:spacing w:line="360" w:lineRule="auto"/>
        <w:ind w:left="-210" w:leftChars="0" w:firstLine="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（标的名称）</w:t>
      </w:r>
      <w:r>
        <w:rPr>
          <w:rFonts w:hint="eastAsia" w:ascii="宋体" w:hAnsi="宋体" w:eastAsia="宋体" w:cs="宋体"/>
          <w:color w:val="auto"/>
          <w:kern w:val="2"/>
          <w:sz w:val="21"/>
          <w:szCs w:val="21"/>
          <w:highlight w:val="none"/>
          <w:lang w:val="en-US" w:eastAsia="zh-CN" w:bidi="ar-SA"/>
        </w:rPr>
        <w:t xml:space="preserve"> ，属于</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（企业名称）</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人</w:t>
      </w:r>
      <w:r>
        <w:rPr>
          <w:rFonts w:hint="eastAsia" w:ascii="宋体" w:hAnsi="宋体" w:eastAsia="宋体" w:cs="宋体"/>
          <w:color w:val="auto"/>
          <w:kern w:val="2"/>
          <w:sz w:val="21"/>
          <w:szCs w:val="21"/>
          <w:highlight w:val="none"/>
          <w:lang w:val="en-US" w:eastAsia="zh-CN" w:bidi="ar-SA"/>
        </w:rPr>
        <w:t>，营业收入为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万元</w:t>
      </w:r>
      <w:r>
        <w:rPr>
          <w:rFonts w:hint="eastAsia" w:ascii="宋体" w:hAnsi="宋体" w:eastAsia="宋体" w:cs="宋体"/>
          <w:color w:val="auto"/>
          <w:kern w:val="2"/>
          <w:sz w:val="21"/>
          <w:szCs w:val="21"/>
          <w:highlight w:val="none"/>
          <w:lang w:val="en-US" w:eastAsia="zh-CN" w:bidi="ar-SA"/>
        </w:rPr>
        <w:t>，资产总额为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万元</w:t>
      </w:r>
      <w:r>
        <w:rPr>
          <w:rFonts w:hint="eastAsia" w:ascii="宋体" w:hAnsi="宋体" w:eastAsia="宋体" w:cs="宋体"/>
          <w:color w:val="auto"/>
          <w:kern w:val="2"/>
          <w:sz w:val="21"/>
          <w:szCs w:val="21"/>
          <w:highlight w:val="none"/>
          <w:lang w:val="en-US" w:eastAsia="zh-CN" w:bidi="ar-SA"/>
        </w:rPr>
        <w:t>，属于</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（中型企业、 小型企业、微型企业）</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17"/>
        </w:numPr>
        <w:kinsoku/>
        <w:wordWrap w:val="0"/>
        <w:overflowPunct/>
        <w:topLinePunct/>
        <w:autoSpaceDE/>
        <w:autoSpaceDN/>
        <w:bidi w:val="0"/>
        <w:adjustRightInd/>
        <w:snapToGrid/>
        <w:spacing w:line="360" w:lineRule="auto"/>
        <w:ind w:left="-210" w:leftChars="0" w:firstLine="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以上企业，不属于大企业的分支机构，不存在控股股东 为大企业的情形，也不存在与大企业的负责人为同一人的情形。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本企业对上述声明内容的真实性负责。如有虚假，将依法承担相应责任。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单位名称（盖单位公章）：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期： </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pPr>
        <w:widowControl w:val="0"/>
        <w:spacing w:line="360" w:lineRule="auto"/>
        <w:ind w:firstLine="0" w:firstLineChars="0"/>
        <w:jc w:val="both"/>
        <w:rPr>
          <w:rFonts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1、从业人员、营业收入、资产总额填报上一年度数据，无上一年度数据的新成立企业可不填报。</w:t>
      </w:r>
    </w:p>
    <w:p>
      <w:pPr>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br w:type="page"/>
      </w:r>
    </w:p>
    <w:p>
      <w:pPr>
        <w:numPr>
          <w:ilvl w:val="1"/>
          <w:numId w:val="0"/>
        </w:numPr>
        <w:tabs>
          <w:tab w:val="left" w:pos="840"/>
        </w:tabs>
        <w:spacing w:line="312" w:lineRule="auto"/>
        <w:jc w:val="center"/>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2、投标承诺函</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080000" w:fill="FFFFFF"/>
        </w:rPr>
        <w:t>致</w:t>
      </w:r>
      <w:r>
        <w:rPr>
          <w:rFonts w:hint="eastAsia" w:ascii="宋体" w:hAnsi="宋体" w:eastAsia="宋体" w:cs="宋体"/>
          <w:color w:val="auto"/>
          <w:spacing w:val="8"/>
          <w:sz w:val="21"/>
          <w:szCs w:val="21"/>
          <w:highlight w:val="none"/>
          <w:u w:val="single"/>
          <w:shd w:val="clear" w:color="080000" w:fill="FFFFFF"/>
        </w:rPr>
        <w:t>（招标人及招标代理机构）</w:t>
      </w:r>
      <w:r>
        <w:rPr>
          <w:rFonts w:hint="eastAsia" w:ascii="宋体" w:hAnsi="宋体" w:eastAsia="宋体" w:cs="宋体"/>
          <w:color w:val="auto"/>
          <w:spacing w:val="8"/>
          <w:sz w:val="21"/>
          <w:szCs w:val="21"/>
          <w:highlight w:val="none"/>
          <w:shd w:val="clear" w:color="080000" w:fill="FFFFFF"/>
        </w:rPr>
        <w:t>：</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我公司作为本次采购项目的投标人，根据招标文件要求，现郑重承诺如下：</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一、具备《中华人民共和国政府采购法》第二十二条第一款和本项目规定的条件：</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（一）具有独立承担民事责任的能力； 　　</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（二）具有良好的商业信誉和健全的财务会计制度； 　</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（三）具有履行合同所必需的设备和专业技术能力； 　　</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（四）有依法缴纳税收和社会保障资金的良好记录； 　　</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（五）参加政府采购活动近三年内，在经营活动中没有重大违法记录；</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（六）法律、行政法规规定的其他条件；</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（七）根据采购项目提出的特殊条件。</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二、完全接受和满足本项目招标文件中规定的实质性要求，如对招标文件有异议，已经在投标截止时间届满前依法进行维权救济，不存在对招标文件有异议的同时又参加投标以求侥幸中标或者</w:t>
      </w:r>
      <w:r>
        <w:rPr>
          <w:rFonts w:hint="eastAsia" w:ascii="宋体" w:hAnsi="宋体" w:eastAsia="宋体" w:cs="宋体"/>
          <w:color w:val="auto"/>
          <w:spacing w:val="8"/>
          <w:sz w:val="21"/>
          <w:szCs w:val="21"/>
          <w:highlight w:val="none"/>
          <w:shd w:val="clear" w:color="080000" w:fill="FFFFFF"/>
          <w:lang w:eastAsia="zh-CN"/>
        </w:rPr>
        <w:t>未</w:t>
      </w:r>
      <w:r>
        <w:rPr>
          <w:rFonts w:hint="eastAsia" w:ascii="宋体" w:hAnsi="宋体" w:eastAsia="宋体" w:cs="宋体"/>
          <w:color w:val="auto"/>
          <w:spacing w:val="8"/>
          <w:sz w:val="21"/>
          <w:szCs w:val="21"/>
          <w:highlight w:val="none"/>
          <w:shd w:val="clear" w:color="080000" w:fill="FFFFFF"/>
        </w:rPr>
        <w:t>实现其他非法目的的行为。</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三、参加本次招标采购活动，不存在与单位负责人为同一人或者存在直接控股、管理关系的其他供应商参与同一合同项下的政府采购活动的行为。    </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四、参加本次招标采购活动，不存在为采购项目提供整体设计、规范编制或者项目管理、监理、检测等服务的行为。</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五、参加本次招标采购活动，不存在和其他供应商在同一合同项下的采购项目中，同时委托同一个自然人、同一家庭的人员、同一单位的人员作为代理人的行为。</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六、投标人参加本次政府采购活动要求在近三年内投标人和其法定代表人没有行贿犯罪行为。</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七、参加本次招标采购活动，不存在联合体投标。</w:t>
      </w:r>
    </w:p>
    <w:p>
      <w:pPr>
        <w:pStyle w:val="25"/>
        <w:shd w:val="clear" w:color="070000" w:fill="auto"/>
        <w:spacing w:before="0" w:beforeAutospacing="0" w:after="0" w:afterAutospacing="0" w:line="312"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八、投标文件中提供的能够给予我公司带来优惠、好处的任何材料资料和技术、服务、商务等响应承诺情况都是真实的、有效的、合法的。   </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十、存在以下行为之一的愿意接受相关部门的处理：</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（一）投标有效期内撤销投标文件的；</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（二）在采购人确定中标人以前放弃中标候选资格的；</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（三）由于中标人的原因未能按照招标文件的规定与采购人签订合同；</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（四）在投标文件中提供虚假材料谋取中标；</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（五）与采购人、其他供应商或者采购代理机构恶意串通的；</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（六）投标有效期内，投标人在政府采购活动中有违法、违规、违纪行为。</w:t>
      </w:r>
    </w:p>
    <w:p>
      <w:pPr>
        <w:pStyle w:val="25"/>
        <w:shd w:val="clear" w:color="070000" w:fill="auto"/>
        <w:spacing w:before="0" w:beforeAutospacing="0" w:after="0" w:afterAutospacing="0" w:line="312" w:lineRule="auto"/>
        <w:ind w:firstLine="226" w:firstLineChars="1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由此产生的一切法律后果和责任由我公司承担。我公司声明放弃对此提出任何异议和追索的权利。</w:t>
      </w:r>
    </w:p>
    <w:p>
      <w:pPr>
        <w:pStyle w:val="25"/>
        <w:shd w:val="clear" w:color="070000" w:fill="auto"/>
        <w:spacing w:before="0" w:beforeAutospacing="0" w:after="0" w:afterAutospacing="0" w:line="312"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本公司对上述承诺的内容事项真实性负责。如经查实上述承诺的内容事项存在虚假，我公司愿意接受以提供虚假材料谋取中标追究法律责任。</w:t>
      </w:r>
    </w:p>
    <w:p>
      <w:pPr>
        <w:pStyle w:val="25"/>
        <w:shd w:val="clear" w:color="070000" w:fill="auto"/>
        <w:spacing w:before="0" w:beforeAutospacing="0" w:after="0" w:afterAutospacing="0" w:line="312"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12"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投标人名称：</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（单位电子签章）</w:t>
      </w:r>
    </w:p>
    <w:p>
      <w:pPr>
        <w:pStyle w:val="25"/>
        <w:shd w:val="clear" w:color="070000" w:fill="auto"/>
        <w:spacing w:before="0" w:beforeAutospacing="0" w:after="0" w:afterAutospacing="0" w:line="312"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法定代表人或授权代表：</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（电子签名或盖章）</w:t>
      </w:r>
    </w:p>
    <w:p>
      <w:pPr>
        <w:pStyle w:val="25"/>
        <w:shd w:val="clear" w:color="070000" w:fill="auto"/>
        <w:spacing w:before="0" w:beforeAutospacing="0" w:after="0" w:afterAutospacing="0" w:line="312" w:lineRule="auto"/>
        <w:ind w:firstLine="480"/>
        <w:jc w:val="both"/>
        <w:rPr>
          <w:rFonts w:hint="eastAsia" w:ascii="宋体" w:hAnsi="宋体" w:eastAsia="宋体" w:cs="宋体"/>
          <w:color w:val="auto"/>
          <w:spacing w:val="8"/>
          <w:sz w:val="21"/>
          <w:szCs w:val="21"/>
          <w:highlight w:val="none"/>
          <w:u w:val="single"/>
          <w:shd w:val="clear" w:color="090000" w:fill="auto"/>
        </w:rPr>
      </w:pPr>
      <w:r>
        <w:rPr>
          <w:rFonts w:hint="eastAsia" w:ascii="宋体" w:hAnsi="宋体" w:eastAsia="宋体" w:cs="宋体"/>
          <w:color w:val="auto"/>
          <w:spacing w:val="8"/>
          <w:sz w:val="21"/>
          <w:szCs w:val="21"/>
          <w:highlight w:val="none"/>
          <w:shd w:val="clear" w:color="080000" w:fill="FFFFFF"/>
        </w:rPr>
        <w:t>日期：</w:t>
      </w:r>
      <w:r>
        <w:rPr>
          <w:rFonts w:hint="eastAsia" w:ascii="宋体" w:hAnsi="宋体" w:eastAsia="宋体" w:cs="宋体"/>
          <w:color w:val="auto"/>
          <w:spacing w:val="8"/>
          <w:sz w:val="21"/>
          <w:szCs w:val="21"/>
          <w:highlight w:val="none"/>
          <w:u w:val="single"/>
          <w:shd w:val="clear" w:color="090000" w:fill="auto"/>
        </w:rPr>
        <w:t>              </w:t>
      </w:r>
    </w:p>
    <w:p>
      <w:pPr>
        <w:rPr>
          <w:rFonts w:hint="eastAsia" w:ascii="宋体" w:hAnsi="宋体" w:eastAsia="宋体" w:cs="宋体"/>
          <w:color w:val="auto"/>
          <w:spacing w:val="8"/>
          <w:sz w:val="21"/>
          <w:szCs w:val="21"/>
          <w:highlight w:val="none"/>
          <w:u w:val="single"/>
          <w:shd w:val="clear" w:color="090000" w:fill="auto"/>
        </w:rPr>
      </w:pPr>
      <w:r>
        <w:rPr>
          <w:rFonts w:hint="eastAsia" w:ascii="宋体" w:hAnsi="宋体" w:eastAsia="宋体" w:cs="宋体"/>
          <w:color w:val="auto"/>
          <w:spacing w:val="8"/>
          <w:sz w:val="21"/>
          <w:szCs w:val="21"/>
          <w:highlight w:val="none"/>
          <w:u w:val="single"/>
          <w:shd w:val="clear" w:color="090000" w:fill="auto"/>
        </w:rPr>
        <w:br w:type="page"/>
      </w:r>
    </w:p>
    <w:p>
      <w:pPr>
        <w:pStyle w:val="25"/>
        <w:shd w:val="clear" w:color="070000" w:fill="auto"/>
        <w:spacing w:before="0" w:beforeAutospacing="0" w:after="0" w:afterAutospacing="0" w:line="312" w:lineRule="auto"/>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3、招标代理服务费承诺函</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5"/>
          <w:szCs w:val="25"/>
          <w:highlight w:val="none"/>
        </w:rPr>
      </w:pPr>
      <w:r>
        <w:rPr>
          <w:rFonts w:hint="eastAsia" w:ascii="宋体" w:hAnsi="宋体" w:eastAsia="宋体" w:cs="宋体"/>
          <w:color w:val="auto"/>
          <w:spacing w:val="8"/>
          <w:highlight w:val="none"/>
          <w:shd w:val="clear" w:color="080000" w:fill="FFFFFF"/>
        </w:rPr>
        <w:t> </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致</w:t>
      </w:r>
      <w:r>
        <w:rPr>
          <w:rFonts w:hint="eastAsia" w:ascii="宋体" w:hAnsi="宋体" w:eastAsia="宋体" w:cs="宋体"/>
          <w:color w:val="auto"/>
          <w:spacing w:val="8"/>
          <w:sz w:val="21"/>
          <w:szCs w:val="21"/>
          <w:highlight w:val="none"/>
          <w:u w:val="single"/>
          <w:shd w:val="clear" w:color="080000" w:fill="FFFFFF"/>
        </w:rPr>
        <w:t>（招标人及招标代理机构）</w:t>
      </w: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12"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我们在贵公司组织的（项目名称：         ）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25"/>
        <w:shd w:val="clear" w:color="070000" w:fill="auto"/>
        <w:spacing w:before="0" w:beforeAutospacing="0" w:after="0" w:afterAutospacing="0" w:line="312"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特此承诺。</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12"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12"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投标人名称：</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（单位电子签章）</w:t>
      </w:r>
    </w:p>
    <w:p>
      <w:pPr>
        <w:pStyle w:val="25"/>
        <w:shd w:val="clear" w:color="070000" w:fill="auto"/>
        <w:spacing w:before="0" w:beforeAutospacing="0" w:after="0" w:afterAutospacing="0" w:line="312"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法定代表人或授权代表：</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（电子签名或盖章）</w:t>
      </w:r>
    </w:p>
    <w:p>
      <w:pPr>
        <w:pStyle w:val="25"/>
        <w:shd w:val="clear" w:color="070000" w:fill="auto"/>
        <w:spacing w:before="0" w:beforeAutospacing="0" w:after="0" w:afterAutospacing="0" w:line="312"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日期：</w:t>
      </w:r>
      <w:r>
        <w:rPr>
          <w:rFonts w:hint="eastAsia" w:ascii="宋体" w:hAnsi="宋体" w:eastAsia="宋体" w:cs="宋体"/>
          <w:color w:val="auto"/>
          <w:spacing w:val="8"/>
          <w:sz w:val="21"/>
          <w:szCs w:val="21"/>
          <w:highlight w:val="none"/>
          <w:u w:val="single"/>
          <w:shd w:val="clear" w:color="090000" w:fill="auto"/>
        </w:rPr>
        <w:t>              </w:t>
      </w:r>
    </w:p>
    <w:p>
      <w:pPr>
        <w:spacing w:line="312" w:lineRule="auto"/>
        <w:jc w:val="center"/>
        <w:rPr>
          <w:rFonts w:hint="eastAsia" w:ascii="宋体" w:hAnsi="宋体" w:eastAsia="宋体" w:cs="宋体"/>
          <w:b/>
          <w:bCs/>
          <w:color w:val="auto"/>
          <w:highlight w:val="none"/>
        </w:rPr>
      </w:pPr>
    </w:p>
    <w:p>
      <w:pPr>
        <w:numPr>
          <w:ilvl w:val="1"/>
          <w:numId w:val="0"/>
        </w:numPr>
        <w:tabs>
          <w:tab w:val="left" w:pos="840"/>
        </w:tabs>
        <w:spacing w:line="312" w:lineRule="auto"/>
        <w:jc w:val="center"/>
        <w:rPr>
          <w:rFonts w:hint="eastAsia" w:ascii="宋体" w:hAnsi="宋体" w:eastAsia="宋体" w:cs="宋体"/>
          <w:color w:val="auto"/>
          <w:highlight w:val="none"/>
        </w:rPr>
      </w:pPr>
    </w:p>
    <w:p>
      <w:pPr>
        <w:pStyle w:val="5"/>
        <w:spacing w:line="312" w:lineRule="auto"/>
        <w:ind w:firstLine="280"/>
        <w:rPr>
          <w:rFonts w:hint="eastAsia" w:ascii="宋体" w:hAnsi="宋体" w:eastAsia="宋体" w:cs="宋体"/>
          <w:color w:val="auto"/>
          <w:sz w:val="28"/>
          <w:highlight w:val="none"/>
        </w:rPr>
      </w:pPr>
    </w:p>
    <w:p>
      <w:pPr>
        <w:pStyle w:val="5"/>
        <w:spacing w:line="312" w:lineRule="auto"/>
        <w:ind w:firstLine="280"/>
        <w:rPr>
          <w:rFonts w:hint="eastAsia" w:ascii="宋体" w:hAnsi="宋体" w:eastAsia="宋体" w:cs="宋体"/>
          <w:color w:val="auto"/>
          <w:sz w:val="28"/>
          <w:highlight w:val="none"/>
        </w:rPr>
      </w:pPr>
    </w:p>
    <w:p>
      <w:pPr>
        <w:numPr>
          <w:ilvl w:val="1"/>
          <w:numId w:val="0"/>
        </w:numPr>
        <w:tabs>
          <w:tab w:val="left" w:pos="840"/>
        </w:tabs>
        <w:spacing w:line="312" w:lineRule="auto"/>
        <w:jc w:val="center"/>
        <w:rPr>
          <w:rFonts w:hint="eastAsia" w:ascii="宋体" w:hAnsi="宋体" w:eastAsia="宋体" w:cs="宋体"/>
          <w:b/>
          <w:bCs/>
          <w:color w:val="auto"/>
          <w:highlight w:val="none"/>
        </w:rPr>
      </w:pPr>
    </w:p>
    <w:p>
      <w:pPr>
        <w:numPr>
          <w:ilvl w:val="1"/>
          <w:numId w:val="0"/>
        </w:numPr>
        <w:tabs>
          <w:tab w:val="left" w:pos="840"/>
        </w:tabs>
        <w:spacing w:line="312" w:lineRule="auto"/>
        <w:jc w:val="center"/>
        <w:rPr>
          <w:rFonts w:hint="eastAsia" w:ascii="宋体" w:hAnsi="宋体" w:eastAsia="宋体" w:cs="宋体"/>
          <w:b/>
          <w:bCs/>
          <w:color w:val="auto"/>
          <w:highlight w:val="none"/>
        </w:rPr>
      </w:pPr>
    </w:p>
    <w:p>
      <w:pPr>
        <w:numPr>
          <w:ilvl w:val="1"/>
          <w:numId w:val="0"/>
        </w:numPr>
        <w:tabs>
          <w:tab w:val="left" w:pos="840"/>
        </w:tabs>
        <w:spacing w:line="312" w:lineRule="auto"/>
        <w:jc w:val="center"/>
        <w:rPr>
          <w:rFonts w:hint="eastAsia" w:ascii="宋体" w:hAnsi="宋体" w:eastAsia="宋体" w:cs="宋体"/>
          <w:b/>
          <w:bCs/>
          <w:color w:val="auto"/>
          <w:highlight w:val="none"/>
        </w:rPr>
      </w:pPr>
    </w:p>
    <w:p>
      <w:pPr>
        <w:spacing w:line="312" w:lineRule="auto"/>
        <w:rPr>
          <w:rFonts w:hint="eastAsia" w:ascii="宋体" w:hAnsi="宋体" w:eastAsia="宋体" w:cs="宋体"/>
          <w:color w:val="auto"/>
          <w:sz w:val="28"/>
          <w:highlight w:val="none"/>
        </w:rPr>
      </w:pPr>
    </w:p>
    <w:p>
      <w:pPr>
        <w:spacing w:line="312" w:lineRule="auto"/>
        <w:rPr>
          <w:rFonts w:hint="eastAsia" w:ascii="宋体" w:hAnsi="宋体" w:eastAsia="宋体" w:cs="宋体"/>
          <w:color w:val="auto"/>
          <w:sz w:val="28"/>
          <w:highlight w:val="none"/>
        </w:rPr>
      </w:pPr>
    </w:p>
    <w:p>
      <w:pPr>
        <w:numPr>
          <w:ilvl w:val="1"/>
          <w:numId w:val="0"/>
        </w:numPr>
        <w:tabs>
          <w:tab w:val="left" w:pos="840"/>
        </w:tabs>
        <w:spacing w:line="312" w:lineRule="auto"/>
        <w:rPr>
          <w:rFonts w:hint="eastAsia" w:ascii="宋体" w:hAnsi="宋体" w:eastAsia="宋体" w:cs="宋体"/>
          <w:b/>
          <w:bCs/>
          <w:color w:val="auto"/>
          <w:highlight w:val="none"/>
        </w:rPr>
      </w:pPr>
    </w:p>
    <w:p>
      <w:pPr>
        <w:spacing w:line="312"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br w:type="page"/>
      </w:r>
    </w:p>
    <w:p>
      <w:pPr>
        <w:numPr>
          <w:ilvl w:val="1"/>
          <w:numId w:val="0"/>
        </w:numPr>
        <w:tabs>
          <w:tab w:val="left" w:pos="840"/>
        </w:tabs>
        <w:spacing w:line="312" w:lineRule="auto"/>
        <w:jc w:val="center"/>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4、其他资料</w:t>
      </w:r>
    </w:p>
    <w:p>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highlight w:val="none"/>
        </w:rPr>
        <w:t>（投标人认为有必要附入的其他资料）</w:t>
      </w:r>
    </w:p>
    <w:p>
      <w:pPr>
        <w:spacing w:line="312" w:lineRule="auto"/>
        <w:rPr>
          <w:rFonts w:hint="eastAsia" w:ascii="宋体" w:hAnsi="宋体" w:eastAsia="宋体" w:cs="宋体"/>
          <w:color w:val="auto"/>
          <w:sz w:val="28"/>
          <w:highlight w:val="none"/>
        </w:rPr>
      </w:pPr>
    </w:p>
    <w:p>
      <w:pPr>
        <w:pStyle w:val="2"/>
        <w:spacing w:line="312" w:lineRule="auto"/>
        <w:rPr>
          <w:rFonts w:hint="eastAsia" w:ascii="宋体" w:hAnsi="宋体" w:eastAsia="宋体" w:cs="宋体"/>
          <w:color w:val="auto"/>
          <w:sz w:val="28"/>
          <w:highlight w:val="none"/>
        </w:rPr>
      </w:pPr>
    </w:p>
    <w:p>
      <w:pPr>
        <w:spacing w:line="312" w:lineRule="auto"/>
        <w:jc w:val="center"/>
        <w:rPr>
          <w:rFonts w:hint="eastAsia" w:ascii="宋体" w:hAnsi="宋体" w:eastAsia="宋体" w:cs="宋体"/>
          <w:b/>
          <w:bCs/>
          <w:color w:val="auto"/>
          <w:sz w:val="32"/>
          <w:szCs w:val="32"/>
          <w:highlight w:val="none"/>
        </w:rPr>
      </w:pPr>
    </w:p>
    <w:p>
      <w:pPr>
        <w:spacing w:line="312" w:lineRule="auto"/>
        <w:rPr>
          <w:rFonts w:hint="eastAsia" w:ascii="宋体" w:hAnsi="宋体" w:eastAsia="宋体" w:cs="宋体"/>
          <w:color w:val="auto"/>
          <w:sz w:val="24"/>
          <w:szCs w:val="32"/>
          <w:highlight w:val="none"/>
        </w:rPr>
      </w:pPr>
    </w:p>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SourceHanSansCN-Regular">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left w:val="none" w:color="auto" w:sz="0" w:space="4"/>
        <w:bottom w:val="none" w:color="auto" w:sz="0" w:space="1"/>
        <w:right w:val="none" w:color="auto" w:sz="0" w:space="4"/>
      </w:pBdr>
      <w:rPr>
        <w:i/>
        <w:iCs/>
        <w:color w:val="0000FF"/>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新宋体" w:hAnsi="新宋体" w:eastAsia="新宋体" w:cs="新宋体"/>
        <w:bCs/>
        <w:i/>
        <w:iCs/>
        <w:color w:val="0000FF"/>
        <w:kern w:val="0"/>
        <w:sz w:val="18"/>
        <w:szCs w:val="18"/>
      </w:rPr>
      <w:t xml:space="preserve">河南明祥工程咨询有限公司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jc w:val="both"/>
      <w:rPr>
        <w:rFonts w:hint="eastAsia" w:ascii="宋体" w:hAnsi="宋体"/>
        <w:i/>
        <w:iCs/>
        <w:color w:val="0000FF"/>
        <w:sz w:val="18"/>
        <w:szCs w:val="18"/>
        <w:lang w:val="en-US" w:eastAsia="zh-CN"/>
      </w:rPr>
    </w:pPr>
  </w:p>
  <w:p>
    <w:pPr>
      <w:pBdr>
        <w:bottom w:val="single" w:color="auto" w:sz="4" w:space="0"/>
      </w:pBdr>
      <w:adjustRightInd w:val="0"/>
      <w:snapToGrid w:val="0"/>
      <w:jc w:val="both"/>
      <w:rPr>
        <w:rFonts w:hint="eastAsia" w:ascii="宋体" w:hAnsi="宋体"/>
        <w:i/>
        <w:iCs/>
        <w:color w:val="0000FF"/>
        <w:sz w:val="18"/>
        <w:szCs w:val="18"/>
        <w:lang w:val="en-US" w:eastAsia="zh-CN"/>
      </w:rPr>
    </w:pPr>
  </w:p>
  <w:p>
    <w:pPr>
      <w:pBdr>
        <w:bottom w:val="single" w:color="auto" w:sz="4" w:space="0"/>
      </w:pBdr>
      <w:adjustRightInd w:val="0"/>
      <w:snapToGrid w:val="0"/>
      <w:jc w:val="right"/>
      <w:rPr>
        <w:rFonts w:hint="eastAsia" w:ascii="宋体" w:hAnsi="宋体"/>
        <w:i/>
        <w:iCs/>
        <w:color w:val="0000FF"/>
        <w:sz w:val="18"/>
        <w:szCs w:val="18"/>
        <w:lang w:val="en-US" w:eastAsia="zh-CN"/>
      </w:rPr>
    </w:pPr>
  </w:p>
  <w:p>
    <w:pPr>
      <w:pBdr>
        <w:bottom w:val="single" w:color="auto" w:sz="4" w:space="0"/>
      </w:pBdr>
      <w:adjustRightInd w:val="0"/>
      <w:snapToGrid w:val="0"/>
      <w:jc w:val="right"/>
      <w:rPr>
        <w:rFonts w:ascii="黑体" w:eastAsia="黑体"/>
        <w:color w:val="0000FF"/>
        <w:sz w:val="18"/>
        <w:szCs w:val="18"/>
      </w:rPr>
    </w:pPr>
    <w:r>
      <w:rPr>
        <w:rFonts w:hint="eastAsia" w:ascii="宋体" w:hAnsi="宋体"/>
        <w:i/>
        <w:iCs/>
        <w:color w:val="0000FF"/>
        <w:sz w:val="18"/>
        <w:szCs w:val="18"/>
        <w:lang w:val="en-US" w:eastAsia="zh-CN"/>
      </w:rPr>
      <w:t xml:space="preserve">信阳市羊山新区民政局2024年居家和社区基本养老服务提升行动项目 </w:t>
    </w:r>
    <w:r>
      <w:rPr>
        <w:rFonts w:hint="eastAsia" w:ascii="宋体" w:hAnsi="宋体"/>
        <w:i/>
        <w:iCs/>
        <w:color w:val="0000FF"/>
        <w:sz w:val="18"/>
        <w:szCs w:val="18"/>
      </w:rPr>
      <w:t xml:space="preserve">招标文件 </w:t>
    </w:r>
    <w:r>
      <w:rPr>
        <w:rFonts w:hint="eastAsia" w:ascii="宋体" w:hAnsi="宋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jc w:val="right"/>
      <w:rPr>
        <w:rFonts w:ascii="黑体" w:eastAsia="黑体"/>
        <w:color w:val="0000FF"/>
        <w:sz w:val="18"/>
        <w:szCs w:val="18"/>
      </w:rPr>
    </w:pPr>
    <w:r>
      <w:rPr>
        <w:rFonts w:hint="eastAsia" w:ascii="宋体" w:hAnsi="宋体" w:eastAsia="宋体" w:cs="宋体"/>
        <w:bCs/>
        <w:i/>
        <w:iCs/>
        <w:color w:val="0000FF"/>
        <w:kern w:val="0"/>
        <w:sz w:val="18"/>
        <w:szCs w:val="18"/>
        <w:lang w:val="en-US" w:eastAsia="zh-CN"/>
      </w:rPr>
      <w:t xml:space="preserve">信阳市羊山新区民政局2024年居家和社区基本养老服务提升行动项目 </w:t>
    </w:r>
    <w:r>
      <w:rPr>
        <w:rFonts w:hint="eastAsia" w:ascii="宋体" w:hAnsi="宋体" w:eastAsia="宋体" w:cs="宋体"/>
        <w:bCs/>
        <w:i/>
        <w:iCs/>
        <w:color w:val="0000FF"/>
        <w:kern w:val="0"/>
        <w:sz w:val="18"/>
        <w:szCs w:val="18"/>
      </w:rPr>
      <w:t xml:space="preserve">招标文件 </w:t>
    </w:r>
    <w:r>
      <w:rPr>
        <w:rFonts w:hint="eastAsia" w:ascii="宋体" w:hAnsi="宋体"/>
        <w:sz w:val="18"/>
        <w:szCs w:val="18"/>
      </w:rPr>
      <w:t xml:space="preserve">  </w:t>
    </w: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7E6D"/>
    <w:multiLevelType w:val="singleLevel"/>
    <w:tmpl w:val="978E7E6D"/>
    <w:lvl w:ilvl="0" w:tentative="0">
      <w:start w:val="1"/>
      <w:numFmt w:val="decimal"/>
      <w:lvlText w:val="%1."/>
      <w:lvlJc w:val="left"/>
      <w:pPr>
        <w:tabs>
          <w:tab w:val="left" w:pos="312"/>
        </w:tabs>
      </w:pPr>
    </w:lvl>
  </w:abstractNum>
  <w:abstractNum w:abstractNumId="1">
    <w:nsid w:val="A38B64D8"/>
    <w:multiLevelType w:val="singleLevel"/>
    <w:tmpl w:val="A38B64D8"/>
    <w:lvl w:ilvl="0" w:tentative="0">
      <w:start w:val="1"/>
      <w:numFmt w:val="decimal"/>
      <w:lvlText w:val="%1."/>
      <w:lvlJc w:val="left"/>
      <w:pPr>
        <w:ind w:left="425" w:hanging="425"/>
      </w:pPr>
      <w:rPr>
        <w:rFonts w:hint="default"/>
      </w:rPr>
    </w:lvl>
  </w:abstractNum>
  <w:abstractNum w:abstractNumId="2">
    <w:nsid w:val="A42800EF"/>
    <w:multiLevelType w:val="singleLevel"/>
    <w:tmpl w:val="A42800EF"/>
    <w:lvl w:ilvl="0" w:tentative="0">
      <w:start w:val="2"/>
      <w:numFmt w:val="decimal"/>
      <w:suff w:val="nothing"/>
      <w:lvlText w:val="%1、"/>
      <w:lvlJc w:val="left"/>
    </w:lvl>
  </w:abstractNum>
  <w:abstractNum w:abstractNumId="3">
    <w:nsid w:val="ACDA8162"/>
    <w:multiLevelType w:val="singleLevel"/>
    <w:tmpl w:val="ACDA8162"/>
    <w:lvl w:ilvl="0" w:tentative="0">
      <w:start w:val="1"/>
      <w:numFmt w:val="decimal"/>
      <w:suff w:val="nothing"/>
      <w:lvlText w:val="%1、"/>
      <w:lvlJc w:val="left"/>
      <w:pPr>
        <w:ind w:left="-210"/>
      </w:pPr>
    </w:lvl>
  </w:abstractNum>
  <w:abstractNum w:abstractNumId="4">
    <w:nsid w:val="B5E08322"/>
    <w:multiLevelType w:val="singleLevel"/>
    <w:tmpl w:val="B5E08322"/>
    <w:lvl w:ilvl="0" w:tentative="0">
      <w:start w:val="1"/>
      <w:numFmt w:val="chineseCounting"/>
      <w:suff w:val="nothing"/>
      <w:lvlText w:val="%1、"/>
      <w:lvlJc w:val="left"/>
      <w:rPr>
        <w:rFonts w:hint="eastAsia"/>
      </w:rPr>
    </w:lvl>
  </w:abstractNum>
  <w:abstractNum w:abstractNumId="5">
    <w:nsid w:val="B99B308E"/>
    <w:multiLevelType w:val="singleLevel"/>
    <w:tmpl w:val="B99B308E"/>
    <w:lvl w:ilvl="0" w:tentative="0">
      <w:start w:val="1"/>
      <w:numFmt w:val="decimal"/>
      <w:lvlText w:val="%1."/>
      <w:lvlJc w:val="left"/>
      <w:pPr>
        <w:ind w:left="425" w:hanging="425"/>
      </w:pPr>
      <w:rPr>
        <w:rFonts w:hint="default"/>
      </w:rPr>
    </w:lvl>
  </w:abstractNum>
  <w:abstractNum w:abstractNumId="6">
    <w:nsid w:val="E39FC7AF"/>
    <w:multiLevelType w:val="singleLevel"/>
    <w:tmpl w:val="E39FC7AF"/>
    <w:lvl w:ilvl="0" w:tentative="0">
      <w:start w:val="1"/>
      <w:numFmt w:val="decimal"/>
      <w:lvlText w:val="%1."/>
      <w:lvlJc w:val="left"/>
      <w:pPr>
        <w:tabs>
          <w:tab w:val="left" w:pos="312"/>
        </w:tabs>
      </w:pPr>
    </w:lvl>
  </w:abstractNum>
  <w:abstractNum w:abstractNumId="7">
    <w:nsid w:val="00000004"/>
    <w:multiLevelType w:val="multilevel"/>
    <w:tmpl w:val="00000004"/>
    <w:lvl w:ilvl="0" w:tentative="0">
      <w:start w:val="1"/>
      <w:numFmt w:val="decimal"/>
      <w:pStyle w:val="7"/>
      <w:suff w:val="nothing"/>
      <w:lvlText w:val="%1."/>
      <w:lvlJc w:val="left"/>
    </w:lvl>
    <w:lvl w:ilvl="1" w:tentative="0">
      <w:start w:val="1"/>
      <w:numFmt w:val="decimal"/>
      <w:pStyle w:val="8"/>
      <w:lvlText w:val="(%2)"/>
      <w:lvlJc w:val="left"/>
      <w:pPr>
        <w:tabs>
          <w:tab w:val="left" w:pos="840"/>
        </w:tabs>
        <w:ind w:left="840" w:hanging="420"/>
      </w:pPr>
      <w:rPr>
        <w:rFonts w:hint="default"/>
      </w:rPr>
    </w:lvl>
    <w:lvl w:ilvl="2" w:tentative="0">
      <w:start w:val="1"/>
      <w:numFmt w:val="none"/>
      <w:pStyle w:val="9"/>
      <w:lvlText w:val="%3"/>
      <w:lvlJc w:val="left"/>
      <w:pPr>
        <w:tabs>
          <w:tab w:val="left" w:pos="1260"/>
        </w:tabs>
        <w:ind w:left="1260" w:hanging="420"/>
      </w:pPr>
      <w:rPr>
        <w:rFonts w:hint="default"/>
      </w:rPr>
    </w:lvl>
    <w:lvl w:ilvl="3" w:tentative="0">
      <w:start w:val="1"/>
      <w:numFmt w:val="decimal"/>
      <w:pStyle w:val="10"/>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0DE3004A"/>
    <w:multiLevelType w:val="singleLevel"/>
    <w:tmpl w:val="0DE3004A"/>
    <w:lvl w:ilvl="0" w:tentative="0">
      <w:start w:val="1"/>
      <w:numFmt w:val="decimal"/>
      <w:pStyle w:val="64"/>
      <w:lvlText w:val="%1."/>
      <w:lvlJc w:val="left"/>
      <w:pPr>
        <w:tabs>
          <w:tab w:val="left" w:pos="312"/>
        </w:tabs>
      </w:pPr>
    </w:lvl>
  </w:abstractNum>
  <w:abstractNum w:abstractNumId="9">
    <w:nsid w:val="26409226"/>
    <w:multiLevelType w:val="singleLevel"/>
    <w:tmpl w:val="26409226"/>
    <w:lvl w:ilvl="0" w:tentative="0">
      <w:start w:val="6"/>
      <w:numFmt w:val="decimal"/>
      <w:lvlText w:val="%1."/>
      <w:lvlJc w:val="left"/>
      <w:pPr>
        <w:tabs>
          <w:tab w:val="left" w:pos="312"/>
        </w:tabs>
      </w:pPr>
    </w:lvl>
  </w:abstractNum>
  <w:abstractNum w:abstractNumId="10">
    <w:nsid w:val="349D10F8"/>
    <w:multiLevelType w:val="singleLevel"/>
    <w:tmpl w:val="349D10F8"/>
    <w:lvl w:ilvl="0" w:tentative="0">
      <w:start w:val="5"/>
      <w:numFmt w:val="decimal"/>
      <w:suff w:val="nothing"/>
      <w:lvlText w:val="%1、"/>
      <w:lvlJc w:val="left"/>
    </w:lvl>
  </w:abstractNum>
  <w:abstractNum w:abstractNumId="11">
    <w:nsid w:val="3C885B9E"/>
    <w:multiLevelType w:val="singleLevel"/>
    <w:tmpl w:val="3C885B9E"/>
    <w:lvl w:ilvl="0" w:tentative="0">
      <w:start w:val="1"/>
      <w:numFmt w:val="decimal"/>
      <w:lvlText w:val="%1."/>
      <w:lvlJc w:val="left"/>
      <w:pPr>
        <w:ind w:left="425" w:hanging="425"/>
      </w:pPr>
      <w:rPr>
        <w:rFonts w:hint="default"/>
      </w:rPr>
    </w:lvl>
  </w:abstractNum>
  <w:abstractNum w:abstractNumId="12">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13">
    <w:nsid w:val="4967DD12"/>
    <w:multiLevelType w:val="singleLevel"/>
    <w:tmpl w:val="4967DD12"/>
    <w:lvl w:ilvl="0" w:tentative="0">
      <w:start w:val="2"/>
      <w:numFmt w:val="chineseCounting"/>
      <w:suff w:val="nothing"/>
      <w:lvlText w:val="（%1）"/>
      <w:lvlJc w:val="left"/>
      <w:rPr>
        <w:rFonts w:hint="eastAsia"/>
      </w:rPr>
    </w:lvl>
  </w:abstractNum>
  <w:abstractNum w:abstractNumId="14">
    <w:nsid w:val="54A23804"/>
    <w:multiLevelType w:val="multilevel"/>
    <w:tmpl w:val="54A23804"/>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5">
    <w:nsid w:val="5FBDBAAA"/>
    <w:multiLevelType w:val="singleLevel"/>
    <w:tmpl w:val="5FBDBAAA"/>
    <w:lvl w:ilvl="0" w:tentative="0">
      <w:start w:val="5"/>
      <w:numFmt w:val="chineseCounting"/>
      <w:suff w:val="space"/>
      <w:lvlText w:val="第%1章"/>
      <w:lvlJc w:val="left"/>
      <w:rPr>
        <w:rFonts w:hint="eastAsia"/>
      </w:rPr>
    </w:lvl>
  </w:abstractNum>
  <w:abstractNum w:abstractNumId="16">
    <w:nsid w:val="68CADB2E"/>
    <w:multiLevelType w:val="singleLevel"/>
    <w:tmpl w:val="68CADB2E"/>
    <w:lvl w:ilvl="0" w:tentative="0">
      <w:start w:val="4"/>
      <w:numFmt w:val="chineseCounting"/>
      <w:suff w:val="space"/>
      <w:lvlText w:val="第%1章"/>
      <w:lvlJc w:val="left"/>
      <w:rPr>
        <w:rFonts w:hint="eastAsia"/>
      </w:rPr>
    </w:lvl>
  </w:abstractNum>
  <w:num w:numId="1">
    <w:abstractNumId w:val="7"/>
  </w:num>
  <w:num w:numId="2">
    <w:abstractNumId w:val="8"/>
  </w:num>
  <w:num w:numId="3">
    <w:abstractNumId w:val="14"/>
  </w:num>
  <w:num w:numId="4">
    <w:abstractNumId w:val="10"/>
  </w:num>
  <w:num w:numId="5">
    <w:abstractNumId w:val="13"/>
  </w:num>
  <w:num w:numId="6">
    <w:abstractNumId w:val="9"/>
  </w:num>
  <w:num w:numId="7">
    <w:abstractNumId w:val="2"/>
  </w:num>
  <w:num w:numId="8">
    <w:abstractNumId w:val="0"/>
  </w:num>
  <w:num w:numId="9">
    <w:abstractNumId w:val="16"/>
  </w:num>
  <w:num w:numId="10">
    <w:abstractNumId w:val="15"/>
  </w:num>
  <w:num w:numId="11">
    <w:abstractNumId w:val="1"/>
  </w:num>
  <w:num w:numId="12">
    <w:abstractNumId w:val="6"/>
  </w:num>
  <w:num w:numId="13">
    <w:abstractNumId w:val="5"/>
  </w:num>
  <w:num w:numId="14">
    <w:abstractNumId w:val="11"/>
  </w:num>
  <w:num w:numId="15">
    <w:abstractNumId w:val="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WE0OGU1OTUyOTkyMGE1ZTlkZDdmNDA1YzZjYTMifQ=="/>
    <w:docVar w:name="KSO_WPS_MARK_KEY" w:val="254bd739-4a2d-4094-ad78-b661c649ed55"/>
  </w:docVars>
  <w:rsids>
    <w:rsidRoot w:val="00C00C30"/>
    <w:rsid w:val="00024821"/>
    <w:rsid w:val="001C4D4D"/>
    <w:rsid w:val="006B6D1F"/>
    <w:rsid w:val="006D4CB1"/>
    <w:rsid w:val="008B318B"/>
    <w:rsid w:val="009C0DD8"/>
    <w:rsid w:val="009F080E"/>
    <w:rsid w:val="00A200C2"/>
    <w:rsid w:val="00A32379"/>
    <w:rsid w:val="00A4749F"/>
    <w:rsid w:val="00AE4E5E"/>
    <w:rsid w:val="00B26912"/>
    <w:rsid w:val="00C00C30"/>
    <w:rsid w:val="00CB5432"/>
    <w:rsid w:val="00DC40B5"/>
    <w:rsid w:val="00EA46A5"/>
    <w:rsid w:val="0106214D"/>
    <w:rsid w:val="013E62CA"/>
    <w:rsid w:val="014D2330"/>
    <w:rsid w:val="016F3463"/>
    <w:rsid w:val="017A3341"/>
    <w:rsid w:val="01A21DD4"/>
    <w:rsid w:val="01D9369C"/>
    <w:rsid w:val="0222247E"/>
    <w:rsid w:val="022A7D8A"/>
    <w:rsid w:val="02315D47"/>
    <w:rsid w:val="024110AB"/>
    <w:rsid w:val="02641C78"/>
    <w:rsid w:val="027F6AB2"/>
    <w:rsid w:val="02B50726"/>
    <w:rsid w:val="02B74A8F"/>
    <w:rsid w:val="02B8116A"/>
    <w:rsid w:val="02B97DF0"/>
    <w:rsid w:val="03100D7A"/>
    <w:rsid w:val="0321400D"/>
    <w:rsid w:val="03277C96"/>
    <w:rsid w:val="033D138E"/>
    <w:rsid w:val="038B3366"/>
    <w:rsid w:val="03AD241E"/>
    <w:rsid w:val="03D11133"/>
    <w:rsid w:val="03D1333D"/>
    <w:rsid w:val="03D8435C"/>
    <w:rsid w:val="043D11AF"/>
    <w:rsid w:val="044B6641"/>
    <w:rsid w:val="048605CC"/>
    <w:rsid w:val="04927276"/>
    <w:rsid w:val="04953ACE"/>
    <w:rsid w:val="04B862AB"/>
    <w:rsid w:val="04E70697"/>
    <w:rsid w:val="04FC5575"/>
    <w:rsid w:val="05C23886"/>
    <w:rsid w:val="06341608"/>
    <w:rsid w:val="0659586C"/>
    <w:rsid w:val="065B7C3D"/>
    <w:rsid w:val="06707D11"/>
    <w:rsid w:val="06874187"/>
    <w:rsid w:val="06971CB5"/>
    <w:rsid w:val="06AF7941"/>
    <w:rsid w:val="06B84C89"/>
    <w:rsid w:val="07283BBC"/>
    <w:rsid w:val="074327A4"/>
    <w:rsid w:val="07646D5A"/>
    <w:rsid w:val="07763467"/>
    <w:rsid w:val="078C0605"/>
    <w:rsid w:val="07967631"/>
    <w:rsid w:val="07D2450C"/>
    <w:rsid w:val="07F10452"/>
    <w:rsid w:val="080F31CC"/>
    <w:rsid w:val="08144141"/>
    <w:rsid w:val="083D4305"/>
    <w:rsid w:val="084F6BDA"/>
    <w:rsid w:val="08507A5A"/>
    <w:rsid w:val="086724C2"/>
    <w:rsid w:val="08971A59"/>
    <w:rsid w:val="08B03E69"/>
    <w:rsid w:val="091972B0"/>
    <w:rsid w:val="09242161"/>
    <w:rsid w:val="094075A5"/>
    <w:rsid w:val="094B3B92"/>
    <w:rsid w:val="0988481B"/>
    <w:rsid w:val="09AA6B0A"/>
    <w:rsid w:val="09DE68D9"/>
    <w:rsid w:val="0A000F56"/>
    <w:rsid w:val="0A03446D"/>
    <w:rsid w:val="0A0B50CF"/>
    <w:rsid w:val="0A54737B"/>
    <w:rsid w:val="0A9E47A1"/>
    <w:rsid w:val="0A9F4195"/>
    <w:rsid w:val="0B060002"/>
    <w:rsid w:val="0B30303F"/>
    <w:rsid w:val="0B4D1E43"/>
    <w:rsid w:val="0B582596"/>
    <w:rsid w:val="0B73259C"/>
    <w:rsid w:val="0BED15C5"/>
    <w:rsid w:val="0C157850"/>
    <w:rsid w:val="0C260BAD"/>
    <w:rsid w:val="0C384E43"/>
    <w:rsid w:val="0C9141AC"/>
    <w:rsid w:val="0C9E562E"/>
    <w:rsid w:val="0CB42738"/>
    <w:rsid w:val="0CE71690"/>
    <w:rsid w:val="0D441B12"/>
    <w:rsid w:val="0D4508F8"/>
    <w:rsid w:val="0D4A16B9"/>
    <w:rsid w:val="0D5926C2"/>
    <w:rsid w:val="0D63594E"/>
    <w:rsid w:val="0D647C15"/>
    <w:rsid w:val="0DC94CD9"/>
    <w:rsid w:val="0DF72AAA"/>
    <w:rsid w:val="0E386761"/>
    <w:rsid w:val="0E417312"/>
    <w:rsid w:val="0E9733D5"/>
    <w:rsid w:val="0EA63619"/>
    <w:rsid w:val="0EB2020F"/>
    <w:rsid w:val="0EC73CBB"/>
    <w:rsid w:val="0EDB32C2"/>
    <w:rsid w:val="0EDD7F65"/>
    <w:rsid w:val="0EF06EE0"/>
    <w:rsid w:val="0EFF2549"/>
    <w:rsid w:val="0F0D1285"/>
    <w:rsid w:val="0F5D4E76"/>
    <w:rsid w:val="0F6A2D2B"/>
    <w:rsid w:val="0F731265"/>
    <w:rsid w:val="0F76123D"/>
    <w:rsid w:val="0F7D6A6F"/>
    <w:rsid w:val="0F9022FF"/>
    <w:rsid w:val="0F9C6C01"/>
    <w:rsid w:val="0FC21F9D"/>
    <w:rsid w:val="0FFD14E3"/>
    <w:rsid w:val="101F782A"/>
    <w:rsid w:val="10481276"/>
    <w:rsid w:val="10593038"/>
    <w:rsid w:val="105B6CE8"/>
    <w:rsid w:val="10713B5C"/>
    <w:rsid w:val="109528E7"/>
    <w:rsid w:val="10B85FB1"/>
    <w:rsid w:val="10E54345"/>
    <w:rsid w:val="10F000FA"/>
    <w:rsid w:val="10F31E3E"/>
    <w:rsid w:val="111F7DDE"/>
    <w:rsid w:val="1124657B"/>
    <w:rsid w:val="118B5F3C"/>
    <w:rsid w:val="11934D85"/>
    <w:rsid w:val="11F03780"/>
    <w:rsid w:val="120C44AB"/>
    <w:rsid w:val="122479B3"/>
    <w:rsid w:val="12751C80"/>
    <w:rsid w:val="128F7744"/>
    <w:rsid w:val="129C0FBA"/>
    <w:rsid w:val="12AA70EA"/>
    <w:rsid w:val="12B75DF4"/>
    <w:rsid w:val="12CB18A0"/>
    <w:rsid w:val="12D86F73"/>
    <w:rsid w:val="132229D9"/>
    <w:rsid w:val="13517FF7"/>
    <w:rsid w:val="13BB7B66"/>
    <w:rsid w:val="13FA68E0"/>
    <w:rsid w:val="14393F00"/>
    <w:rsid w:val="14456D19"/>
    <w:rsid w:val="144B713C"/>
    <w:rsid w:val="146339F9"/>
    <w:rsid w:val="1464235D"/>
    <w:rsid w:val="148E671E"/>
    <w:rsid w:val="14997EA7"/>
    <w:rsid w:val="14FE1424"/>
    <w:rsid w:val="153951E6"/>
    <w:rsid w:val="15744470"/>
    <w:rsid w:val="15783F61"/>
    <w:rsid w:val="157E55BA"/>
    <w:rsid w:val="161A490A"/>
    <w:rsid w:val="16532F04"/>
    <w:rsid w:val="165A3666"/>
    <w:rsid w:val="166242C9"/>
    <w:rsid w:val="16881E07"/>
    <w:rsid w:val="169070D5"/>
    <w:rsid w:val="169508A9"/>
    <w:rsid w:val="16EA0BEE"/>
    <w:rsid w:val="16F82BE7"/>
    <w:rsid w:val="170830C2"/>
    <w:rsid w:val="172128C0"/>
    <w:rsid w:val="17325A72"/>
    <w:rsid w:val="17481711"/>
    <w:rsid w:val="17741DE1"/>
    <w:rsid w:val="177936CF"/>
    <w:rsid w:val="179775A1"/>
    <w:rsid w:val="17E0693C"/>
    <w:rsid w:val="17F6116D"/>
    <w:rsid w:val="17FA7B76"/>
    <w:rsid w:val="18005D4F"/>
    <w:rsid w:val="18194E5B"/>
    <w:rsid w:val="1820543E"/>
    <w:rsid w:val="188154D8"/>
    <w:rsid w:val="188509A8"/>
    <w:rsid w:val="18C41B42"/>
    <w:rsid w:val="18DA3C7E"/>
    <w:rsid w:val="18EE4330"/>
    <w:rsid w:val="19505997"/>
    <w:rsid w:val="197E766C"/>
    <w:rsid w:val="198A7452"/>
    <w:rsid w:val="198C1D89"/>
    <w:rsid w:val="1A6C1BBA"/>
    <w:rsid w:val="1A710622"/>
    <w:rsid w:val="1A997188"/>
    <w:rsid w:val="1AB848C7"/>
    <w:rsid w:val="1AC66F36"/>
    <w:rsid w:val="1ADC0AEE"/>
    <w:rsid w:val="1AF71A51"/>
    <w:rsid w:val="1AFC1190"/>
    <w:rsid w:val="1B304996"/>
    <w:rsid w:val="1B351FAC"/>
    <w:rsid w:val="1B484633"/>
    <w:rsid w:val="1B632FBD"/>
    <w:rsid w:val="1B6607FA"/>
    <w:rsid w:val="1B8151F1"/>
    <w:rsid w:val="1B866CAC"/>
    <w:rsid w:val="1BCA6B98"/>
    <w:rsid w:val="1BD05E64"/>
    <w:rsid w:val="1BEA5984"/>
    <w:rsid w:val="1BF80424"/>
    <w:rsid w:val="1BFA7B2D"/>
    <w:rsid w:val="1C443FFD"/>
    <w:rsid w:val="1C5F7EF1"/>
    <w:rsid w:val="1C7134B8"/>
    <w:rsid w:val="1C915908"/>
    <w:rsid w:val="1C9506D4"/>
    <w:rsid w:val="1CD54E10"/>
    <w:rsid w:val="1CE4012E"/>
    <w:rsid w:val="1CEB14BC"/>
    <w:rsid w:val="1D060A74"/>
    <w:rsid w:val="1D232A04"/>
    <w:rsid w:val="1D295B40"/>
    <w:rsid w:val="1D310004"/>
    <w:rsid w:val="1D3921F8"/>
    <w:rsid w:val="1D69418F"/>
    <w:rsid w:val="1D72517A"/>
    <w:rsid w:val="1D9D24D3"/>
    <w:rsid w:val="1E2E35DD"/>
    <w:rsid w:val="1E3C7E96"/>
    <w:rsid w:val="1E807BEB"/>
    <w:rsid w:val="1E85324A"/>
    <w:rsid w:val="1EA23DFC"/>
    <w:rsid w:val="1EBA7398"/>
    <w:rsid w:val="1ED30CB1"/>
    <w:rsid w:val="1EDC5093"/>
    <w:rsid w:val="1EE568DB"/>
    <w:rsid w:val="1EFE30F7"/>
    <w:rsid w:val="1F1C68C8"/>
    <w:rsid w:val="1F372797"/>
    <w:rsid w:val="1F396491"/>
    <w:rsid w:val="1F8925F8"/>
    <w:rsid w:val="1F996A3F"/>
    <w:rsid w:val="1F9D2602"/>
    <w:rsid w:val="1FC61D6D"/>
    <w:rsid w:val="1FF43155"/>
    <w:rsid w:val="200D34F7"/>
    <w:rsid w:val="20487E9B"/>
    <w:rsid w:val="205630F0"/>
    <w:rsid w:val="20DE690D"/>
    <w:rsid w:val="213C149B"/>
    <w:rsid w:val="213D1BBA"/>
    <w:rsid w:val="21874503"/>
    <w:rsid w:val="21A84E05"/>
    <w:rsid w:val="21C423C7"/>
    <w:rsid w:val="21C916A0"/>
    <w:rsid w:val="22090D50"/>
    <w:rsid w:val="22140A43"/>
    <w:rsid w:val="225D0766"/>
    <w:rsid w:val="228323A4"/>
    <w:rsid w:val="22993768"/>
    <w:rsid w:val="22AB2EC8"/>
    <w:rsid w:val="22CF0785"/>
    <w:rsid w:val="22DD5403"/>
    <w:rsid w:val="22EE7610"/>
    <w:rsid w:val="232863C1"/>
    <w:rsid w:val="23360FB7"/>
    <w:rsid w:val="237F2F7A"/>
    <w:rsid w:val="239513D1"/>
    <w:rsid w:val="23DF1A1B"/>
    <w:rsid w:val="240878F1"/>
    <w:rsid w:val="241560F8"/>
    <w:rsid w:val="2443573A"/>
    <w:rsid w:val="24767C39"/>
    <w:rsid w:val="24BC54EC"/>
    <w:rsid w:val="24BC767D"/>
    <w:rsid w:val="24C00CB3"/>
    <w:rsid w:val="24F81A46"/>
    <w:rsid w:val="24FD3B3B"/>
    <w:rsid w:val="2508586F"/>
    <w:rsid w:val="251A293E"/>
    <w:rsid w:val="25545725"/>
    <w:rsid w:val="2579474B"/>
    <w:rsid w:val="258E62E3"/>
    <w:rsid w:val="25CD10ED"/>
    <w:rsid w:val="25DE0522"/>
    <w:rsid w:val="25E60248"/>
    <w:rsid w:val="25F62D7B"/>
    <w:rsid w:val="25F963C1"/>
    <w:rsid w:val="26055A66"/>
    <w:rsid w:val="262148B1"/>
    <w:rsid w:val="26551754"/>
    <w:rsid w:val="26813E04"/>
    <w:rsid w:val="26860EAA"/>
    <w:rsid w:val="26B90F8E"/>
    <w:rsid w:val="26FF40AE"/>
    <w:rsid w:val="27280C06"/>
    <w:rsid w:val="277058BF"/>
    <w:rsid w:val="27CC711F"/>
    <w:rsid w:val="27E84CE8"/>
    <w:rsid w:val="27EB6814"/>
    <w:rsid w:val="27F1185C"/>
    <w:rsid w:val="283D3872"/>
    <w:rsid w:val="28496619"/>
    <w:rsid w:val="286270DA"/>
    <w:rsid w:val="288F719F"/>
    <w:rsid w:val="28903593"/>
    <w:rsid w:val="28956780"/>
    <w:rsid w:val="28B4150A"/>
    <w:rsid w:val="28C003C8"/>
    <w:rsid w:val="28D551AC"/>
    <w:rsid w:val="28E868B0"/>
    <w:rsid w:val="29037B8D"/>
    <w:rsid w:val="29270C80"/>
    <w:rsid w:val="29342F12"/>
    <w:rsid w:val="297B3BC8"/>
    <w:rsid w:val="299320E4"/>
    <w:rsid w:val="29F3375E"/>
    <w:rsid w:val="2A0260CC"/>
    <w:rsid w:val="2A047719"/>
    <w:rsid w:val="2A06727F"/>
    <w:rsid w:val="2A3A138D"/>
    <w:rsid w:val="2A6E1037"/>
    <w:rsid w:val="2A7C7BF7"/>
    <w:rsid w:val="2AAB2464"/>
    <w:rsid w:val="2AB90504"/>
    <w:rsid w:val="2AE01EFD"/>
    <w:rsid w:val="2B3D4F99"/>
    <w:rsid w:val="2BDF0A17"/>
    <w:rsid w:val="2BE37B42"/>
    <w:rsid w:val="2BF06D91"/>
    <w:rsid w:val="2C2E6CCF"/>
    <w:rsid w:val="2C4A6E2B"/>
    <w:rsid w:val="2C522185"/>
    <w:rsid w:val="2C8C5610"/>
    <w:rsid w:val="2C935343"/>
    <w:rsid w:val="2C947158"/>
    <w:rsid w:val="2CFD7A7D"/>
    <w:rsid w:val="2CFE2B46"/>
    <w:rsid w:val="2D102879"/>
    <w:rsid w:val="2D12214D"/>
    <w:rsid w:val="2D346567"/>
    <w:rsid w:val="2D574004"/>
    <w:rsid w:val="2D710CFE"/>
    <w:rsid w:val="2DBF55B7"/>
    <w:rsid w:val="2DF15387"/>
    <w:rsid w:val="2E112D94"/>
    <w:rsid w:val="2E627104"/>
    <w:rsid w:val="2E8727B8"/>
    <w:rsid w:val="2E89643F"/>
    <w:rsid w:val="2E8A2413"/>
    <w:rsid w:val="2E8A3FDD"/>
    <w:rsid w:val="2EA0720B"/>
    <w:rsid w:val="2EC65FA2"/>
    <w:rsid w:val="2EE67CD4"/>
    <w:rsid w:val="2EF911C0"/>
    <w:rsid w:val="2EF919C7"/>
    <w:rsid w:val="2F475694"/>
    <w:rsid w:val="2F9064A8"/>
    <w:rsid w:val="2FAE73B2"/>
    <w:rsid w:val="2FCB1AD3"/>
    <w:rsid w:val="300F7202"/>
    <w:rsid w:val="30143844"/>
    <w:rsid w:val="303B19BB"/>
    <w:rsid w:val="303D5733"/>
    <w:rsid w:val="304D715E"/>
    <w:rsid w:val="30A6391F"/>
    <w:rsid w:val="30AD1ADB"/>
    <w:rsid w:val="30E6597C"/>
    <w:rsid w:val="30EE2ED1"/>
    <w:rsid w:val="31330BF0"/>
    <w:rsid w:val="313A3321"/>
    <w:rsid w:val="3199108F"/>
    <w:rsid w:val="31CE3B55"/>
    <w:rsid w:val="31DE35DD"/>
    <w:rsid w:val="320D55D9"/>
    <w:rsid w:val="32166D38"/>
    <w:rsid w:val="32262382"/>
    <w:rsid w:val="325925CC"/>
    <w:rsid w:val="325C6409"/>
    <w:rsid w:val="326C67A3"/>
    <w:rsid w:val="3299637A"/>
    <w:rsid w:val="32B555C0"/>
    <w:rsid w:val="32C75788"/>
    <w:rsid w:val="32E0684A"/>
    <w:rsid w:val="331C5130"/>
    <w:rsid w:val="33565F5A"/>
    <w:rsid w:val="335C44B2"/>
    <w:rsid w:val="33757FB0"/>
    <w:rsid w:val="338D64EF"/>
    <w:rsid w:val="33A72B7D"/>
    <w:rsid w:val="340F73E6"/>
    <w:rsid w:val="34133B7E"/>
    <w:rsid w:val="34927387"/>
    <w:rsid w:val="34E16FD5"/>
    <w:rsid w:val="350347A6"/>
    <w:rsid w:val="358919B2"/>
    <w:rsid w:val="358C0518"/>
    <w:rsid w:val="35DD7D17"/>
    <w:rsid w:val="35ED5C95"/>
    <w:rsid w:val="35FE7713"/>
    <w:rsid w:val="360335A1"/>
    <w:rsid w:val="360C62D3"/>
    <w:rsid w:val="362F5B1E"/>
    <w:rsid w:val="363E0457"/>
    <w:rsid w:val="364610BA"/>
    <w:rsid w:val="366A6D9B"/>
    <w:rsid w:val="36714388"/>
    <w:rsid w:val="36730100"/>
    <w:rsid w:val="367F3BAA"/>
    <w:rsid w:val="367F46EA"/>
    <w:rsid w:val="3698328C"/>
    <w:rsid w:val="36D13079"/>
    <w:rsid w:val="37070849"/>
    <w:rsid w:val="3711435B"/>
    <w:rsid w:val="371B2546"/>
    <w:rsid w:val="37296998"/>
    <w:rsid w:val="37362EDC"/>
    <w:rsid w:val="374E6786"/>
    <w:rsid w:val="377C4D93"/>
    <w:rsid w:val="377F2AD5"/>
    <w:rsid w:val="381527C2"/>
    <w:rsid w:val="381920CE"/>
    <w:rsid w:val="38312021"/>
    <w:rsid w:val="38390ED6"/>
    <w:rsid w:val="38591B7C"/>
    <w:rsid w:val="38A87E0A"/>
    <w:rsid w:val="38F44DFD"/>
    <w:rsid w:val="395835DE"/>
    <w:rsid w:val="3966323C"/>
    <w:rsid w:val="3967556C"/>
    <w:rsid w:val="39971A51"/>
    <w:rsid w:val="399F120C"/>
    <w:rsid w:val="39D10057"/>
    <w:rsid w:val="39EB4B34"/>
    <w:rsid w:val="39F16E57"/>
    <w:rsid w:val="3A00350F"/>
    <w:rsid w:val="3AC54CA3"/>
    <w:rsid w:val="3AD45E59"/>
    <w:rsid w:val="3AEC0481"/>
    <w:rsid w:val="3AEF3ACE"/>
    <w:rsid w:val="3B225A7F"/>
    <w:rsid w:val="3B334539"/>
    <w:rsid w:val="3B3F768A"/>
    <w:rsid w:val="3BB52F69"/>
    <w:rsid w:val="3BE473AB"/>
    <w:rsid w:val="3BF910A8"/>
    <w:rsid w:val="3C12216A"/>
    <w:rsid w:val="3C3A346E"/>
    <w:rsid w:val="3C686DAD"/>
    <w:rsid w:val="3C90308E"/>
    <w:rsid w:val="3CA408E8"/>
    <w:rsid w:val="3CDB3C22"/>
    <w:rsid w:val="3CDF4F95"/>
    <w:rsid w:val="3D2A376E"/>
    <w:rsid w:val="3D3971F6"/>
    <w:rsid w:val="3D583BAC"/>
    <w:rsid w:val="3D6B3FEF"/>
    <w:rsid w:val="3D8F570E"/>
    <w:rsid w:val="3DBE40B4"/>
    <w:rsid w:val="3DD86A9B"/>
    <w:rsid w:val="3E1F46CA"/>
    <w:rsid w:val="3E410AE4"/>
    <w:rsid w:val="3E4C2743"/>
    <w:rsid w:val="3E5230A6"/>
    <w:rsid w:val="3E95692E"/>
    <w:rsid w:val="3EA01CAF"/>
    <w:rsid w:val="3ECD592D"/>
    <w:rsid w:val="3F0005CC"/>
    <w:rsid w:val="3F081602"/>
    <w:rsid w:val="3F0C6803"/>
    <w:rsid w:val="3F15023A"/>
    <w:rsid w:val="3F261A88"/>
    <w:rsid w:val="3F4E74D7"/>
    <w:rsid w:val="3F9430D3"/>
    <w:rsid w:val="3FB672B0"/>
    <w:rsid w:val="3FCE63A8"/>
    <w:rsid w:val="3FFA53EF"/>
    <w:rsid w:val="405745EF"/>
    <w:rsid w:val="405A41A5"/>
    <w:rsid w:val="407056B1"/>
    <w:rsid w:val="40BA0813"/>
    <w:rsid w:val="40BE466E"/>
    <w:rsid w:val="40C33A32"/>
    <w:rsid w:val="40CB1480"/>
    <w:rsid w:val="40CC5439"/>
    <w:rsid w:val="413A684F"/>
    <w:rsid w:val="41597EF3"/>
    <w:rsid w:val="417037F6"/>
    <w:rsid w:val="4171348E"/>
    <w:rsid w:val="417D104A"/>
    <w:rsid w:val="41870C1C"/>
    <w:rsid w:val="41C25D8C"/>
    <w:rsid w:val="41DA7286"/>
    <w:rsid w:val="41DD0428"/>
    <w:rsid w:val="41F61BE6"/>
    <w:rsid w:val="41FF0A9A"/>
    <w:rsid w:val="41FF536C"/>
    <w:rsid w:val="424B3CDF"/>
    <w:rsid w:val="42672AE3"/>
    <w:rsid w:val="426D00FA"/>
    <w:rsid w:val="42707842"/>
    <w:rsid w:val="42957651"/>
    <w:rsid w:val="43521CBA"/>
    <w:rsid w:val="43B70657"/>
    <w:rsid w:val="43C279FD"/>
    <w:rsid w:val="43CE1D42"/>
    <w:rsid w:val="43EA39CC"/>
    <w:rsid w:val="442646C0"/>
    <w:rsid w:val="444924A1"/>
    <w:rsid w:val="44554695"/>
    <w:rsid w:val="44787E12"/>
    <w:rsid w:val="449776B0"/>
    <w:rsid w:val="44A122DD"/>
    <w:rsid w:val="44B8583F"/>
    <w:rsid w:val="44D8315A"/>
    <w:rsid w:val="44E62039"/>
    <w:rsid w:val="44FE163F"/>
    <w:rsid w:val="454A2974"/>
    <w:rsid w:val="45554434"/>
    <w:rsid w:val="457F49CD"/>
    <w:rsid w:val="458B6AE9"/>
    <w:rsid w:val="45943BEF"/>
    <w:rsid w:val="45B95404"/>
    <w:rsid w:val="46036BF8"/>
    <w:rsid w:val="462D2AFF"/>
    <w:rsid w:val="46304475"/>
    <w:rsid w:val="463D7DE3"/>
    <w:rsid w:val="47044DA5"/>
    <w:rsid w:val="47172729"/>
    <w:rsid w:val="47282841"/>
    <w:rsid w:val="474B6530"/>
    <w:rsid w:val="47721D0E"/>
    <w:rsid w:val="47B265C4"/>
    <w:rsid w:val="48074B4D"/>
    <w:rsid w:val="481D7ECC"/>
    <w:rsid w:val="48276F9D"/>
    <w:rsid w:val="484A4A39"/>
    <w:rsid w:val="48B06F92"/>
    <w:rsid w:val="48C3058E"/>
    <w:rsid w:val="48DD58AD"/>
    <w:rsid w:val="48E11952"/>
    <w:rsid w:val="496B1639"/>
    <w:rsid w:val="49A52086"/>
    <w:rsid w:val="49AC325E"/>
    <w:rsid w:val="49D90544"/>
    <w:rsid w:val="49F217A2"/>
    <w:rsid w:val="4A090C90"/>
    <w:rsid w:val="4A2F2139"/>
    <w:rsid w:val="4A34774F"/>
    <w:rsid w:val="4A437992"/>
    <w:rsid w:val="4A687F2E"/>
    <w:rsid w:val="4A7B0F4F"/>
    <w:rsid w:val="4AA20B5D"/>
    <w:rsid w:val="4AB50890"/>
    <w:rsid w:val="4AB80560"/>
    <w:rsid w:val="4B2127AC"/>
    <w:rsid w:val="4B321EE0"/>
    <w:rsid w:val="4B4C0AC8"/>
    <w:rsid w:val="4B55736F"/>
    <w:rsid w:val="4B7A73E4"/>
    <w:rsid w:val="4B7B7ABD"/>
    <w:rsid w:val="4B7D0C82"/>
    <w:rsid w:val="4B836DB8"/>
    <w:rsid w:val="4B84756E"/>
    <w:rsid w:val="4BE65C44"/>
    <w:rsid w:val="4BE85AF8"/>
    <w:rsid w:val="4BF930BB"/>
    <w:rsid w:val="4C203BF4"/>
    <w:rsid w:val="4C231829"/>
    <w:rsid w:val="4C3E6663"/>
    <w:rsid w:val="4C673E0C"/>
    <w:rsid w:val="4C915AE9"/>
    <w:rsid w:val="4CB15087"/>
    <w:rsid w:val="4CEA67EB"/>
    <w:rsid w:val="4CEF7664"/>
    <w:rsid w:val="4D100502"/>
    <w:rsid w:val="4D8F3EE8"/>
    <w:rsid w:val="4DCB6336"/>
    <w:rsid w:val="4DCD7C9F"/>
    <w:rsid w:val="4E1E24D3"/>
    <w:rsid w:val="4E555EE6"/>
    <w:rsid w:val="4E6D5FC6"/>
    <w:rsid w:val="4E984750"/>
    <w:rsid w:val="4EC36813"/>
    <w:rsid w:val="4EC5306C"/>
    <w:rsid w:val="4EFA38BA"/>
    <w:rsid w:val="4EFC63A0"/>
    <w:rsid w:val="4F5252CE"/>
    <w:rsid w:val="4F5D32A4"/>
    <w:rsid w:val="4F8E7901"/>
    <w:rsid w:val="4FE37C4D"/>
    <w:rsid w:val="501A73E7"/>
    <w:rsid w:val="50242014"/>
    <w:rsid w:val="502D0EC8"/>
    <w:rsid w:val="505A567C"/>
    <w:rsid w:val="505A5A36"/>
    <w:rsid w:val="507B505D"/>
    <w:rsid w:val="508872DA"/>
    <w:rsid w:val="5098435F"/>
    <w:rsid w:val="50AD2009"/>
    <w:rsid w:val="50CA6182"/>
    <w:rsid w:val="512E187A"/>
    <w:rsid w:val="51310939"/>
    <w:rsid w:val="513D15DF"/>
    <w:rsid w:val="51764F66"/>
    <w:rsid w:val="51A23157"/>
    <w:rsid w:val="51A90A23"/>
    <w:rsid w:val="51CE5847"/>
    <w:rsid w:val="51D6733E"/>
    <w:rsid w:val="51EE4687"/>
    <w:rsid w:val="51F7602F"/>
    <w:rsid w:val="524300B0"/>
    <w:rsid w:val="526153FD"/>
    <w:rsid w:val="527A5F1B"/>
    <w:rsid w:val="52A402A5"/>
    <w:rsid w:val="52A66D10"/>
    <w:rsid w:val="52F4388B"/>
    <w:rsid w:val="52F73D3C"/>
    <w:rsid w:val="53286E7E"/>
    <w:rsid w:val="53421EAF"/>
    <w:rsid w:val="5417476E"/>
    <w:rsid w:val="54232D0E"/>
    <w:rsid w:val="543E2E2E"/>
    <w:rsid w:val="546753B3"/>
    <w:rsid w:val="54696247"/>
    <w:rsid w:val="547C1350"/>
    <w:rsid w:val="55487EFB"/>
    <w:rsid w:val="555F7E72"/>
    <w:rsid w:val="556E746F"/>
    <w:rsid w:val="5595588A"/>
    <w:rsid w:val="56066443"/>
    <w:rsid w:val="561B3AEF"/>
    <w:rsid w:val="56203462"/>
    <w:rsid w:val="56570A4D"/>
    <w:rsid w:val="567C4958"/>
    <w:rsid w:val="569F5687"/>
    <w:rsid w:val="56C500AD"/>
    <w:rsid w:val="56E908C0"/>
    <w:rsid w:val="56ED7603"/>
    <w:rsid w:val="56F24C1A"/>
    <w:rsid w:val="56FC7846"/>
    <w:rsid w:val="572245B5"/>
    <w:rsid w:val="578A05E0"/>
    <w:rsid w:val="578D0348"/>
    <w:rsid w:val="579D5869"/>
    <w:rsid w:val="57CA7AC2"/>
    <w:rsid w:val="57F624E8"/>
    <w:rsid w:val="57FB5D50"/>
    <w:rsid w:val="581D236D"/>
    <w:rsid w:val="58440F78"/>
    <w:rsid w:val="5847293C"/>
    <w:rsid w:val="589C5964"/>
    <w:rsid w:val="58B46057"/>
    <w:rsid w:val="58D56FF8"/>
    <w:rsid w:val="592870F2"/>
    <w:rsid w:val="592D1F39"/>
    <w:rsid w:val="592E246E"/>
    <w:rsid w:val="593A6A5E"/>
    <w:rsid w:val="594526A4"/>
    <w:rsid w:val="594B1686"/>
    <w:rsid w:val="596D2D7B"/>
    <w:rsid w:val="59A869D8"/>
    <w:rsid w:val="59B166C6"/>
    <w:rsid w:val="59D800F7"/>
    <w:rsid w:val="5A1804F3"/>
    <w:rsid w:val="5A225816"/>
    <w:rsid w:val="5A36306F"/>
    <w:rsid w:val="5A6C4CE3"/>
    <w:rsid w:val="5A7C4F26"/>
    <w:rsid w:val="5A9D6C4B"/>
    <w:rsid w:val="5AEE1D8B"/>
    <w:rsid w:val="5B5C08B4"/>
    <w:rsid w:val="5B5C6B06"/>
    <w:rsid w:val="5BAF30D9"/>
    <w:rsid w:val="5BB03E2C"/>
    <w:rsid w:val="5BEA4111"/>
    <w:rsid w:val="5C0955EB"/>
    <w:rsid w:val="5CDF179C"/>
    <w:rsid w:val="5CED7B33"/>
    <w:rsid w:val="5CFF599B"/>
    <w:rsid w:val="5D0B07E3"/>
    <w:rsid w:val="5D137698"/>
    <w:rsid w:val="5D2E6280"/>
    <w:rsid w:val="5D355860"/>
    <w:rsid w:val="5D3B20D8"/>
    <w:rsid w:val="5D610403"/>
    <w:rsid w:val="5D8D744A"/>
    <w:rsid w:val="5DAD5244"/>
    <w:rsid w:val="5DC0637E"/>
    <w:rsid w:val="5E4D2736"/>
    <w:rsid w:val="5E587A58"/>
    <w:rsid w:val="5E604B5F"/>
    <w:rsid w:val="5EBD4695"/>
    <w:rsid w:val="5EE94B54"/>
    <w:rsid w:val="5EEC1F4F"/>
    <w:rsid w:val="5EF64741"/>
    <w:rsid w:val="5F047DE2"/>
    <w:rsid w:val="5F404964"/>
    <w:rsid w:val="5F6D12E1"/>
    <w:rsid w:val="5F8416CD"/>
    <w:rsid w:val="5F8D65FE"/>
    <w:rsid w:val="5F922AF6"/>
    <w:rsid w:val="5F936224"/>
    <w:rsid w:val="5FA14929"/>
    <w:rsid w:val="5FB525C8"/>
    <w:rsid w:val="5FDF3861"/>
    <w:rsid w:val="5FE05068"/>
    <w:rsid w:val="60083C95"/>
    <w:rsid w:val="60361880"/>
    <w:rsid w:val="60741912"/>
    <w:rsid w:val="60C969EB"/>
    <w:rsid w:val="60CC64DC"/>
    <w:rsid w:val="60CE4C3E"/>
    <w:rsid w:val="60D8174F"/>
    <w:rsid w:val="60F51DD8"/>
    <w:rsid w:val="61003EA2"/>
    <w:rsid w:val="610D044D"/>
    <w:rsid w:val="611A0FF5"/>
    <w:rsid w:val="61511552"/>
    <w:rsid w:val="61671D60"/>
    <w:rsid w:val="616D6416"/>
    <w:rsid w:val="617A0862"/>
    <w:rsid w:val="61896B7D"/>
    <w:rsid w:val="6192403F"/>
    <w:rsid w:val="61AA5013"/>
    <w:rsid w:val="61B50D1E"/>
    <w:rsid w:val="61F05D96"/>
    <w:rsid w:val="62546789"/>
    <w:rsid w:val="62956A80"/>
    <w:rsid w:val="62AA3D54"/>
    <w:rsid w:val="62C92CD3"/>
    <w:rsid w:val="62CA0B23"/>
    <w:rsid w:val="633D1916"/>
    <w:rsid w:val="633D721D"/>
    <w:rsid w:val="63495BC1"/>
    <w:rsid w:val="63905840"/>
    <w:rsid w:val="639A466F"/>
    <w:rsid w:val="639D7CBB"/>
    <w:rsid w:val="63BC51D5"/>
    <w:rsid w:val="63BD210C"/>
    <w:rsid w:val="63BE2695"/>
    <w:rsid w:val="63D24B67"/>
    <w:rsid w:val="63EF49BB"/>
    <w:rsid w:val="63F37152"/>
    <w:rsid w:val="63F91396"/>
    <w:rsid w:val="647A728D"/>
    <w:rsid w:val="64846E8C"/>
    <w:rsid w:val="64865018"/>
    <w:rsid w:val="64A52BD2"/>
    <w:rsid w:val="659B647C"/>
    <w:rsid w:val="65AC2438"/>
    <w:rsid w:val="65C37EAD"/>
    <w:rsid w:val="65DD1C89"/>
    <w:rsid w:val="65E729EC"/>
    <w:rsid w:val="65EA5ABC"/>
    <w:rsid w:val="65F22540"/>
    <w:rsid w:val="66140709"/>
    <w:rsid w:val="662F5543"/>
    <w:rsid w:val="663669CA"/>
    <w:rsid w:val="66542216"/>
    <w:rsid w:val="665F56FC"/>
    <w:rsid w:val="66911D59"/>
    <w:rsid w:val="669C425A"/>
    <w:rsid w:val="66BB5028"/>
    <w:rsid w:val="66C450B4"/>
    <w:rsid w:val="66D60BA6"/>
    <w:rsid w:val="66D912C0"/>
    <w:rsid w:val="67206DB8"/>
    <w:rsid w:val="67404CC6"/>
    <w:rsid w:val="67456DC9"/>
    <w:rsid w:val="6751774F"/>
    <w:rsid w:val="67566AFF"/>
    <w:rsid w:val="675F3C06"/>
    <w:rsid w:val="67BD15BE"/>
    <w:rsid w:val="67C347C8"/>
    <w:rsid w:val="67C441A9"/>
    <w:rsid w:val="67CE2B39"/>
    <w:rsid w:val="68555008"/>
    <w:rsid w:val="68805275"/>
    <w:rsid w:val="688651C2"/>
    <w:rsid w:val="688908DB"/>
    <w:rsid w:val="68EC4BC4"/>
    <w:rsid w:val="68F33602"/>
    <w:rsid w:val="68F55EA4"/>
    <w:rsid w:val="68FF6706"/>
    <w:rsid w:val="69216C99"/>
    <w:rsid w:val="692A0243"/>
    <w:rsid w:val="69342E70"/>
    <w:rsid w:val="693B5FAC"/>
    <w:rsid w:val="693C7E0D"/>
    <w:rsid w:val="69441618"/>
    <w:rsid w:val="69444DDA"/>
    <w:rsid w:val="69584DB0"/>
    <w:rsid w:val="696C085C"/>
    <w:rsid w:val="69714D18"/>
    <w:rsid w:val="6978535B"/>
    <w:rsid w:val="69796AD5"/>
    <w:rsid w:val="698239E9"/>
    <w:rsid w:val="698536CB"/>
    <w:rsid w:val="69855479"/>
    <w:rsid w:val="69BC05EA"/>
    <w:rsid w:val="69CF009A"/>
    <w:rsid w:val="69F423A1"/>
    <w:rsid w:val="69F97D3B"/>
    <w:rsid w:val="6A054C65"/>
    <w:rsid w:val="6A49294B"/>
    <w:rsid w:val="6A4E64ED"/>
    <w:rsid w:val="6A5702D0"/>
    <w:rsid w:val="6A5A1AFD"/>
    <w:rsid w:val="6A7F3DE5"/>
    <w:rsid w:val="6A833E60"/>
    <w:rsid w:val="6AC41FD2"/>
    <w:rsid w:val="6AD6255B"/>
    <w:rsid w:val="6AE01709"/>
    <w:rsid w:val="6B0D3978"/>
    <w:rsid w:val="6B573065"/>
    <w:rsid w:val="6B826114"/>
    <w:rsid w:val="6BCB6EDE"/>
    <w:rsid w:val="6BD779E9"/>
    <w:rsid w:val="6BE50451"/>
    <w:rsid w:val="6C547FA5"/>
    <w:rsid w:val="6C5755A2"/>
    <w:rsid w:val="6C7A6DEC"/>
    <w:rsid w:val="6C80783F"/>
    <w:rsid w:val="6CA83A95"/>
    <w:rsid w:val="6CD625AA"/>
    <w:rsid w:val="6CD70489"/>
    <w:rsid w:val="6D001653"/>
    <w:rsid w:val="6D0F6219"/>
    <w:rsid w:val="6D23026E"/>
    <w:rsid w:val="6D4C776C"/>
    <w:rsid w:val="6D503CC0"/>
    <w:rsid w:val="6D581EA1"/>
    <w:rsid w:val="6D6725B7"/>
    <w:rsid w:val="6D9B0330"/>
    <w:rsid w:val="6DA531CF"/>
    <w:rsid w:val="6DAF6F69"/>
    <w:rsid w:val="6DC95E3D"/>
    <w:rsid w:val="6DDD3AD6"/>
    <w:rsid w:val="6DEA6648"/>
    <w:rsid w:val="6DF40E20"/>
    <w:rsid w:val="6DF42BCE"/>
    <w:rsid w:val="6E532EA4"/>
    <w:rsid w:val="6E5D0773"/>
    <w:rsid w:val="6EB14DA4"/>
    <w:rsid w:val="6EB333C4"/>
    <w:rsid w:val="6F103FEE"/>
    <w:rsid w:val="6F3B6D06"/>
    <w:rsid w:val="6F597AE1"/>
    <w:rsid w:val="6F6B6EC0"/>
    <w:rsid w:val="6F765F90"/>
    <w:rsid w:val="6F796E42"/>
    <w:rsid w:val="6F963F3C"/>
    <w:rsid w:val="6FBE5205"/>
    <w:rsid w:val="6FEA0282"/>
    <w:rsid w:val="6FFC13FB"/>
    <w:rsid w:val="700F1F41"/>
    <w:rsid w:val="701F03D6"/>
    <w:rsid w:val="703C2DB9"/>
    <w:rsid w:val="70603595"/>
    <w:rsid w:val="707B3132"/>
    <w:rsid w:val="70CE2F30"/>
    <w:rsid w:val="70F02815"/>
    <w:rsid w:val="70F3557E"/>
    <w:rsid w:val="70F76C5D"/>
    <w:rsid w:val="71274A34"/>
    <w:rsid w:val="71351738"/>
    <w:rsid w:val="715876D0"/>
    <w:rsid w:val="716A414A"/>
    <w:rsid w:val="71DB5CBA"/>
    <w:rsid w:val="71E20957"/>
    <w:rsid w:val="7227626D"/>
    <w:rsid w:val="722F6C64"/>
    <w:rsid w:val="72333F0F"/>
    <w:rsid w:val="72547631"/>
    <w:rsid w:val="728E1843"/>
    <w:rsid w:val="72BE26BA"/>
    <w:rsid w:val="72CD7951"/>
    <w:rsid w:val="72DF7D18"/>
    <w:rsid w:val="73052B03"/>
    <w:rsid w:val="731A3E7B"/>
    <w:rsid w:val="731A6A53"/>
    <w:rsid w:val="734D525A"/>
    <w:rsid w:val="73520AC2"/>
    <w:rsid w:val="737E3F2F"/>
    <w:rsid w:val="73A54B31"/>
    <w:rsid w:val="73CF2113"/>
    <w:rsid w:val="73D347D4"/>
    <w:rsid w:val="73DC7E63"/>
    <w:rsid w:val="740D2C3B"/>
    <w:rsid w:val="74C3370B"/>
    <w:rsid w:val="74D42B13"/>
    <w:rsid w:val="752C70F1"/>
    <w:rsid w:val="75494C2C"/>
    <w:rsid w:val="75D83E8B"/>
    <w:rsid w:val="75E71E1F"/>
    <w:rsid w:val="75F776FF"/>
    <w:rsid w:val="76033AC5"/>
    <w:rsid w:val="762C55FB"/>
    <w:rsid w:val="76464F31"/>
    <w:rsid w:val="764A5F3A"/>
    <w:rsid w:val="76876941"/>
    <w:rsid w:val="76AA1098"/>
    <w:rsid w:val="76E079B9"/>
    <w:rsid w:val="76E9146B"/>
    <w:rsid w:val="77783567"/>
    <w:rsid w:val="77955421"/>
    <w:rsid w:val="77A13DC6"/>
    <w:rsid w:val="77A65C39"/>
    <w:rsid w:val="77D62BCB"/>
    <w:rsid w:val="78120820"/>
    <w:rsid w:val="781343D0"/>
    <w:rsid w:val="78576B33"/>
    <w:rsid w:val="78992CEF"/>
    <w:rsid w:val="78C22246"/>
    <w:rsid w:val="78D01EB5"/>
    <w:rsid w:val="78EE69F9"/>
    <w:rsid w:val="791C44EC"/>
    <w:rsid w:val="792C4E84"/>
    <w:rsid w:val="79334EF2"/>
    <w:rsid w:val="793D283D"/>
    <w:rsid w:val="795F7D0C"/>
    <w:rsid w:val="79A4194C"/>
    <w:rsid w:val="79B576B5"/>
    <w:rsid w:val="7A320D06"/>
    <w:rsid w:val="7A3902E6"/>
    <w:rsid w:val="7A4F2063"/>
    <w:rsid w:val="7A9D1D55"/>
    <w:rsid w:val="7ABC4A73"/>
    <w:rsid w:val="7AE344B5"/>
    <w:rsid w:val="7AF745AA"/>
    <w:rsid w:val="7B3E79FC"/>
    <w:rsid w:val="7B42141C"/>
    <w:rsid w:val="7B4F58E7"/>
    <w:rsid w:val="7B7315D6"/>
    <w:rsid w:val="7B7B492E"/>
    <w:rsid w:val="7B8A0059"/>
    <w:rsid w:val="7B8B2DC3"/>
    <w:rsid w:val="7BB8348D"/>
    <w:rsid w:val="7C2B0102"/>
    <w:rsid w:val="7C637FF4"/>
    <w:rsid w:val="7C7E611D"/>
    <w:rsid w:val="7C896BD7"/>
    <w:rsid w:val="7C8F243F"/>
    <w:rsid w:val="7CE00EED"/>
    <w:rsid w:val="7D050953"/>
    <w:rsid w:val="7D0C425F"/>
    <w:rsid w:val="7D140300"/>
    <w:rsid w:val="7D2668CC"/>
    <w:rsid w:val="7D423956"/>
    <w:rsid w:val="7D4D0AB9"/>
    <w:rsid w:val="7DB61374"/>
    <w:rsid w:val="7DF95A79"/>
    <w:rsid w:val="7E103C57"/>
    <w:rsid w:val="7E127593"/>
    <w:rsid w:val="7E494870"/>
    <w:rsid w:val="7E4E00D8"/>
    <w:rsid w:val="7E621F83"/>
    <w:rsid w:val="7E6E0DA6"/>
    <w:rsid w:val="7E70631C"/>
    <w:rsid w:val="7EE973CA"/>
    <w:rsid w:val="7F0F7867"/>
    <w:rsid w:val="7F3B240A"/>
    <w:rsid w:val="7F611080"/>
    <w:rsid w:val="7F6C4CBA"/>
    <w:rsid w:val="7FA011FB"/>
    <w:rsid w:val="7FA9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numPr>
        <w:ilvl w:val="0"/>
        <w:numId w:val="1"/>
      </w:numPr>
      <w:adjustRightInd w:val="0"/>
      <w:spacing w:before="160" w:after="160" w:line="160" w:lineRule="atLeast"/>
      <w:textAlignment w:val="baseline"/>
      <w:outlineLvl w:val="0"/>
    </w:pPr>
    <w:rPr>
      <w:rFonts w:ascii="Ari" w:eastAsia="Ari"/>
      <w:kern w:val="44"/>
      <w:sz w:val="32"/>
      <w:szCs w:val="20"/>
    </w:rPr>
  </w:style>
  <w:style w:type="paragraph" w:styleId="8">
    <w:name w:val="heading 2"/>
    <w:basedOn w:val="1"/>
    <w:next w:val="1"/>
    <w:qFormat/>
    <w:uiPriority w:val="0"/>
    <w:pPr>
      <w:numPr>
        <w:ilvl w:val="1"/>
        <w:numId w:val="1"/>
      </w:numPr>
      <w:adjustRightInd w:val="0"/>
      <w:spacing w:before="160" w:after="160" w:line="160" w:lineRule="atLeast"/>
      <w:ind w:hanging="284"/>
      <w:textAlignment w:val="baseline"/>
      <w:outlineLvl w:val="1"/>
    </w:pPr>
    <w:rPr>
      <w:rFonts w:ascii="Ari" w:hAnsi="Ari" w:eastAsia="Ari"/>
      <w:kern w:val="0"/>
      <w:sz w:val="28"/>
      <w:szCs w:val="20"/>
    </w:rPr>
  </w:style>
  <w:style w:type="paragraph" w:styleId="9">
    <w:name w:val="heading 3"/>
    <w:basedOn w:val="1"/>
    <w:next w:val="1"/>
    <w:qFormat/>
    <w:uiPriority w:val="0"/>
    <w:pPr>
      <w:numPr>
        <w:ilvl w:val="2"/>
        <w:numId w:val="1"/>
      </w:numPr>
      <w:adjustRightInd w:val="0"/>
      <w:spacing w:before="160" w:after="160" w:line="160" w:lineRule="atLeast"/>
      <w:ind w:hanging="284"/>
      <w:textAlignment w:val="baseline"/>
      <w:outlineLvl w:val="2"/>
    </w:pPr>
    <w:rPr>
      <w:rFonts w:ascii="Ari" w:eastAsia="Ari"/>
      <w:kern w:val="0"/>
      <w:sz w:val="28"/>
      <w:szCs w:val="20"/>
    </w:rPr>
  </w:style>
  <w:style w:type="paragraph" w:styleId="10">
    <w:name w:val="heading 4"/>
    <w:basedOn w:val="1"/>
    <w:next w:val="1"/>
    <w:qFormat/>
    <w:uiPriority w:val="0"/>
    <w:pPr>
      <w:numPr>
        <w:ilvl w:val="3"/>
        <w:numId w:val="1"/>
      </w:numPr>
      <w:adjustRightInd w:val="0"/>
      <w:spacing w:before="280" w:after="290" w:line="376" w:lineRule="atLeast"/>
      <w:textAlignment w:val="baseline"/>
      <w:outlineLvl w:val="3"/>
    </w:pPr>
    <w:rPr>
      <w:rFonts w:ascii="Ari" w:hAnsi="Ari" w:eastAsia="Ari"/>
      <w:b/>
      <w:kern w:val="0"/>
      <w:sz w:val="2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4"/>
    <w:next w:val="6"/>
    <w:qFormat/>
    <w:uiPriority w:val="0"/>
    <w:pPr>
      <w:spacing w:before="100" w:beforeAutospacing="1" w:after="100" w:afterAutospacing="1"/>
    </w:pPr>
    <w:rPr>
      <w:rFonts w:hAnsi="宋体" w:cs="宋体"/>
      <w:sz w:val="18"/>
      <w:szCs w:val="18"/>
    </w:rPr>
  </w:style>
  <w:style w:type="paragraph" w:customStyle="1" w:styleId="4">
    <w:name w:val="正文_0"/>
    <w:next w:val="5"/>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First Indent"/>
    <w:basedOn w:val="2"/>
    <w:next w:val="1"/>
    <w:qFormat/>
    <w:uiPriority w:val="0"/>
    <w:pPr>
      <w:ind w:firstLine="420" w:firstLineChars="100"/>
    </w:p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Normal Indent"/>
    <w:basedOn w:val="1"/>
    <w:qFormat/>
    <w:uiPriority w:val="0"/>
    <w:pPr>
      <w:ind w:firstLine="420"/>
    </w:pPr>
    <w:rPr>
      <w:szCs w:val="20"/>
    </w:rPr>
  </w:style>
  <w:style w:type="paragraph" w:styleId="12">
    <w:name w:val="annotation text"/>
    <w:basedOn w:val="1"/>
    <w:qFormat/>
    <w:uiPriority w:val="0"/>
    <w:pPr>
      <w:jc w:val="left"/>
    </w:pPr>
  </w:style>
  <w:style w:type="paragraph" w:styleId="13">
    <w:name w:val="Body Text 3"/>
    <w:basedOn w:val="1"/>
    <w:qFormat/>
    <w:uiPriority w:val="0"/>
    <w:pPr>
      <w:spacing w:after="120"/>
    </w:pPr>
    <w:rPr>
      <w:sz w:val="16"/>
      <w:szCs w:val="16"/>
    </w:rPr>
  </w:style>
  <w:style w:type="paragraph" w:styleId="14">
    <w:name w:val="Body Text Indent"/>
    <w:basedOn w:val="1"/>
    <w:next w:val="15"/>
    <w:qFormat/>
    <w:uiPriority w:val="0"/>
    <w:pPr>
      <w:tabs>
        <w:tab w:val="left" w:pos="945"/>
        <w:tab w:val="left" w:pos="1155"/>
      </w:tabs>
      <w:ind w:firstLine="435"/>
    </w:pPr>
    <w:rPr>
      <w:rFonts w:ascii="Ari"/>
      <w:sz w:val="24"/>
      <w:szCs w:val="20"/>
    </w:rPr>
  </w:style>
  <w:style w:type="paragraph" w:styleId="15">
    <w:name w:val="envelope return"/>
    <w:basedOn w:val="1"/>
    <w:unhideWhenUsed/>
    <w:qFormat/>
    <w:uiPriority w:val="99"/>
    <w:pPr>
      <w:snapToGrid w:val="0"/>
    </w:pPr>
    <w:rPr>
      <w:rFonts w:ascii="Arial" w:hAnsi="Arial"/>
    </w:rPr>
  </w:style>
  <w:style w:type="paragraph" w:styleId="16">
    <w:name w:val="Block Text"/>
    <w:basedOn w:val="1"/>
    <w:qFormat/>
    <w:uiPriority w:val="0"/>
    <w:pPr>
      <w:ind w:left="567" w:right="454" w:firstLine="498"/>
    </w:pPr>
    <w:rPr>
      <w:rFonts w:ascii="仿宋_GB2312" w:eastAsia="仿宋_GB2312"/>
      <w:sz w:val="30"/>
    </w:rPr>
  </w:style>
  <w:style w:type="paragraph" w:styleId="17">
    <w:name w:val="Plain Text"/>
    <w:basedOn w:val="1"/>
    <w:qFormat/>
    <w:uiPriority w:val="0"/>
    <w:rPr>
      <w:rFonts w:ascii="宋体" w:hAnsi="Courier New"/>
      <w:szCs w:val="20"/>
    </w:rPr>
  </w:style>
  <w:style w:type="paragraph" w:styleId="18">
    <w:name w:val="footer"/>
    <w:basedOn w:val="1"/>
    <w:qFormat/>
    <w:uiPriority w:val="99"/>
    <w:pPr>
      <w:tabs>
        <w:tab w:val="center" w:pos="4153"/>
        <w:tab w:val="right" w:pos="8306"/>
      </w:tabs>
      <w:snapToGrid w:val="0"/>
      <w:jc w:val="left"/>
    </w:pPr>
    <w:rPr>
      <w:sz w:val="18"/>
      <w:szCs w:val="20"/>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Subtitle"/>
    <w:basedOn w:val="1"/>
    <w:qFormat/>
    <w:uiPriority w:val="0"/>
    <w:pPr>
      <w:jc w:val="left"/>
      <w:outlineLvl w:val="1"/>
    </w:pPr>
    <w:rPr>
      <w:rFonts w:ascii="Cambria" w:hAnsi="Cambria"/>
      <w:b/>
      <w:bCs/>
      <w:kern w:val="28"/>
      <w:szCs w:val="32"/>
    </w:rPr>
  </w:style>
  <w:style w:type="paragraph" w:styleId="22">
    <w:name w:val="footnote text"/>
    <w:basedOn w:val="1"/>
    <w:qFormat/>
    <w:uiPriority w:val="0"/>
    <w:rPr>
      <w:sz w:val="20"/>
      <w:szCs w:val="20"/>
    </w:rPr>
  </w:style>
  <w:style w:type="paragraph" w:styleId="23">
    <w:name w:val="Body Text 2"/>
    <w:basedOn w:val="1"/>
    <w:next w:val="1"/>
    <w:qFormat/>
    <w:uiPriority w:val="0"/>
    <w:pPr>
      <w:spacing w:line="700" w:lineRule="exact"/>
    </w:pPr>
    <w:rPr>
      <w:sz w:val="28"/>
    </w:r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qFormat/>
    <w:uiPriority w:val="99"/>
    <w:pPr>
      <w:spacing w:before="100" w:beforeAutospacing="1" w:after="100" w:afterAutospacing="1"/>
      <w:jc w:val="left"/>
    </w:pPr>
    <w:rPr>
      <w:rFonts w:ascii="宋体" w:hAnsi="宋体"/>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Body Text First Indent 2"/>
    <w:basedOn w:val="14"/>
    <w:next w:val="28"/>
    <w:unhideWhenUsed/>
    <w:qFormat/>
    <w:uiPriority w:val="0"/>
    <w:pPr>
      <w:ind w:firstLine="200" w:firstLineChars="200"/>
      <w:jc w:val="left"/>
    </w:pPr>
    <w:rPr>
      <w:rFonts w:ascii="Calibri" w:hAnsi="Calibri"/>
      <w:sz w:val="28"/>
    </w:rPr>
  </w:style>
  <w:style w:type="paragraph" w:customStyle="1" w:styleId="28">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0">
    <w:name w:val="Table Grid"/>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none"/>
    </w:rPr>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HTML Cite"/>
    <w:basedOn w:val="31"/>
    <w:qFormat/>
    <w:uiPriority w:val="0"/>
  </w:style>
  <w:style w:type="character" w:styleId="42">
    <w:name w:val="HTML Keyboard"/>
    <w:basedOn w:val="31"/>
    <w:qFormat/>
    <w:uiPriority w:val="0"/>
    <w:rPr>
      <w:rFonts w:hint="default" w:ascii="monospace" w:hAnsi="monospace" w:eastAsia="monospace" w:cs="monospace"/>
      <w:sz w:val="20"/>
    </w:rPr>
  </w:style>
  <w:style w:type="character" w:styleId="43">
    <w:name w:val="HTML Sample"/>
    <w:basedOn w:val="31"/>
    <w:qFormat/>
    <w:uiPriority w:val="0"/>
    <w:rPr>
      <w:rFonts w:ascii="monospace" w:hAnsi="monospace" w:eastAsia="monospace" w:cs="monospace"/>
    </w:rPr>
  </w:style>
  <w:style w:type="paragraph" w:customStyle="1" w:styleId="44">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45">
    <w:name w:val="目录 111"/>
    <w:basedOn w:val="1"/>
    <w:next w:val="1"/>
    <w:unhideWhenUsed/>
    <w:qFormat/>
    <w:uiPriority w:val="39"/>
    <w:pPr>
      <w:spacing w:after="100" w:line="259" w:lineRule="auto"/>
    </w:pPr>
    <w:rPr>
      <w:rFonts w:ascii="Calibri" w:hAnsi="Calibri"/>
    </w:rPr>
  </w:style>
  <w:style w:type="paragraph" w:customStyle="1" w:styleId="46">
    <w:name w:val="正文1"/>
    <w:basedOn w:val="1"/>
    <w:next w:val="47"/>
    <w:qFormat/>
    <w:uiPriority w:val="0"/>
    <w:pPr>
      <w:adjustRightInd w:val="0"/>
      <w:spacing w:line="360" w:lineRule="atLeast"/>
      <w:jc w:val="left"/>
      <w:textAlignment w:val="baseline"/>
    </w:pPr>
    <w:rPr>
      <w:rFonts w:ascii="宋体"/>
      <w:kern w:val="0"/>
      <w:sz w:val="24"/>
      <w:szCs w:val="20"/>
    </w:rPr>
  </w:style>
  <w:style w:type="paragraph" w:customStyle="1" w:styleId="47">
    <w:name w:val="正文文本1"/>
    <w:basedOn w:val="48"/>
    <w:next w:val="46"/>
    <w:qFormat/>
    <w:uiPriority w:val="0"/>
    <w:pPr>
      <w:spacing w:after="120"/>
    </w:pPr>
    <w:rPr>
      <w:rFonts w:ascii="Times New Roman"/>
      <w:sz w:val="20"/>
    </w:rPr>
  </w:style>
  <w:style w:type="paragraph" w:customStyle="1" w:styleId="48">
    <w:name w:val="正文11"/>
    <w:next w:val="4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
    <w:name w:val="目录 11"/>
    <w:basedOn w:val="48"/>
    <w:next w:val="48"/>
    <w:qFormat/>
    <w:uiPriority w:val="0"/>
    <w:pPr>
      <w:widowControl/>
      <w:spacing w:after="100" w:line="259" w:lineRule="auto"/>
      <w:jc w:val="left"/>
    </w:pPr>
    <w:rPr>
      <w:rFonts w:ascii="Calibri" w:hAnsi="Calibri"/>
      <w:sz w:val="22"/>
      <w:szCs w:val="22"/>
    </w:rPr>
  </w:style>
  <w:style w:type="paragraph" w:customStyle="1" w:styleId="50">
    <w:name w:val="Default"/>
    <w:next w:val="2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1">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52">
    <w:name w:val="无间隔1"/>
    <w:basedOn w:val="1"/>
    <w:qFormat/>
    <w:uiPriority w:val="1"/>
    <w:pPr>
      <w:spacing w:line="400" w:lineRule="exact"/>
    </w:pPr>
    <w:rPr>
      <w:sz w:val="24"/>
    </w:rPr>
  </w:style>
  <w:style w:type="paragraph" w:customStyle="1" w:styleId="53">
    <w:name w:val="BodyText1I2"/>
    <w:basedOn w:val="54"/>
    <w:qFormat/>
    <w:uiPriority w:val="0"/>
    <w:pPr>
      <w:ind w:firstLine="420" w:firstLineChars="200"/>
    </w:pPr>
    <w:rPr>
      <w:rFonts w:ascii="Calibri" w:hAnsi="Calibri" w:eastAsia="楷体_GB2312"/>
      <w:kern w:val="44"/>
      <w:sz w:val="44"/>
    </w:rPr>
  </w:style>
  <w:style w:type="paragraph" w:customStyle="1" w:styleId="54">
    <w:name w:val="BodyTextIndent"/>
    <w:basedOn w:val="1"/>
    <w:qFormat/>
    <w:uiPriority w:val="0"/>
    <w:pPr>
      <w:spacing w:after="120"/>
      <w:ind w:left="420" w:leftChars="200"/>
    </w:pPr>
    <w:rPr>
      <w:kern w:val="0"/>
      <w:sz w:val="20"/>
    </w:rPr>
  </w:style>
  <w:style w:type="paragraph" w:customStyle="1" w:styleId="55">
    <w:name w:val="UserStyle_136"/>
    <w:basedOn w:val="1"/>
    <w:qFormat/>
    <w:uiPriority w:val="0"/>
    <w:pPr>
      <w:spacing w:after="120" w:line="320" w:lineRule="atLeast"/>
      <w:ind w:firstLine="200" w:firstLineChars="200"/>
    </w:pPr>
    <w:rPr>
      <w:rFonts w:ascii="Arial" w:hAnsi="Arial"/>
      <w:kern w:val="0"/>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正文"/>
    <w:basedOn w:val="1"/>
    <w:next w:val="1"/>
    <w:qFormat/>
    <w:uiPriority w:val="0"/>
    <w:pPr>
      <w:ind w:firstLine="482"/>
    </w:pPr>
    <w:rPr>
      <w:rFonts w:ascii="微软雅黑" w:hAnsi="微软雅黑" w:eastAsia="微软雅黑"/>
      <w:szCs w:val="32"/>
    </w:rPr>
  </w:style>
  <w:style w:type="paragraph" w:customStyle="1" w:styleId="5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列表段落1"/>
    <w:basedOn w:val="1"/>
    <w:qFormat/>
    <w:uiPriority w:val="34"/>
    <w:pPr>
      <w:ind w:firstLine="420" w:firstLineChars="200"/>
    </w:pPr>
    <w:rPr>
      <w:rFonts w:ascii="Calibri" w:hAnsi="Calibri"/>
      <w:szCs w:val="22"/>
    </w:rPr>
  </w:style>
  <w:style w:type="paragraph" w:customStyle="1" w:styleId="60">
    <w:name w:val="JSFA 模板正文"/>
    <w:basedOn w:val="1"/>
    <w:qFormat/>
    <w:uiPriority w:val="0"/>
    <w:pPr>
      <w:spacing w:line="360" w:lineRule="auto"/>
      <w:ind w:firstLine="200" w:firstLineChars="200"/>
      <w:jc w:val="left"/>
    </w:pPr>
    <w:rPr>
      <w:sz w:val="24"/>
    </w:rPr>
  </w:style>
  <w:style w:type="paragraph" w:customStyle="1" w:styleId="61">
    <w:name w:val="Normal_51"/>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62">
    <w:name w:val="图"/>
    <w:basedOn w:val="1"/>
    <w:qFormat/>
    <w:uiPriority w:val="0"/>
    <w:pPr>
      <w:adjustRightInd w:val="0"/>
      <w:spacing w:before="60" w:after="60" w:line="300" w:lineRule="auto"/>
      <w:jc w:val="center"/>
      <w:textAlignment w:val="center"/>
    </w:pPr>
    <w:rPr>
      <w:snapToGrid w:val="0"/>
      <w:spacing w:val="20"/>
      <w:kern w:val="0"/>
      <w:sz w:val="24"/>
      <w:szCs w:val="20"/>
    </w:rPr>
  </w:style>
  <w:style w:type="paragraph" w:customStyle="1" w:styleId="6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标题3-1"/>
    <w:basedOn w:val="9"/>
    <w:qFormat/>
    <w:uiPriority w:val="0"/>
    <w:pPr>
      <w:numPr>
        <w:ilvl w:val="0"/>
        <w:numId w:val="2"/>
      </w:numPr>
      <w:tabs>
        <w:tab w:val="left" w:pos="425"/>
        <w:tab w:val="clear" w:pos="1260"/>
      </w:tabs>
    </w:pPr>
    <w:rPr>
      <w:sz w:val="24"/>
    </w:rPr>
  </w:style>
  <w:style w:type="paragraph" w:customStyle="1" w:styleId="65">
    <w:name w:val="Table Paragraph"/>
    <w:basedOn w:val="1"/>
    <w:qFormat/>
    <w:uiPriority w:val="1"/>
    <w:rPr>
      <w:rFonts w:ascii="Calibri Light" w:hAnsi="Calibri Light" w:eastAsia="Calibri Light" w:cs="Calibri Light"/>
      <w:lang w:val="zh-CN" w:bidi="zh-CN"/>
    </w:rPr>
  </w:style>
  <w:style w:type="paragraph" w:customStyle="1" w:styleId="66">
    <w:name w:val="正文文本_0"/>
    <w:basedOn w:val="4"/>
    <w:unhideWhenUsed/>
    <w:qFormat/>
    <w:uiPriority w:val="99"/>
    <w:pPr>
      <w:spacing w:after="120"/>
    </w:pPr>
    <w:rPr>
      <w:kern w:val="0"/>
      <w:sz w:val="20"/>
    </w:rPr>
  </w:style>
  <w:style w:type="paragraph" w:customStyle="1" w:styleId="67">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8">
    <w:name w:val="p12"/>
    <w:basedOn w:val="31"/>
    <w:qFormat/>
    <w:uiPriority w:val="0"/>
  </w:style>
  <w:style w:type="character" w:customStyle="1" w:styleId="69">
    <w:name w:val="hover18"/>
    <w:basedOn w:val="31"/>
    <w:qFormat/>
    <w:uiPriority w:val="0"/>
  </w:style>
  <w:style w:type="paragraph" w:customStyle="1" w:styleId="70">
    <w:name w:val="Body Text1"/>
    <w:basedOn w:val="1"/>
    <w:qFormat/>
    <w:uiPriority w:val="0"/>
    <w:pPr>
      <w:spacing w:after="120"/>
    </w:pPr>
  </w:style>
  <w:style w:type="paragraph" w:customStyle="1" w:styleId="71">
    <w:name w:val="BodyText1I"/>
    <w:basedOn w:val="72"/>
    <w:next w:val="1"/>
    <w:qFormat/>
    <w:uiPriority w:val="0"/>
    <w:pPr>
      <w:ind w:firstLine="420" w:firstLineChars="100"/>
    </w:pPr>
    <w:rPr>
      <w:sz w:val="21"/>
    </w:rPr>
  </w:style>
  <w:style w:type="paragraph" w:customStyle="1" w:styleId="72">
    <w:name w:val="BodyText"/>
    <w:basedOn w:val="1"/>
    <w:next w:val="73"/>
    <w:qFormat/>
    <w:uiPriority w:val="0"/>
    <w:pPr>
      <w:spacing w:line="360" w:lineRule="auto"/>
      <w:textAlignment w:val="baseline"/>
    </w:pPr>
    <w:rPr>
      <w:sz w:val="24"/>
    </w:rPr>
  </w:style>
  <w:style w:type="paragraph" w:customStyle="1" w:styleId="73">
    <w:name w:val="UserStyle_25"/>
    <w:basedOn w:val="74"/>
    <w:next w:val="75"/>
    <w:qFormat/>
    <w:uiPriority w:val="0"/>
    <w:pPr>
      <w:spacing w:before="100" w:beforeAutospacing="1" w:after="100" w:afterAutospacing="1"/>
      <w:jc w:val="left"/>
    </w:pPr>
    <w:rPr>
      <w:rFonts w:ascii="宋体" w:hAnsi="宋体"/>
      <w:kern w:val="0"/>
      <w:sz w:val="18"/>
      <w:szCs w:val="18"/>
    </w:rPr>
  </w:style>
  <w:style w:type="paragraph" w:customStyle="1" w:styleId="74">
    <w:name w:val="UserStyle_22"/>
    <w:next w:val="7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75">
    <w:name w:val="UserStyle_29"/>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6">
    <w:name w:val="Body text|1"/>
    <w:basedOn w:val="1"/>
    <w:qFormat/>
    <w:uiPriority w:val="0"/>
    <w:pPr>
      <w:spacing w:line="360" w:lineRule="auto"/>
      <w:ind w:firstLine="400"/>
    </w:pPr>
    <w:rPr>
      <w:rFonts w:ascii="MingLiU" w:hAnsi="MingLiU" w:eastAsia="MingLiU" w:cs="MingLiU"/>
      <w:sz w:val="19"/>
      <w:szCs w:val="19"/>
      <w:lang w:val="zh-TW" w:eastAsia="zh-TW" w:bidi="zh-TW"/>
    </w:rPr>
  </w:style>
  <w:style w:type="paragraph" w:styleId="77">
    <w:name w:val="List Paragraph"/>
    <w:basedOn w:val="1"/>
    <w:qFormat/>
    <w:uiPriority w:val="0"/>
    <w:pPr>
      <w:ind w:firstLine="420"/>
    </w:p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Table Text"/>
    <w:basedOn w:val="1"/>
    <w:semiHidden/>
    <w:qFormat/>
    <w:uiPriority w:val="0"/>
    <w:rPr>
      <w:rFonts w:ascii="宋体" w:hAnsi="宋体" w:eastAsia="宋体" w:cs="宋体"/>
      <w:sz w:val="24"/>
      <w:szCs w:val="24"/>
      <w:lang w:val="en-US" w:eastAsia="en-US" w:bidi="ar-SA"/>
    </w:rPr>
  </w:style>
  <w:style w:type="paragraph" w:customStyle="1" w:styleId="80">
    <w:name w:val="正文1121"/>
    <w:next w:val="81"/>
    <w:qFormat/>
    <w:uiPriority w:val="0"/>
    <w:pPr>
      <w:widowControl w:val="0"/>
      <w:jc w:val="both"/>
    </w:pPr>
    <w:rPr>
      <w:rFonts w:ascii="Calibri" w:hAnsi="Calibri" w:eastAsia="宋体" w:cs="Times New Roman"/>
      <w:sz w:val="21"/>
      <w:szCs w:val="24"/>
      <w:lang w:val="en-US" w:eastAsia="zh-CN" w:bidi="ar-SA"/>
    </w:rPr>
  </w:style>
  <w:style w:type="paragraph" w:customStyle="1" w:styleId="81">
    <w:name w:val="正文文本111"/>
    <w:basedOn w:val="80"/>
    <w:next w:val="80"/>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91.jpeg"/><Relationship Id="rId98" Type="http://schemas.openxmlformats.org/officeDocument/2006/relationships/image" Target="media/image90.jpeg"/><Relationship Id="rId97" Type="http://schemas.openxmlformats.org/officeDocument/2006/relationships/image" Target="media/image89.jpeg"/><Relationship Id="rId96" Type="http://schemas.openxmlformats.org/officeDocument/2006/relationships/image" Target="media/image88.jpeg"/><Relationship Id="rId95" Type="http://schemas.openxmlformats.org/officeDocument/2006/relationships/image" Target="media/image87.jpeg"/><Relationship Id="rId94" Type="http://schemas.openxmlformats.org/officeDocument/2006/relationships/image" Target="media/image86.jpeg"/><Relationship Id="rId93" Type="http://schemas.openxmlformats.org/officeDocument/2006/relationships/image" Target="media/image85.png"/><Relationship Id="rId92" Type="http://schemas.openxmlformats.org/officeDocument/2006/relationships/image" Target="media/image84.jpeg"/><Relationship Id="rId91" Type="http://schemas.openxmlformats.org/officeDocument/2006/relationships/image" Target="media/image83.jpeg"/><Relationship Id="rId90" Type="http://schemas.openxmlformats.org/officeDocument/2006/relationships/image" Target="media/image82.png"/><Relationship Id="rId9" Type="http://schemas.openxmlformats.org/officeDocument/2006/relationships/image" Target="media/image1.png"/><Relationship Id="rId89" Type="http://schemas.openxmlformats.org/officeDocument/2006/relationships/image" Target="media/image81.jpeg"/><Relationship Id="rId88" Type="http://schemas.openxmlformats.org/officeDocument/2006/relationships/image" Target="media/image80.jpeg"/><Relationship Id="rId87" Type="http://schemas.openxmlformats.org/officeDocument/2006/relationships/image" Target="media/image79.jpeg"/><Relationship Id="rId86" Type="http://schemas.openxmlformats.org/officeDocument/2006/relationships/image" Target="media/image78.jpeg"/><Relationship Id="rId85" Type="http://schemas.openxmlformats.org/officeDocument/2006/relationships/image" Target="media/image77.png"/><Relationship Id="rId84" Type="http://schemas.openxmlformats.org/officeDocument/2006/relationships/image" Target="media/image76.png"/><Relationship Id="rId83" Type="http://schemas.openxmlformats.org/officeDocument/2006/relationships/image" Target="media/image75.jpeg"/><Relationship Id="rId82" Type="http://schemas.openxmlformats.org/officeDocument/2006/relationships/image" Target="media/image74.jpeg"/><Relationship Id="rId81" Type="http://schemas.openxmlformats.org/officeDocument/2006/relationships/image" Target="media/image73.png"/><Relationship Id="rId80" Type="http://schemas.openxmlformats.org/officeDocument/2006/relationships/image" Target="media/image72.jpe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jpeg"/><Relationship Id="rId74" Type="http://schemas.openxmlformats.org/officeDocument/2006/relationships/image" Target="media/image66.jpe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jpeg"/><Relationship Id="rId70" Type="http://schemas.openxmlformats.org/officeDocument/2006/relationships/image" Target="media/image62.jpeg"/><Relationship Id="rId7" Type="http://schemas.openxmlformats.org/officeDocument/2006/relationships/header" Target="header3.xml"/><Relationship Id="rId69" Type="http://schemas.openxmlformats.org/officeDocument/2006/relationships/image" Target="media/image61.jpeg"/><Relationship Id="rId68" Type="http://schemas.openxmlformats.org/officeDocument/2006/relationships/image" Target="media/image60.jpeg"/><Relationship Id="rId67" Type="http://schemas.openxmlformats.org/officeDocument/2006/relationships/image" Target="media/image59.jpeg"/><Relationship Id="rId66" Type="http://schemas.openxmlformats.org/officeDocument/2006/relationships/image" Target="media/image58.jpeg"/><Relationship Id="rId65" Type="http://schemas.openxmlformats.org/officeDocument/2006/relationships/image" Target="media/image57.jpeg"/><Relationship Id="rId64" Type="http://schemas.openxmlformats.org/officeDocument/2006/relationships/image" Target="media/image56.jpeg"/><Relationship Id="rId63" Type="http://schemas.openxmlformats.org/officeDocument/2006/relationships/image" Target="media/image55.jpeg"/><Relationship Id="rId62" Type="http://schemas.openxmlformats.org/officeDocument/2006/relationships/image" Target="media/image54.png"/><Relationship Id="rId61" Type="http://schemas.openxmlformats.org/officeDocument/2006/relationships/image" Target="media/image53.jpeg"/><Relationship Id="rId60" Type="http://schemas.openxmlformats.org/officeDocument/2006/relationships/image" Target="media/image52.png"/><Relationship Id="rId6" Type="http://schemas.openxmlformats.org/officeDocument/2006/relationships/footer" Target="footer2.xml"/><Relationship Id="rId59" Type="http://schemas.openxmlformats.org/officeDocument/2006/relationships/image" Target="media/image51.jpeg"/><Relationship Id="rId58" Type="http://schemas.openxmlformats.org/officeDocument/2006/relationships/image" Target="media/image50.png"/><Relationship Id="rId57" Type="http://schemas.openxmlformats.org/officeDocument/2006/relationships/image" Target="media/image49.jpeg"/><Relationship Id="rId56" Type="http://schemas.openxmlformats.org/officeDocument/2006/relationships/image" Target="media/image48.jpeg"/><Relationship Id="rId55" Type="http://schemas.openxmlformats.org/officeDocument/2006/relationships/image" Target="media/image47.jpeg"/><Relationship Id="rId54" Type="http://schemas.openxmlformats.org/officeDocument/2006/relationships/image" Target="media/image46.jpeg"/><Relationship Id="rId53" Type="http://schemas.openxmlformats.org/officeDocument/2006/relationships/image" Target="media/image45.png"/><Relationship Id="rId52" Type="http://schemas.openxmlformats.org/officeDocument/2006/relationships/image" Target="media/image44.jpe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1.xml"/><Relationship Id="rId49" Type="http://schemas.openxmlformats.org/officeDocument/2006/relationships/image" Target="media/image41.jpe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jpeg"/><Relationship Id="rId45" Type="http://schemas.openxmlformats.org/officeDocument/2006/relationships/image" Target="media/image37.png"/><Relationship Id="rId44" Type="http://schemas.openxmlformats.org/officeDocument/2006/relationships/image" Target="media/image36.jpeg"/><Relationship Id="rId43" Type="http://schemas.openxmlformats.org/officeDocument/2006/relationships/image" Target="media/image35.jpe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jpeg"/><Relationship Id="rId4" Type="http://schemas.openxmlformats.org/officeDocument/2006/relationships/header" Target="header2.xml"/><Relationship Id="rId39" Type="http://schemas.openxmlformats.org/officeDocument/2006/relationships/image" Target="media/image31.jpeg"/><Relationship Id="rId38" Type="http://schemas.openxmlformats.org/officeDocument/2006/relationships/image" Target="media/image30.png"/><Relationship Id="rId37" Type="http://schemas.openxmlformats.org/officeDocument/2006/relationships/image" Target="media/image29.jpeg"/><Relationship Id="rId36" Type="http://schemas.openxmlformats.org/officeDocument/2006/relationships/image" Target="media/image28.jpeg"/><Relationship Id="rId35" Type="http://schemas.openxmlformats.org/officeDocument/2006/relationships/image" Target="media/image27.jpeg"/><Relationship Id="rId34" Type="http://schemas.openxmlformats.org/officeDocument/2006/relationships/image" Target="media/image26.jpeg"/><Relationship Id="rId33" Type="http://schemas.openxmlformats.org/officeDocument/2006/relationships/image" Target="media/image25.jpe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jpe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46401</Words>
  <Characters>50059</Characters>
  <Lines>241</Lines>
  <Paragraphs>67</Paragraphs>
  <TotalTime>211</TotalTime>
  <ScaleCrop>false</ScaleCrop>
  <LinksUpToDate>false</LinksUpToDate>
  <CharactersWithSpaces>51869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综合办</cp:lastModifiedBy>
  <cp:lastPrinted>2024-12-25T08:14:00Z</cp:lastPrinted>
  <dcterms:modified xsi:type="dcterms:W3CDTF">2025-01-15T06:22:46Z</dcterms:modified>
  <dc:title>信阳市浉河三期水环境综合治理工程PPP项目工程造价全过程跟踪服务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441B7498C5174DF8AA0067C56F161BCA_13</vt:lpwstr>
  </property>
</Properties>
</file>