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8DD0E">
      <w:pPr>
        <w:pStyle w:val="42"/>
        <w:widowControl/>
        <w:numPr>
          <w:ilvl w:val="0"/>
          <w:numId w:val="0"/>
        </w:numPr>
        <w:shd w:val="clear" w:color="auto" w:fill="FFFFFF"/>
        <w:spacing w:line="440" w:lineRule="exact"/>
        <w:jc w:val="center"/>
        <w:rPr>
          <w:rFonts w:hint="eastAsia" w:ascii="黑体" w:hAnsi="黑体" w:eastAsia="黑体" w:cs="宋体"/>
          <w:b/>
          <w:color w:val="000000"/>
          <w:kern w:val="2"/>
          <w:sz w:val="44"/>
          <w:szCs w:val="44"/>
          <w:lang w:val="en-US" w:eastAsia="zh-CN" w:bidi="ar-SA"/>
        </w:rPr>
      </w:pPr>
      <w:bookmarkStart w:id="12" w:name="_GoBack"/>
      <w:bookmarkEnd w:id="12"/>
      <w:r>
        <w:rPr>
          <w:rFonts w:hint="eastAsia" w:ascii="黑体" w:hAnsi="黑体" w:eastAsia="黑体" w:cs="宋体"/>
          <w:b/>
          <w:color w:val="000000"/>
          <w:kern w:val="2"/>
          <w:sz w:val="44"/>
          <w:szCs w:val="44"/>
          <w:lang w:val="en-US" w:eastAsia="zh-CN" w:bidi="ar-SA"/>
        </w:rPr>
        <w:t>禹州市规划展览馆物业管理服务费项目</w:t>
      </w:r>
    </w:p>
    <w:p w14:paraId="0B3A2637">
      <w:pPr>
        <w:widowControl/>
        <w:shd w:val="clear" w:color="auto" w:fill="FFFFFF"/>
        <w:spacing w:line="560" w:lineRule="exact"/>
        <w:jc w:val="center"/>
        <w:rPr>
          <w:rFonts w:ascii="方正小标宋简体" w:hAnsi="方正小标宋简体" w:eastAsia="方正小标宋简体" w:cs="DFKai-SB"/>
          <w:b/>
          <w:bCs/>
          <w:kern w:val="0"/>
          <w:sz w:val="44"/>
          <w:szCs w:val="44"/>
        </w:rPr>
      </w:pPr>
      <w:r>
        <w:rPr>
          <w:rFonts w:hint="eastAsia" w:ascii="黑体" w:hAnsi="黑体" w:eastAsia="黑体" w:cs="宋体"/>
          <w:b/>
          <w:color w:val="000000"/>
          <w:sz w:val="44"/>
          <w:szCs w:val="44"/>
        </w:rPr>
        <w:t>（不见面开标）</w:t>
      </w:r>
    </w:p>
    <w:p w14:paraId="4854FCE2">
      <w:pPr>
        <w:rPr>
          <w:rFonts w:ascii="微软简隶书" w:eastAsia="微软简隶书"/>
          <w:color w:val="000000"/>
          <w:sz w:val="48"/>
          <w:szCs w:val="48"/>
        </w:rPr>
      </w:pPr>
    </w:p>
    <w:p w14:paraId="4137A405">
      <w:pPr>
        <w:rPr>
          <w:rFonts w:ascii="微软简隶书" w:eastAsia="微软简隶书"/>
          <w:color w:val="000000"/>
        </w:rPr>
      </w:pPr>
    </w:p>
    <w:p w14:paraId="6E17BB6C">
      <w:pPr>
        <w:rPr>
          <w:rFonts w:ascii="微软简隶书" w:eastAsia="微软简隶书"/>
          <w:color w:val="000000"/>
        </w:rPr>
      </w:pPr>
    </w:p>
    <w:p w14:paraId="2E374B9B">
      <w:pPr>
        <w:jc w:val="both"/>
        <w:rPr>
          <w:rFonts w:ascii="宋体" w:hAnsi="宋体" w:cs="宋体"/>
          <w:bCs/>
          <w:color w:val="000000"/>
          <w:w w:val="90"/>
          <w:sz w:val="120"/>
          <w:szCs w:val="120"/>
        </w:rPr>
      </w:pPr>
    </w:p>
    <w:p w14:paraId="00C78897">
      <w:pPr>
        <w:jc w:val="center"/>
        <w:rPr>
          <w:rFonts w:ascii="宋体" w:hAnsi="宋体" w:cs="宋体"/>
          <w:bCs/>
          <w:color w:val="000000"/>
          <w:w w:val="90"/>
          <w:sz w:val="120"/>
          <w:szCs w:val="120"/>
        </w:rPr>
      </w:pPr>
      <w:r>
        <w:rPr>
          <w:rFonts w:hint="eastAsia" w:ascii="宋体" w:hAnsi="宋体" w:cs="宋体"/>
          <w:bCs/>
          <w:color w:val="000000"/>
          <w:w w:val="90"/>
          <w:sz w:val="120"/>
          <w:szCs w:val="120"/>
        </w:rPr>
        <w:t>招　标　文　件</w:t>
      </w:r>
    </w:p>
    <w:p w14:paraId="67833786">
      <w:pPr>
        <w:rPr>
          <w:rFonts w:ascii="微软简隶书" w:eastAsia="微软简隶书"/>
          <w:color w:val="000000"/>
        </w:rPr>
      </w:pPr>
    </w:p>
    <w:p w14:paraId="392D9CFF">
      <w:pPr>
        <w:rPr>
          <w:rFonts w:ascii="微软简隶书" w:eastAsia="微软简隶书"/>
          <w:color w:val="000000"/>
        </w:rPr>
      </w:pPr>
    </w:p>
    <w:p w14:paraId="707B63BC">
      <w:pPr>
        <w:rPr>
          <w:rFonts w:ascii="微软简隶书" w:eastAsia="微软简隶书"/>
          <w:color w:val="000000"/>
        </w:rPr>
      </w:pPr>
    </w:p>
    <w:p w14:paraId="7A65FCF5">
      <w:pPr>
        <w:rPr>
          <w:rFonts w:ascii="微软简隶书" w:eastAsia="微软简隶书"/>
          <w:color w:val="000000"/>
        </w:rPr>
      </w:pPr>
    </w:p>
    <w:p w14:paraId="279F3C6C">
      <w:pPr>
        <w:rPr>
          <w:rFonts w:ascii="微软简隶书" w:eastAsia="微软简隶书"/>
          <w:color w:val="000000"/>
        </w:rPr>
      </w:pPr>
    </w:p>
    <w:p w14:paraId="43B27F95">
      <w:pPr>
        <w:rPr>
          <w:rFonts w:ascii="微软简隶书" w:eastAsia="微软简隶书"/>
          <w:color w:val="000000"/>
        </w:rPr>
      </w:pPr>
    </w:p>
    <w:p w14:paraId="052D0D9B">
      <w:pPr>
        <w:rPr>
          <w:rFonts w:ascii="微软简隶书" w:eastAsia="微软简隶书"/>
          <w:color w:val="000000"/>
        </w:rPr>
      </w:pPr>
    </w:p>
    <w:p w14:paraId="1FACC438">
      <w:pPr>
        <w:ind w:firstLine="1084" w:firstLineChars="300"/>
        <w:rPr>
          <w:rFonts w:hint="default" w:ascii="宋体" w:hAnsi="宋体" w:cs="宋体"/>
          <w:b/>
          <w:bCs/>
          <w:color w:val="000000"/>
          <w:sz w:val="36"/>
          <w:szCs w:val="36"/>
          <w:lang w:val="en-US" w:eastAsia="zh-CN"/>
        </w:rPr>
      </w:pPr>
      <w:r>
        <w:rPr>
          <w:rFonts w:hint="eastAsia" w:ascii="宋体" w:hAnsi="宋体" w:cs="宋体"/>
          <w:b/>
          <w:bCs/>
          <w:color w:val="000000"/>
          <w:sz w:val="36"/>
          <w:szCs w:val="36"/>
        </w:rPr>
        <w:t>采购编号： YZCG-G202</w:t>
      </w:r>
      <w:r>
        <w:rPr>
          <w:rFonts w:hint="eastAsia" w:ascii="宋体" w:hAnsi="宋体" w:cs="宋体"/>
          <w:b/>
          <w:bCs/>
          <w:color w:val="000000"/>
          <w:sz w:val="36"/>
          <w:szCs w:val="36"/>
          <w:lang w:val="en-US" w:eastAsia="zh-CN"/>
        </w:rPr>
        <w:t>5012</w:t>
      </w:r>
    </w:p>
    <w:p w14:paraId="7F90E722">
      <w:pPr>
        <w:ind w:firstLine="1084" w:firstLineChars="300"/>
        <w:rPr>
          <w:rFonts w:hint="eastAsia" w:ascii="宋体" w:hAnsi="宋体" w:cs="宋体"/>
          <w:b/>
          <w:bCs/>
          <w:color w:val="000000"/>
          <w:sz w:val="36"/>
          <w:szCs w:val="36"/>
          <w:lang w:val="en-US" w:eastAsia="zh-CN"/>
        </w:rPr>
      </w:pPr>
      <w:r>
        <w:rPr>
          <w:rFonts w:hint="eastAsia" w:ascii="宋体" w:hAnsi="宋体" w:cs="宋体"/>
          <w:b/>
          <w:bCs/>
          <w:color w:val="000000"/>
          <w:sz w:val="36"/>
          <w:szCs w:val="36"/>
        </w:rPr>
        <w:t>采购单位：禹州市</w:t>
      </w:r>
      <w:r>
        <w:rPr>
          <w:rFonts w:hint="eastAsia" w:ascii="宋体" w:hAnsi="宋体" w:cs="宋体"/>
          <w:b/>
          <w:bCs/>
          <w:color w:val="000000"/>
          <w:sz w:val="36"/>
          <w:szCs w:val="36"/>
          <w:lang w:val="en-US" w:eastAsia="zh-CN"/>
        </w:rPr>
        <w:t>规划展览馆</w:t>
      </w:r>
    </w:p>
    <w:p w14:paraId="03C628F6">
      <w:pPr>
        <w:ind w:firstLine="1084" w:firstLineChars="300"/>
        <w:rPr>
          <w:rFonts w:ascii="宋体" w:hAnsi="宋体" w:cs="宋体"/>
          <w:b/>
          <w:bCs/>
          <w:color w:val="000000"/>
          <w:sz w:val="36"/>
          <w:szCs w:val="36"/>
        </w:rPr>
      </w:pPr>
      <w:r>
        <w:rPr>
          <w:rFonts w:hint="eastAsia" w:ascii="宋体" w:hAnsi="宋体" w:cs="宋体"/>
          <w:b/>
          <w:bCs/>
          <w:color w:val="000000"/>
          <w:sz w:val="36"/>
          <w:szCs w:val="36"/>
        </w:rPr>
        <w:t>代理机构：禹州市政府采购中心</w:t>
      </w:r>
    </w:p>
    <w:p w14:paraId="26CFA1CF">
      <w:pPr>
        <w:jc w:val="both"/>
        <w:rPr>
          <w:rFonts w:ascii="宋体" w:hAnsi="宋体" w:cs="宋体"/>
          <w:b/>
          <w:bCs/>
          <w:color w:val="000000"/>
          <w:sz w:val="36"/>
          <w:szCs w:val="36"/>
        </w:rPr>
      </w:pPr>
    </w:p>
    <w:p w14:paraId="0B0E235E">
      <w:pPr>
        <w:jc w:val="center"/>
        <w:rPr>
          <w:rFonts w:ascii="宋体" w:hAnsi="宋体" w:cs="宋体"/>
          <w:b/>
          <w:bCs/>
          <w:color w:val="000000"/>
          <w:sz w:val="36"/>
          <w:szCs w:val="36"/>
        </w:rPr>
      </w:pPr>
      <w:r>
        <w:rPr>
          <w:rFonts w:hint="eastAsia" w:ascii="宋体" w:hAnsi="宋体" w:cs="宋体"/>
          <w:b/>
          <w:bCs/>
          <w:color w:val="000000"/>
          <w:sz w:val="36"/>
          <w:szCs w:val="36"/>
        </w:rPr>
        <w:t>二〇二</w:t>
      </w:r>
      <w:r>
        <w:rPr>
          <w:rFonts w:hint="eastAsia" w:ascii="宋体" w:hAnsi="宋体" w:cs="宋体"/>
          <w:b/>
          <w:bCs/>
          <w:color w:val="000000"/>
          <w:sz w:val="36"/>
          <w:szCs w:val="36"/>
          <w:lang w:val="en-US" w:eastAsia="zh-CN"/>
        </w:rPr>
        <w:t>五</w:t>
      </w:r>
      <w:r>
        <w:rPr>
          <w:rFonts w:hint="eastAsia" w:ascii="宋体" w:hAnsi="宋体" w:cs="宋体"/>
          <w:b/>
          <w:bCs/>
          <w:color w:val="000000"/>
          <w:sz w:val="36"/>
          <w:szCs w:val="36"/>
        </w:rPr>
        <w:t>年</w:t>
      </w:r>
      <w:r>
        <w:rPr>
          <w:rFonts w:hint="eastAsia" w:ascii="宋体" w:hAnsi="宋体" w:cs="宋体"/>
          <w:b/>
          <w:bCs/>
          <w:color w:val="000000"/>
          <w:sz w:val="36"/>
          <w:szCs w:val="36"/>
          <w:lang w:val="en-US" w:eastAsia="zh-CN"/>
        </w:rPr>
        <w:t>四</w:t>
      </w:r>
      <w:r>
        <w:rPr>
          <w:rFonts w:hint="eastAsia" w:ascii="宋体" w:hAnsi="宋体" w:cs="宋体"/>
          <w:b/>
          <w:bCs/>
          <w:color w:val="000000"/>
          <w:sz w:val="36"/>
          <w:szCs w:val="36"/>
        </w:rPr>
        <w:t>月</w:t>
      </w:r>
    </w:p>
    <w:p w14:paraId="7ADE3652">
      <w:pPr>
        <w:rPr>
          <w:rFonts w:ascii="微软简隶书" w:eastAsia="微软简隶书"/>
          <w:u w:val="single"/>
        </w:rPr>
      </w:pPr>
    </w:p>
    <w:p w14:paraId="0CABF245">
      <w:pPr>
        <w:rPr>
          <w:rFonts w:ascii="微软简隶书" w:eastAsia="微软简隶书"/>
          <w:u w:val="single"/>
        </w:rPr>
      </w:pPr>
    </w:p>
    <w:p w14:paraId="651D3C07">
      <w:pPr>
        <w:rPr>
          <w:rFonts w:ascii="微软简隶书" w:eastAsia="微软简隶书"/>
          <w:u w:val="single"/>
        </w:rPr>
      </w:pPr>
    </w:p>
    <w:p w14:paraId="6D1B9D53">
      <w:pPr>
        <w:rPr>
          <w:rFonts w:ascii="微软简隶书" w:eastAsia="微软简隶书"/>
          <w:u w:val="single"/>
        </w:rPr>
      </w:pPr>
    </w:p>
    <w:p w14:paraId="6549FEA0">
      <w:pPr>
        <w:rPr>
          <w:rFonts w:ascii="微软简隶书" w:eastAsia="微软简隶书"/>
          <w:u w:val="single"/>
        </w:rPr>
      </w:pPr>
    </w:p>
    <w:p w14:paraId="2B0B8F74">
      <w:pPr>
        <w:rPr>
          <w:rFonts w:ascii="微软简隶书" w:eastAsia="微软简隶书"/>
        </w:rPr>
      </w:pPr>
    </w:p>
    <w:p w14:paraId="26B198DA">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14:paraId="0BAE5362">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14:paraId="25AF09CD">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14:paraId="612D05A1">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14:paraId="42840FC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1A94A32E">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14:paraId="6FDD014E">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14:paraId="4DE75BB8">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14:paraId="38B4E550">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14:paraId="6D469DB3">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14:paraId="081EF656">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14:paraId="636687C7">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14:paraId="654DCD91">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14:paraId="60D87CFB">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14:paraId="2E4CE2A3">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390ED115">
      <w:pPr>
        <w:jc w:val="center"/>
        <w:rPr>
          <w:rFonts w:cs="宋体" w:asciiTheme="majorEastAsia" w:hAnsiTheme="majorEastAsia" w:eastAsiaTheme="majorEastAsia"/>
          <w:b/>
          <w:kern w:val="0"/>
          <w:sz w:val="32"/>
          <w:szCs w:val="32"/>
        </w:rPr>
      </w:pPr>
    </w:p>
    <w:p w14:paraId="2ACCD5E8">
      <w:pPr>
        <w:jc w:val="both"/>
        <w:rPr>
          <w:rFonts w:cs="宋体" w:asciiTheme="majorEastAsia" w:hAnsiTheme="majorEastAsia" w:eastAsiaTheme="majorEastAsia"/>
          <w:b/>
          <w:kern w:val="0"/>
          <w:sz w:val="32"/>
          <w:szCs w:val="32"/>
        </w:rPr>
      </w:pPr>
    </w:p>
    <w:p w14:paraId="4C43F9FB">
      <w:pPr>
        <w:pStyle w:val="23"/>
        <w:widowControl/>
        <w:numPr>
          <w:ilvl w:val="0"/>
          <w:numId w:val="0"/>
        </w:numPr>
        <w:shd w:val="clear" w:color="auto" w:fill="FFFFFF"/>
        <w:spacing w:line="360" w:lineRule="auto"/>
        <w:ind w:left="2715" w:leftChars="0"/>
        <w:contextualSpacing/>
        <w:jc w:val="left"/>
        <w:rPr>
          <w:rFonts w:hint="eastAsia" w:cs="宋体" w:asciiTheme="majorEastAsia" w:hAnsiTheme="majorEastAsia" w:eastAsiaTheme="majorEastAsia"/>
          <w:b/>
          <w:kern w:val="0"/>
          <w:sz w:val="32"/>
          <w:szCs w:val="32"/>
          <w:lang w:val="en-US" w:eastAsia="zh-CN"/>
        </w:rPr>
      </w:pPr>
    </w:p>
    <w:p w14:paraId="31FAB947">
      <w:pPr>
        <w:pStyle w:val="23"/>
        <w:widowControl/>
        <w:numPr>
          <w:ilvl w:val="0"/>
          <w:numId w:val="0"/>
        </w:numPr>
        <w:shd w:val="clear" w:color="auto" w:fill="FFFFFF"/>
        <w:spacing w:line="360" w:lineRule="auto"/>
        <w:ind w:left="2715" w:leftChars="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第一章  </w:t>
      </w:r>
      <w:r>
        <w:rPr>
          <w:rFonts w:hint="eastAsia" w:cs="宋体" w:asciiTheme="majorEastAsia" w:hAnsiTheme="majorEastAsia" w:eastAsiaTheme="majorEastAsia"/>
          <w:b/>
          <w:kern w:val="0"/>
          <w:sz w:val="32"/>
          <w:szCs w:val="32"/>
        </w:rPr>
        <w:t>投标邀请</w:t>
      </w:r>
    </w:p>
    <w:p w14:paraId="56A5D543">
      <w:pPr>
        <w:pStyle w:val="42"/>
        <w:widowControl/>
        <w:numPr>
          <w:ilvl w:val="0"/>
          <w:numId w:val="0"/>
        </w:numPr>
        <w:shd w:val="clear" w:color="auto" w:fill="FFFFFF"/>
        <w:spacing w:line="440" w:lineRule="exact"/>
        <w:jc w:val="left"/>
        <w:rPr>
          <w:rFonts w:hint="eastAsia" w:asciiTheme="minorEastAsia" w:hAnsiTheme="minorEastAsia" w:eastAsiaTheme="minorEastAsia" w:cstheme="minorEastAsia"/>
          <w:kern w:val="2"/>
          <w:sz w:val="21"/>
          <w:szCs w:val="21"/>
          <w:lang w:val="en-US" w:eastAsia="zh-CN" w:bidi="ar-SA"/>
        </w:rPr>
      </w:pPr>
    </w:p>
    <w:p w14:paraId="56AC299B">
      <w:pPr>
        <w:pStyle w:val="42"/>
        <w:widowControl/>
        <w:numPr>
          <w:ilvl w:val="0"/>
          <w:numId w:val="0"/>
        </w:numPr>
        <w:shd w:val="clear" w:color="auto" w:fill="FFFFFF"/>
        <w:spacing w:line="440" w:lineRule="exact"/>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禹州市政府采购中心受禹州市</w:t>
      </w:r>
      <w:r>
        <w:rPr>
          <w:rFonts w:hint="eastAsia" w:asciiTheme="minorEastAsia" w:hAnsiTheme="minorEastAsia" w:cstheme="minorEastAsia"/>
          <w:kern w:val="2"/>
          <w:sz w:val="21"/>
          <w:szCs w:val="21"/>
          <w:lang w:val="en-US" w:eastAsia="zh-CN" w:bidi="ar-SA"/>
        </w:rPr>
        <w:t>规划展览馆</w:t>
      </w:r>
      <w:r>
        <w:rPr>
          <w:rFonts w:hint="eastAsia" w:asciiTheme="minorEastAsia" w:hAnsiTheme="minorEastAsia" w:eastAsiaTheme="minorEastAsia" w:cstheme="minorEastAsia"/>
          <w:kern w:val="2"/>
          <w:sz w:val="21"/>
          <w:szCs w:val="21"/>
          <w:lang w:val="en-US" w:eastAsia="zh-CN" w:bidi="ar-SA"/>
        </w:rPr>
        <w:t>的委托，对“禹州市</w:t>
      </w:r>
      <w:r>
        <w:rPr>
          <w:rFonts w:hint="eastAsia" w:asciiTheme="minorEastAsia" w:hAnsiTheme="minorEastAsia" w:cstheme="minorEastAsia"/>
          <w:kern w:val="2"/>
          <w:sz w:val="21"/>
          <w:szCs w:val="21"/>
          <w:lang w:val="en-US" w:eastAsia="zh-CN" w:bidi="ar-SA"/>
        </w:rPr>
        <w:t>规划展览馆物业管理服务费</w:t>
      </w:r>
      <w:r>
        <w:rPr>
          <w:rFonts w:hint="eastAsia" w:asciiTheme="minorEastAsia" w:hAnsiTheme="minorEastAsia" w:eastAsiaTheme="minorEastAsia" w:cstheme="minorEastAsia"/>
          <w:kern w:val="2"/>
          <w:sz w:val="21"/>
          <w:szCs w:val="21"/>
          <w:lang w:val="en-US" w:eastAsia="zh-CN" w:bidi="ar-SA"/>
        </w:rPr>
        <w:t>项目 (不见面开标)”进行公开招标，现邀请符合本文件规定条件的供应商前来投标。</w:t>
      </w:r>
    </w:p>
    <w:p w14:paraId="7B25818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一、采购编号</w:t>
      </w:r>
      <w:r>
        <w:rPr>
          <w:rFonts w:hint="eastAsia" w:asciiTheme="minorEastAsia" w:hAnsiTheme="minorEastAsia" w:eastAsiaTheme="minorEastAsia" w:cstheme="minorEastAsia"/>
          <w:kern w:val="2"/>
          <w:sz w:val="21"/>
          <w:szCs w:val="21"/>
          <w:lang w:val="en-US" w:eastAsia="zh-CN" w:bidi="ar-SA"/>
        </w:rPr>
        <w:t>：YZCG-</w:t>
      </w:r>
      <w:r>
        <w:rPr>
          <w:rFonts w:hint="eastAsia" w:asciiTheme="minorEastAsia" w:hAnsiTheme="minorEastAsia" w:cstheme="minorEastAsia"/>
          <w:kern w:val="2"/>
          <w:sz w:val="21"/>
          <w:szCs w:val="21"/>
          <w:lang w:val="en-US" w:eastAsia="zh-CN" w:bidi="ar-SA"/>
        </w:rPr>
        <w:t>G</w:t>
      </w:r>
      <w:r>
        <w:rPr>
          <w:rFonts w:hint="eastAsia" w:asciiTheme="minorEastAsia" w:hAnsiTheme="minorEastAsia" w:eastAsiaTheme="minorEastAsia" w:cstheme="minorEastAsia"/>
          <w:kern w:val="2"/>
          <w:sz w:val="21"/>
          <w:szCs w:val="21"/>
          <w:lang w:val="en-US" w:eastAsia="zh-CN" w:bidi="ar-SA"/>
        </w:rPr>
        <w:t>20</w:t>
      </w:r>
      <w:r>
        <w:rPr>
          <w:rFonts w:hint="eastAsia" w:asciiTheme="minorEastAsia" w:hAnsiTheme="minorEastAsia" w:cstheme="minorEastAsia"/>
          <w:kern w:val="2"/>
          <w:sz w:val="21"/>
          <w:szCs w:val="21"/>
          <w:lang w:val="en-US" w:eastAsia="zh-CN" w:bidi="ar-SA"/>
        </w:rPr>
        <w:t>25012</w:t>
      </w:r>
    </w:p>
    <w:p w14:paraId="6BDA9900">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二、项目名称：</w:t>
      </w:r>
      <w:r>
        <w:rPr>
          <w:rFonts w:hint="eastAsia" w:asciiTheme="minorEastAsia" w:hAnsiTheme="minorEastAsia" w:eastAsiaTheme="minorEastAsia" w:cstheme="minorEastAsia"/>
          <w:kern w:val="2"/>
          <w:sz w:val="21"/>
          <w:szCs w:val="21"/>
          <w:lang w:val="en-US" w:eastAsia="zh-CN" w:bidi="ar-SA"/>
        </w:rPr>
        <w:t xml:space="preserve"> 禹州市</w:t>
      </w:r>
      <w:r>
        <w:rPr>
          <w:rFonts w:hint="eastAsia" w:asciiTheme="minorEastAsia" w:hAnsiTheme="minorEastAsia" w:cstheme="minorEastAsia"/>
          <w:kern w:val="2"/>
          <w:sz w:val="21"/>
          <w:szCs w:val="21"/>
          <w:lang w:val="en-US" w:eastAsia="zh-CN" w:bidi="ar-SA"/>
        </w:rPr>
        <w:t>规划展览馆物业管理服务费</w:t>
      </w:r>
      <w:r>
        <w:rPr>
          <w:rFonts w:hint="eastAsia" w:asciiTheme="minorEastAsia" w:hAnsiTheme="minorEastAsia" w:eastAsiaTheme="minorEastAsia" w:cstheme="minorEastAsia"/>
          <w:kern w:val="2"/>
          <w:sz w:val="21"/>
          <w:szCs w:val="21"/>
          <w:lang w:val="en-US" w:eastAsia="zh-CN" w:bidi="ar-SA"/>
        </w:rPr>
        <w:t>项目 (不见面开标)</w:t>
      </w:r>
    </w:p>
    <w:p w14:paraId="0C335B7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三、采购方式：</w:t>
      </w:r>
      <w:r>
        <w:rPr>
          <w:rFonts w:hint="eastAsia" w:asciiTheme="minorEastAsia" w:hAnsiTheme="minorEastAsia" w:eastAsiaTheme="minorEastAsia" w:cstheme="minorEastAsia"/>
          <w:kern w:val="2"/>
          <w:sz w:val="21"/>
          <w:szCs w:val="21"/>
          <w:lang w:val="en-US" w:eastAsia="zh-CN" w:bidi="ar-SA"/>
        </w:rPr>
        <w:t>公开招标</w:t>
      </w:r>
    </w:p>
    <w:p w14:paraId="24934BF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四、项目属性：</w:t>
      </w:r>
      <w:r>
        <w:rPr>
          <w:rFonts w:hint="eastAsia" w:asciiTheme="minorEastAsia" w:hAnsiTheme="minorEastAsia" w:eastAsiaTheme="minorEastAsia" w:cstheme="minorEastAsia"/>
          <w:kern w:val="2"/>
          <w:sz w:val="21"/>
          <w:szCs w:val="21"/>
          <w:lang w:val="en-US" w:eastAsia="zh-CN" w:bidi="ar-SA"/>
        </w:rPr>
        <w:t>服务</w:t>
      </w:r>
    </w:p>
    <w:p w14:paraId="1FC8F2D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五、项目基本情况：</w:t>
      </w:r>
    </w:p>
    <w:p w14:paraId="688FD8F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1、采购人： 禹州市</w:t>
      </w:r>
      <w:r>
        <w:rPr>
          <w:rFonts w:hint="eastAsia" w:asciiTheme="minorEastAsia" w:hAnsiTheme="minorEastAsia" w:cstheme="minorEastAsia"/>
          <w:kern w:val="2"/>
          <w:sz w:val="21"/>
          <w:szCs w:val="21"/>
          <w:lang w:val="en-US" w:eastAsia="zh-CN" w:bidi="ar-SA"/>
        </w:rPr>
        <w:t>规划展览馆</w:t>
      </w:r>
    </w:p>
    <w:p w14:paraId="5B1BC4A5">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2、项目主要内容、数量及要求：物业管理服务（详见招标文件）</w:t>
      </w:r>
    </w:p>
    <w:p w14:paraId="2B2CF77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3、预算金额：1555200.00元  </w:t>
      </w:r>
    </w:p>
    <w:p w14:paraId="6346D9D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4、最高限价：1555200.00元  </w:t>
      </w:r>
    </w:p>
    <w:p w14:paraId="04FDEAE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5</w:t>
      </w:r>
      <w:r>
        <w:rPr>
          <w:rFonts w:hint="eastAsia" w:asciiTheme="minorEastAsia" w:hAnsiTheme="minorEastAsia" w:eastAsiaTheme="minorEastAsia" w:cstheme="minorEastAsia"/>
          <w:kern w:val="2"/>
          <w:sz w:val="21"/>
          <w:szCs w:val="21"/>
          <w:lang w:val="en-US" w:eastAsia="zh-CN" w:bidi="ar-SA"/>
        </w:rPr>
        <w:t>、履约时间 ：签订合同后</w:t>
      </w:r>
      <w:r>
        <w:rPr>
          <w:rFonts w:hint="eastAsia" w:asciiTheme="minorEastAsia" w:hAnsiTheme="minorEastAsia" w:cstheme="minorEastAsia"/>
          <w:kern w:val="2"/>
          <w:sz w:val="21"/>
          <w:szCs w:val="21"/>
          <w:lang w:val="en-US" w:eastAsia="zh-CN" w:bidi="ar-SA"/>
        </w:rPr>
        <w:t>三年</w:t>
      </w:r>
      <w:r>
        <w:rPr>
          <w:rFonts w:hint="eastAsia" w:asciiTheme="minorEastAsia" w:hAnsiTheme="minorEastAsia" w:eastAsiaTheme="minorEastAsia" w:cstheme="minorEastAsia"/>
          <w:kern w:val="2"/>
          <w:sz w:val="21"/>
          <w:szCs w:val="21"/>
          <w:lang w:val="en-US" w:eastAsia="zh-CN" w:bidi="ar-SA"/>
        </w:rPr>
        <w:t>内完成</w:t>
      </w:r>
    </w:p>
    <w:p w14:paraId="5CEBAAA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6、履约地点：禹州市</w:t>
      </w:r>
      <w:r>
        <w:rPr>
          <w:rFonts w:hint="eastAsia" w:asciiTheme="minorEastAsia" w:hAnsiTheme="minorEastAsia" w:cstheme="minorEastAsia"/>
          <w:kern w:val="2"/>
          <w:sz w:val="21"/>
          <w:szCs w:val="21"/>
          <w:lang w:val="en-US" w:eastAsia="zh-CN" w:bidi="ar-SA"/>
        </w:rPr>
        <w:t>规划展览馆</w:t>
      </w:r>
    </w:p>
    <w:p w14:paraId="65CF337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7、分包：不允许</w:t>
      </w:r>
    </w:p>
    <w:p w14:paraId="455AAD2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8、是否面向中小企业采购：是</w:t>
      </w:r>
    </w:p>
    <w:p w14:paraId="0B3FBC4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六、申请人的资格要求：</w:t>
      </w:r>
    </w:p>
    <w:p w14:paraId="57602B3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1、满足《中华人民共和国政府采购法》第二十二条规定；</w:t>
      </w:r>
    </w:p>
    <w:p w14:paraId="3EE4C9D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 本项目落实节约能源、保护环境、扶持不发达地区和少数民族地区、促进中小企业、监狱企业发展等政府采购政策。</w:t>
      </w:r>
    </w:p>
    <w:p w14:paraId="75871E5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3、本项目的特定资格要求：无。</w:t>
      </w:r>
    </w:p>
    <w:p w14:paraId="2AE796A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七、招标文件的获取：</w:t>
      </w:r>
    </w:p>
    <w:p w14:paraId="2621FDE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即日起至投标截止时间，供应商使用 CA 数字证书或移动数字证书登录“全国公共资源交易平台（河南省·许昌市）”（下文所述“全国公共资源交易平台（河南省·许昌市）”的地址均为http://117.159.53.11:60632/）的“投标人”登录入口免费获取本项目采购文件。</w:t>
      </w:r>
    </w:p>
    <w:p w14:paraId="0529D23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八、投标文件的提交方式及注意事项：</w:t>
      </w:r>
    </w:p>
    <w:p w14:paraId="6F4E829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232B4E63">
      <w:pPr>
        <w:widowControl/>
        <w:shd w:val="clear" w:color="auto" w:fill="FFFFFF"/>
        <w:spacing w:line="440" w:lineRule="exact"/>
        <w:ind w:firstLine="422" w:firstLineChars="200"/>
        <w:jc w:val="left"/>
        <w:rPr>
          <w:rFonts w:hint="default"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九、投标文件提交截止时间及开标时间</w:t>
      </w:r>
      <w:r>
        <w:rPr>
          <w:rFonts w:hint="eastAsia" w:asciiTheme="minorEastAsia" w:hAnsiTheme="minorEastAsia" w:cstheme="minorEastAsia"/>
          <w:b/>
          <w:bCs/>
          <w:kern w:val="2"/>
          <w:sz w:val="21"/>
          <w:szCs w:val="21"/>
          <w:lang w:val="en-US" w:eastAsia="zh-CN" w:bidi="ar-SA"/>
        </w:rPr>
        <w:t>、地点：</w:t>
      </w:r>
    </w:p>
    <w:p w14:paraId="0DC909F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1、投标文件提交截止时间及开标时间： 2025年4月28日8 时30分（北京时间），逾期提交或不符合规定的投标文件不予接受。</w:t>
      </w:r>
    </w:p>
    <w:p w14:paraId="14E4597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2、投标文件开启时间：同投标文件提交截止时间。</w:t>
      </w:r>
    </w:p>
    <w:p w14:paraId="4F021CC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3、投标文件开启地点：禹州市公共资源交易中心九楼第二开标室。（本项目采用远程不见面开标方式，投标人无须到现场）。</w:t>
      </w:r>
    </w:p>
    <w:p w14:paraId="2E06C29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十、开标注意事项：</w:t>
      </w:r>
    </w:p>
    <w:p w14:paraId="4A70C64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系统规定时间内对电子投标文件进行远程解密，未在规定时间内解密或因供应商原因解密失败的，其投标文件将被拒绝。</w:t>
      </w:r>
    </w:p>
    <w:p w14:paraId="252BA69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十一、本次采购公告同时在《中国政府采购网》《河南省政府采购网》《许昌市政府采购网》《全国公共资源交易平台（河南省·许昌市）》发布。</w:t>
      </w:r>
    </w:p>
    <w:p w14:paraId="4BB0F2F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十二、联系方式：</w:t>
      </w:r>
    </w:p>
    <w:p w14:paraId="29D9388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w:t>
      </w:r>
      <w:r>
        <w:rPr>
          <w:rFonts w:hint="eastAsia" w:asciiTheme="minorEastAsia" w:hAnsiTheme="minorEastAsia" w:cstheme="minorEastAsia"/>
          <w:kern w:val="2"/>
          <w:sz w:val="21"/>
          <w:szCs w:val="21"/>
          <w:lang w:val="en-US" w:eastAsia="zh-CN" w:bidi="ar-SA"/>
        </w:rPr>
        <w:t>规划展览馆</w:t>
      </w:r>
    </w:p>
    <w:p w14:paraId="78DB029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地址：禹州市阳翟大道156号</w:t>
      </w:r>
    </w:p>
    <w:p w14:paraId="190F9BBB">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840" w:firstLineChars="4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 xml:space="preserve">徐先生  </w:t>
      </w:r>
      <w:r>
        <w:rPr>
          <w:rFonts w:hint="eastAsia" w:asciiTheme="minorEastAsia" w:hAnsiTheme="minorEastAsia" w:eastAsiaTheme="minorEastAsia" w:cstheme="minorEastAsia"/>
          <w:color w:val="000000"/>
          <w:szCs w:val="21"/>
          <w:shd w:val="clear" w:color="auto" w:fill="FFFFFF"/>
        </w:rPr>
        <w:t xml:space="preserve"> 联系电话：</w:t>
      </w:r>
      <w:r>
        <w:rPr>
          <w:rFonts w:hint="eastAsia" w:asciiTheme="minorEastAsia" w:hAnsiTheme="minorEastAsia" w:cstheme="minorEastAsia"/>
          <w:color w:val="000000"/>
          <w:szCs w:val="21"/>
          <w:shd w:val="clear" w:color="auto" w:fill="FFFFFF"/>
          <w:lang w:val="en-US" w:eastAsia="zh-CN"/>
        </w:rPr>
        <w:t>0374-2078079</w:t>
      </w:r>
    </w:p>
    <w:p w14:paraId="3BF059E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集中采购机构：禹州市政府采购中心 </w:t>
      </w:r>
    </w:p>
    <w:p w14:paraId="66195AF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地址：禹州市行政服务中心楼8楼820室</w:t>
      </w:r>
    </w:p>
    <w:p w14:paraId="5FC8131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 方女士   联系电话：0374-2077111</w:t>
      </w:r>
    </w:p>
    <w:p w14:paraId="7353DEA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监督单位：禹州市政府采购监督管理办公室</w:t>
      </w:r>
    </w:p>
    <w:p w14:paraId="3079C6D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联系人：赵先生   联系电话：0374-8112523</w:t>
      </w:r>
    </w:p>
    <w:p w14:paraId="15516A4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p>
    <w:p w14:paraId="5F8D74B8">
      <w:pPr>
        <w:spacing w:line="360" w:lineRule="auto"/>
        <w:rPr>
          <w:rFonts w:hint="eastAsia" w:asciiTheme="minorEastAsia" w:hAnsiTheme="minorEastAsia" w:eastAsiaTheme="minorEastAsia" w:cstheme="minorEastAsia"/>
          <w:b/>
          <w:sz w:val="28"/>
          <w:szCs w:val="28"/>
        </w:rPr>
      </w:pPr>
    </w:p>
    <w:p w14:paraId="33FD574C">
      <w:pPr>
        <w:spacing w:line="360" w:lineRule="auto"/>
        <w:ind w:firstLine="562" w:firstLineChars="200"/>
        <w:rPr>
          <w:rFonts w:hAnsi="宋体"/>
          <w:b/>
          <w:sz w:val="28"/>
          <w:szCs w:val="28"/>
        </w:rPr>
      </w:pPr>
      <w:r>
        <w:rPr>
          <w:rFonts w:hint="eastAsia" w:hAnsi="宋体"/>
          <w:b/>
          <w:sz w:val="28"/>
          <w:szCs w:val="28"/>
        </w:rPr>
        <w:t>温馨提示：本项目为全流程电子化交易项目，请注意以下事项。</w:t>
      </w:r>
    </w:p>
    <w:p w14:paraId="490D1CCD">
      <w:pPr>
        <w:pStyle w:val="42"/>
        <w:numPr>
          <w:ilvl w:val="0"/>
          <w:numId w:val="0"/>
        </w:numPr>
        <w:tabs>
          <w:tab w:val="left" w:pos="7095"/>
        </w:tabs>
        <w:spacing w:line="360" w:lineRule="auto"/>
        <w:ind w:firstLine="420" w:firstLineChars="200"/>
        <w:contextualSpacing/>
        <w:rPr>
          <w:rFonts w:asciiTheme="minorEastAsia" w:hAnsiTheme="minorEastAsia"/>
          <w:b/>
        </w:rPr>
      </w:pPr>
      <w:r>
        <w:rPr>
          <w:rFonts w:hint="eastAsia" w:cs="Helvetica"/>
          <w:lang w:val="en-US" w:eastAsia="zh-CN"/>
        </w:rPr>
        <w:t>1.</w:t>
      </w:r>
      <w:r>
        <w:rPr>
          <w:rFonts w:hint="eastAsia" w:cs="Helvetica"/>
        </w:rPr>
        <w:t>供应商参加本项目投标，需提前自行联系CA服务机构办理数字认证证书并进行电子签章。</w:t>
      </w:r>
    </w:p>
    <w:p w14:paraId="64E8B20F">
      <w:pPr>
        <w:pStyle w:val="42"/>
        <w:numPr>
          <w:ilvl w:val="0"/>
          <w:numId w:val="0"/>
        </w:numPr>
        <w:tabs>
          <w:tab w:val="left" w:pos="7095"/>
        </w:tabs>
        <w:spacing w:line="360" w:lineRule="auto"/>
        <w:ind w:firstLine="420" w:firstLineChars="200"/>
        <w:contextualSpacing/>
        <w:rPr>
          <w:rFonts w:hAnsi="宋体"/>
        </w:rPr>
      </w:pPr>
      <w:r>
        <w:rPr>
          <w:rFonts w:hint="eastAsia" w:hAnsi="宋体"/>
          <w:lang w:val="en-US" w:eastAsia="zh-CN"/>
        </w:rPr>
        <w:t>2.</w:t>
      </w:r>
      <w:r>
        <w:rPr>
          <w:rFonts w:hint="eastAsia" w:hAnsi="宋体"/>
        </w:rPr>
        <w:t>招标文件下载、投标文件制作、提交、远程不见面开标（电子投标文件的解密）环节，投标人须使用同一个</w:t>
      </w:r>
      <w:r>
        <w:rPr>
          <w:rFonts w:hAnsi="宋体"/>
        </w:rPr>
        <w:t>CA数字证书</w:t>
      </w:r>
      <w:r>
        <w:rPr>
          <w:rFonts w:hint="eastAsia" w:hAnsi="宋体"/>
        </w:rPr>
        <w:t>（证书须在有效期内并可正常使用）</w:t>
      </w:r>
      <w:r>
        <w:rPr>
          <w:rFonts w:hAnsi="宋体"/>
        </w:rPr>
        <w:t>。</w:t>
      </w:r>
    </w:p>
    <w:p w14:paraId="60CC5BF9">
      <w:pPr>
        <w:pStyle w:val="42"/>
        <w:numPr>
          <w:ilvl w:val="0"/>
          <w:numId w:val="0"/>
        </w:numPr>
        <w:tabs>
          <w:tab w:val="left" w:pos="7095"/>
        </w:tabs>
        <w:spacing w:line="360" w:lineRule="auto"/>
        <w:ind w:left="420" w:leftChars="0"/>
        <w:contextualSpacing/>
        <w:rPr>
          <w:rFonts w:hAnsi="宋体"/>
          <w:b/>
        </w:rPr>
      </w:pPr>
      <w:r>
        <w:rPr>
          <w:rFonts w:hint="eastAsia" w:hAnsi="宋体"/>
          <w:b/>
          <w:lang w:val="en-US" w:eastAsia="zh-CN"/>
        </w:rPr>
        <w:t>3.</w:t>
      </w:r>
      <w:r>
        <w:rPr>
          <w:rFonts w:hint="eastAsia" w:hAnsi="宋体"/>
          <w:b/>
        </w:rPr>
        <w:t>电子投标文件的制作</w:t>
      </w:r>
    </w:p>
    <w:p w14:paraId="54618C4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3.1</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17A95A70">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Ansi="宋体"/>
          <w:b/>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3.2</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7D6B6DFE">
      <w:pPr>
        <w:pStyle w:val="42"/>
        <w:numPr>
          <w:ilvl w:val="0"/>
          <w:numId w:val="0"/>
        </w:numPr>
        <w:tabs>
          <w:tab w:val="left" w:pos="7095"/>
        </w:tabs>
        <w:spacing w:line="360" w:lineRule="auto"/>
        <w:ind w:firstLine="422" w:firstLineChars="200"/>
        <w:contextualSpacing/>
        <w:rPr>
          <w:rFonts w:hAnsi="宋体"/>
          <w:b/>
        </w:rPr>
      </w:pPr>
      <w:r>
        <w:rPr>
          <w:rFonts w:hint="eastAsia" w:asciiTheme="minorEastAsia" w:hAnsiTheme="minorEastAsia"/>
          <w:b/>
          <w:lang w:val="en-US" w:eastAsia="zh-CN"/>
        </w:rPr>
        <w:t>4.</w:t>
      </w:r>
      <w:r>
        <w:rPr>
          <w:rFonts w:hint="eastAsia" w:asciiTheme="minorEastAsia" w:hAnsiTheme="minorEastAsia"/>
          <w:b/>
        </w:rPr>
        <w:t>加密</w:t>
      </w:r>
      <w:r>
        <w:rPr>
          <w:rFonts w:hint="eastAsia" w:hAnsi="宋体"/>
          <w:b/>
        </w:rPr>
        <w:t>电子投标文件的提交</w:t>
      </w:r>
    </w:p>
    <w:p w14:paraId="24B58906">
      <w:pPr>
        <w:pStyle w:val="42"/>
        <w:numPr>
          <w:ilvl w:val="0"/>
          <w:numId w:val="0"/>
        </w:numPr>
        <w:tabs>
          <w:tab w:val="left" w:pos="7095"/>
        </w:tabs>
        <w:spacing w:line="360" w:lineRule="auto"/>
        <w:ind w:firstLine="420" w:firstLineChars="200"/>
        <w:contextualSpacing/>
        <w:rPr>
          <w:rFonts w:hAnsi="宋体"/>
        </w:rPr>
      </w:pPr>
      <w:r>
        <w:rPr>
          <w:rFonts w:hint="eastAsia" w:hAnsi="宋体"/>
          <w:lang w:val="en-US" w:eastAsia="zh-CN"/>
        </w:rPr>
        <w:t>4.1</w:t>
      </w:r>
      <w:r>
        <w:rPr>
          <w:rFonts w:hint="eastAsia" w:hAnsi="宋体"/>
        </w:rPr>
        <w:t>投标人对同一项目多个标段进行投标的，加密电子投标文件应按标段分别提交。</w:t>
      </w:r>
    </w:p>
    <w:p w14:paraId="5ED6C4F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46726741">
      <w:pPr>
        <w:pStyle w:val="42"/>
        <w:numPr>
          <w:ilvl w:val="0"/>
          <w:numId w:val="0"/>
        </w:numPr>
        <w:tabs>
          <w:tab w:val="left" w:pos="7095"/>
        </w:tabs>
        <w:spacing w:line="360" w:lineRule="auto"/>
        <w:ind w:left="420" w:leftChars="0"/>
        <w:contextualSpacing/>
        <w:rPr>
          <w:rFonts w:hAnsi="宋体"/>
          <w:b/>
        </w:rPr>
      </w:pPr>
      <w:r>
        <w:rPr>
          <w:rFonts w:hint="eastAsia" w:asciiTheme="minorEastAsia" w:hAnsiTheme="minorEastAsia"/>
          <w:b/>
          <w:lang w:val="en-US" w:eastAsia="zh-CN"/>
        </w:rPr>
        <w:t>5.</w:t>
      </w:r>
      <w:r>
        <w:rPr>
          <w:rFonts w:hint="eastAsia" w:asciiTheme="minorEastAsia" w:hAnsiTheme="minorEastAsia"/>
          <w:b/>
        </w:rPr>
        <w:t>远程不见面开标（</w:t>
      </w:r>
      <w:r>
        <w:rPr>
          <w:rFonts w:hint="eastAsia" w:hAnsi="宋体"/>
          <w:b/>
        </w:rPr>
        <w:t>电子投标文件的解密</w:t>
      </w:r>
      <w:r>
        <w:rPr>
          <w:rFonts w:hint="eastAsia" w:asciiTheme="minorEastAsia" w:hAnsiTheme="minorEastAsia"/>
          <w:b/>
        </w:rPr>
        <w:t>）</w:t>
      </w:r>
    </w:p>
    <w:p w14:paraId="28566F7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5.1</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4A176017">
      <w:pPr>
        <w:pStyle w:val="42"/>
        <w:numPr>
          <w:ilvl w:val="0"/>
          <w:numId w:val="0"/>
        </w:numPr>
        <w:tabs>
          <w:tab w:val="left" w:pos="7095"/>
        </w:tabs>
        <w:spacing w:line="360" w:lineRule="auto"/>
        <w:ind w:firstLine="420" w:firstLineChars="200"/>
        <w:contextualSpacing/>
        <w:jc w:val="left"/>
        <w:rPr>
          <w:rFonts w:hAnsi="宋体"/>
        </w:rPr>
      </w:pPr>
      <w:r>
        <w:rPr>
          <w:rFonts w:hint="eastAsia" w:asciiTheme="minorEastAsia" w:hAnsiTheme="minorEastAsia" w:cstheme="minorEastAsia"/>
          <w:b w:val="0"/>
          <w:bCs w:val="0"/>
          <w:i w:val="0"/>
          <w:iCs w:val="0"/>
          <w:color w:val="000000"/>
          <w:spacing w:val="0"/>
          <w:w w:val="100"/>
          <w:sz w:val="21"/>
          <w:szCs w:val="21"/>
          <w:vertAlign w:val="baseline"/>
          <w:lang w:val="en-US" w:eastAsia="zh-CN"/>
        </w:rPr>
        <w:t xml:space="preserve">5.2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w:t>
      </w:r>
      <w:r>
        <w:rPr>
          <w:rFonts w:hint="eastAsia" w:hAnsi="宋体"/>
        </w:rPr>
        <w:t>并于开标时间前登录本项目不见面开标大厅，按照规定的开标时间准时参加网上开标。</w:t>
      </w:r>
    </w:p>
    <w:p w14:paraId="6321E35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5.3</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r>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t>。</w:t>
      </w:r>
    </w:p>
    <w:p w14:paraId="50D031A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5.4</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59DAF6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在“开标结束”环节，供应商应在《开标情况记录表》上进行电子签章。供应商未签章的，视同认可开标结果。</w:t>
      </w:r>
    </w:p>
    <w:p w14:paraId="62ED2F9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供应商对开标过程和开标记录如有异议，可在本项目开标大厅界面右下方“发起异议”中提出提出异议。</w:t>
      </w:r>
    </w:p>
    <w:p w14:paraId="54B8EEF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pPr>
    </w:p>
    <w:p w14:paraId="23FD86D3">
      <w:pPr>
        <w:pStyle w:val="42"/>
        <w:numPr>
          <w:ilvl w:val="0"/>
          <w:numId w:val="0"/>
        </w:numPr>
        <w:tabs>
          <w:tab w:val="left" w:pos="7095"/>
        </w:tabs>
        <w:spacing w:line="360" w:lineRule="auto"/>
        <w:ind w:firstLine="422" w:firstLineChars="200"/>
        <w:contextualSpacing/>
        <w:rPr>
          <w:rFonts w:hAnsi="宋体"/>
          <w:b/>
        </w:rPr>
      </w:pPr>
      <w:r>
        <w:rPr>
          <w:rFonts w:hint="eastAsia" w:hAnsi="宋体"/>
          <w:b/>
          <w:lang w:val="en-US" w:eastAsia="zh-CN"/>
        </w:rPr>
        <w:t>6.</w:t>
      </w:r>
      <w:r>
        <w:rPr>
          <w:rFonts w:hint="eastAsia" w:hAnsi="宋体"/>
          <w:b/>
        </w:rPr>
        <w:t>评标依据</w:t>
      </w:r>
    </w:p>
    <w:p w14:paraId="695F76EC">
      <w:pPr>
        <w:pStyle w:val="42"/>
        <w:numPr>
          <w:ilvl w:val="0"/>
          <w:numId w:val="0"/>
        </w:numPr>
        <w:tabs>
          <w:tab w:val="left" w:pos="7095"/>
        </w:tabs>
        <w:spacing w:line="360" w:lineRule="auto"/>
        <w:ind w:firstLine="420" w:firstLineChars="200"/>
        <w:contextualSpacing/>
        <w:rPr>
          <w:rFonts w:hAnsi="宋体"/>
        </w:rPr>
      </w:pPr>
      <w:r>
        <w:rPr>
          <w:rFonts w:hint="eastAsia" w:hAnsi="宋体"/>
          <w:lang w:val="en-US" w:eastAsia="zh-CN"/>
        </w:rPr>
        <w:t>6.1</w:t>
      </w:r>
      <w:r>
        <w:rPr>
          <w:rFonts w:hint="eastAsia" w:hAnsi="宋体"/>
        </w:rPr>
        <w:t>全流程电子化交易（不见面开标）项目，评标委员会以成功上传、解密的电子投标文件为依据评审。</w:t>
      </w:r>
    </w:p>
    <w:p w14:paraId="02A1355B">
      <w:pPr>
        <w:pStyle w:val="42"/>
        <w:numPr>
          <w:ilvl w:val="0"/>
          <w:numId w:val="0"/>
        </w:numPr>
        <w:tabs>
          <w:tab w:val="left" w:pos="7095"/>
        </w:tabs>
        <w:spacing w:line="360" w:lineRule="auto"/>
        <w:ind w:firstLine="420" w:firstLineChars="200"/>
        <w:contextualSpacing/>
        <w:rPr>
          <w:rFonts w:hAnsi="宋体"/>
        </w:rPr>
      </w:pPr>
      <w:r>
        <w:rPr>
          <w:rFonts w:hint="eastAsia" w:hAnsi="宋体"/>
          <w:lang w:val="en-US" w:eastAsia="zh-CN"/>
        </w:rPr>
        <w:t>6.2</w:t>
      </w:r>
      <w:r>
        <w:rPr>
          <w:rFonts w:hint="eastAsia" w:hAnsi="宋体"/>
        </w:rPr>
        <w:t>评标期间，投标人应保持通讯手机畅通。评标委员会如要求投标人作出澄清、说明或者补正等，投标人应在评标委员会要求的评标期间合理的时间内通过电子邮件形式提供。</w:t>
      </w:r>
    </w:p>
    <w:p w14:paraId="0DC7CDF1">
      <w:pPr>
        <w:pStyle w:val="42"/>
        <w:numPr>
          <w:ilvl w:val="0"/>
          <w:numId w:val="0"/>
        </w:numPr>
        <w:tabs>
          <w:tab w:val="left" w:pos="7095"/>
        </w:tabs>
        <w:spacing w:line="360" w:lineRule="auto"/>
        <w:ind w:firstLine="420" w:firstLineChars="200"/>
        <w:contextualSpacing/>
        <w:rPr>
          <w:rFonts w:hAnsi="宋体"/>
        </w:rPr>
      </w:pPr>
      <w:r>
        <w:rPr>
          <w:rFonts w:hint="eastAsia" w:hAnsi="宋体"/>
          <w:lang w:val="en-US" w:eastAsia="zh-CN"/>
        </w:rPr>
        <w:t>6.3</w:t>
      </w:r>
      <w:r>
        <w:rPr>
          <w:rFonts w:hint="eastAsia" w:hAnsi="宋体"/>
        </w:rPr>
        <w:t>投标人通过电子邮件提供的书面说明或相关证明材料应加盖公章，或者由法定代表人或其授权的代表签字。</w:t>
      </w:r>
    </w:p>
    <w:p w14:paraId="402C92B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outlineLvl w:val="2"/>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7、相关事项</w:t>
      </w:r>
    </w:p>
    <w:p w14:paraId="31955F6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7.1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7F502B1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7.2 “全国公共资源交易平台（河南省·许昌市）”采购公告栏提供的招标文件仅供浏览。供应商下载招标文件应使用 CA 数字证书或移动数字证书从“全国公共资源交易平台（河南省·许昌市）”的“投标人”登录入口获取本项目招标文件。</w:t>
      </w:r>
    </w:p>
    <w:p w14:paraId="487B5C50">
      <w:pPr>
        <w:pStyle w:val="42"/>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color w:val="FF0000"/>
          <w:kern w:val="0"/>
          <w:sz w:val="32"/>
          <w:szCs w:val="32"/>
        </w:rPr>
      </w:pPr>
    </w:p>
    <w:p w14:paraId="29158FF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20" w:firstLineChars="200"/>
        <w:jc w:val="both"/>
        <w:textAlignment w:val="auto"/>
        <w:rPr>
          <w:rFonts w:hint="eastAsia" w:hAnsi="宋体" w:asciiTheme="minorHAnsi" w:eastAsiaTheme="minorEastAsia" w:cstheme="minorBidi"/>
          <w:kern w:val="2"/>
          <w:sz w:val="21"/>
          <w:szCs w:val="22"/>
          <w:lang w:val="en-US" w:eastAsia="zh-CN" w:bidi="ar-SA"/>
        </w:rPr>
      </w:pPr>
    </w:p>
    <w:p w14:paraId="78A63453">
      <w:pPr>
        <w:pStyle w:val="42"/>
        <w:numPr>
          <w:ilvl w:val="0"/>
          <w:numId w:val="0"/>
        </w:numPr>
        <w:tabs>
          <w:tab w:val="left" w:pos="7095"/>
        </w:tabs>
        <w:spacing w:line="360" w:lineRule="auto"/>
        <w:ind w:left="840" w:leftChars="0"/>
        <w:contextualSpacing/>
        <w:rPr>
          <w:rFonts w:hAnsi="宋体"/>
        </w:rPr>
      </w:pPr>
    </w:p>
    <w:p w14:paraId="12E5A14E">
      <w:pPr>
        <w:widowControl/>
        <w:jc w:val="left"/>
        <w:rPr>
          <w:rFonts w:hAnsi="宋体"/>
        </w:rPr>
      </w:pPr>
      <w:r>
        <w:rPr>
          <w:rFonts w:hAnsi="宋体"/>
        </w:rPr>
        <w:br w:type="page"/>
      </w:r>
    </w:p>
    <w:p w14:paraId="6BF0C0A9">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14:paraId="66B7DDE5">
      <w:pPr>
        <w:keepNext w:val="0"/>
        <w:keepLines w:val="0"/>
        <w:pageBreakBefore w:val="0"/>
        <w:widowControl/>
        <w:numPr>
          <w:ilvl w:val="0"/>
          <w:numId w:val="0"/>
        </w:numPr>
        <w:kinsoku/>
        <w:wordWrap/>
        <w:overflowPunct/>
        <w:topLinePunct w:val="0"/>
        <w:autoSpaceDE/>
        <w:autoSpaceDN/>
        <w:bidi w:val="0"/>
        <w:snapToGrid/>
        <w:spacing w:line="480" w:lineRule="exact"/>
        <w:ind w:firstLine="562" w:firstLineChars="200"/>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仿宋_GB2312" w:hAnsi="仿宋_GB2312" w:eastAsia="仿宋_GB2312" w:cs="仿宋_GB2312"/>
          <w:b/>
          <w:bCs/>
          <w:kern w:val="2"/>
          <w:sz w:val="28"/>
          <w:szCs w:val="28"/>
          <w:lang w:val="en-US" w:eastAsia="zh-CN" w:bidi="ar-SA"/>
        </w:rPr>
        <w:t>（一）本项目需实现的功能或者目标：</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禹州市规划展览馆是禹州市窗口单位，展馆的物业管理，能否管出最佳效果，能否实现“管理、服务、文明”三位一体化的物业管理，对禹州规划展览馆影响很大。</w:t>
      </w:r>
    </w:p>
    <w:p w14:paraId="1DE5C480">
      <w:pPr>
        <w:keepNext w:val="0"/>
        <w:keepLines w:val="0"/>
        <w:pageBreakBefore w:val="0"/>
        <w:widowControl/>
        <w:numPr>
          <w:ilvl w:val="0"/>
          <w:numId w:val="0"/>
        </w:numPr>
        <w:kinsoku/>
        <w:wordWrap/>
        <w:overflowPunct/>
        <w:topLinePunct w:val="0"/>
        <w:autoSpaceDE/>
        <w:autoSpaceDN/>
        <w:bidi w:val="0"/>
        <w:snapToGrid/>
        <w:spacing w:line="480" w:lineRule="exact"/>
        <w:ind w:firstLine="420" w:firstLineChars="200"/>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所有要求本着对展馆高度负责的精神，实现以下四项目标。</w:t>
      </w:r>
    </w:p>
    <w:p w14:paraId="628DA3A9">
      <w:pPr>
        <w:keepNext w:val="0"/>
        <w:keepLines w:val="0"/>
        <w:pageBreakBefore w:val="0"/>
        <w:widowControl/>
        <w:numPr>
          <w:ilvl w:val="0"/>
          <w:numId w:val="0"/>
        </w:numPr>
        <w:kinsoku/>
        <w:wordWrap/>
        <w:overflowPunct/>
        <w:topLinePunct w:val="0"/>
        <w:autoSpaceDE/>
        <w:autoSpaceDN/>
        <w:bidi w:val="0"/>
        <w:snapToGrid/>
        <w:spacing w:line="480" w:lineRule="exact"/>
        <w:ind w:firstLine="420" w:firstLineChars="200"/>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1.安全放心的环境。通过专业化的安全管理、规范化的安全服务、贯穿“以人为本”的服务思想</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，在禹州规划展览馆创造一个舒心、安心、顺心的参观环境。</w:t>
      </w:r>
    </w:p>
    <w:p w14:paraId="6BE4F55B">
      <w:pPr>
        <w:keepNext w:val="0"/>
        <w:keepLines w:val="0"/>
        <w:pageBreakBefore w:val="0"/>
        <w:widowControl/>
        <w:numPr>
          <w:ilvl w:val="0"/>
          <w:numId w:val="0"/>
        </w:numPr>
        <w:kinsoku/>
        <w:wordWrap/>
        <w:overflowPunct/>
        <w:topLinePunct w:val="0"/>
        <w:autoSpaceDE/>
        <w:autoSpaceDN/>
        <w:bidi w:val="0"/>
        <w:snapToGrid/>
        <w:spacing w:line="480" w:lineRule="exact"/>
        <w:ind w:firstLine="420" w:firstLineChars="200"/>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2.整洁有序的环境。按优质标准实施卫生保洁管理服务，做到展馆窗明几净，环境优美。</w:t>
      </w:r>
    </w:p>
    <w:p w14:paraId="39D7AFAE">
      <w:pPr>
        <w:keepNext w:val="0"/>
        <w:keepLines w:val="0"/>
        <w:pageBreakBefore w:val="0"/>
        <w:widowControl/>
        <w:numPr>
          <w:ilvl w:val="0"/>
          <w:numId w:val="0"/>
        </w:numPr>
        <w:kinsoku/>
        <w:wordWrap/>
        <w:overflowPunct/>
        <w:topLinePunct w:val="0"/>
        <w:autoSpaceDE/>
        <w:autoSpaceDN/>
        <w:bidi w:val="0"/>
        <w:snapToGrid/>
        <w:spacing w:line="480" w:lineRule="exact"/>
        <w:ind w:firstLine="420" w:firstLineChars="200"/>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3.严格落实秩序维护制度，使展馆秩序良好。</w:t>
      </w:r>
    </w:p>
    <w:p w14:paraId="61CDE172">
      <w:pPr>
        <w:keepNext w:val="0"/>
        <w:keepLines w:val="0"/>
        <w:pageBreakBefore w:val="0"/>
        <w:widowControl/>
        <w:numPr>
          <w:ilvl w:val="0"/>
          <w:numId w:val="0"/>
        </w:numPr>
        <w:kinsoku/>
        <w:wordWrap/>
        <w:overflowPunct/>
        <w:topLinePunct w:val="0"/>
        <w:autoSpaceDE/>
        <w:autoSpaceDN/>
        <w:bidi w:val="0"/>
        <w:snapToGrid/>
        <w:spacing w:line="480" w:lineRule="exact"/>
        <w:ind w:firstLine="420" w:firstLineChars="200"/>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4.托管物业达到地市级乃至省级规划馆服务要求。</w:t>
      </w:r>
    </w:p>
    <w:p w14:paraId="6BB60E4A">
      <w:pPr>
        <w:keepNext w:val="0"/>
        <w:keepLines w:val="0"/>
        <w:pageBreakBefore w:val="0"/>
        <w:widowControl/>
        <w:numPr>
          <w:ilvl w:val="0"/>
          <w:numId w:val="0"/>
        </w:numPr>
        <w:kinsoku/>
        <w:wordWrap/>
        <w:overflowPunct/>
        <w:topLinePunct w:val="0"/>
        <w:autoSpaceDE/>
        <w:autoSpaceDN/>
        <w:bidi w:val="0"/>
        <w:snapToGrid/>
        <w:spacing w:line="480" w:lineRule="exact"/>
        <w:ind w:firstLine="562" w:firstLineChars="200"/>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（二）采购清单</w:t>
      </w:r>
    </w:p>
    <w:p w14:paraId="51CFED65">
      <w:pPr>
        <w:keepNext w:val="0"/>
        <w:keepLines w:val="0"/>
        <w:pageBreakBefore w:val="0"/>
        <w:widowControl/>
        <w:numPr>
          <w:ilvl w:val="0"/>
          <w:numId w:val="0"/>
        </w:numPr>
        <w:kinsoku/>
        <w:wordWrap/>
        <w:overflowPunct/>
        <w:topLinePunct w:val="0"/>
        <w:autoSpaceDE/>
        <w:autoSpaceDN/>
        <w:bidi w:val="0"/>
        <w:snapToGrid/>
        <w:spacing w:line="480" w:lineRule="exact"/>
        <w:ind w:firstLine="420" w:firstLineChars="200"/>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1、管理服务区域范围及内容</w:t>
      </w:r>
    </w:p>
    <w:p w14:paraId="03CA9289">
      <w:pPr>
        <w:keepNext w:val="0"/>
        <w:keepLines w:val="0"/>
        <w:pageBreakBefore w:val="0"/>
        <w:widowControl/>
        <w:numPr>
          <w:ilvl w:val="0"/>
          <w:numId w:val="0"/>
        </w:numPr>
        <w:kinsoku/>
        <w:wordWrap/>
        <w:overflowPunct/>
        <w:topLinePunct w:val="0"/>
        <w:autoSpaceDE/>
        <w:autoSpaceDN/>
        <w:bidi w:val="0"/>
        <w:snapToGrid/>
        <w:spacing w:line="480" w:lineRule="exact"/>
        <w:ind w:firstLine="420" w:firstLineChars="200"/>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①展馆1-2层，包含办公室、配电间、设备间、卫生间及门前广场。</w:t>
      </w:r>
    </w:p>
    <w:p w14:paraId="054808FB">
      <w:pPr>
        <w:keepNext w:val="0"/>
        <w:keepLines w:val="0"/>
        <w:pageBreakBefore w:val="0"/>
        <w:widowControl/>
        <w:numPr>
          <w:ilvl w:val="0"/>
          <w:numId w:val="0"/>
        </w:numPr>
        <w:kinsoku/>
        <w:wordWrap/>
        <w:overflowPunct/>
        <w:topLinePunct w:val="0"/>
        <w:autoSpaceDE/>
        <w:autoSpaceDN/>
        <w:bidi w:val="0"/>
        <w:snapToGrid/>
        <w:spacing w:line="480" w:lineRule="exact"/>
        <w:ind w:firstLine="420" w:firstLineChars="200"/>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②固定资产：每层楼的LED显示屏、拼接屏、一体机、投影机、展示壁挂、物理沙盘、空调、办公桌、椅子等。</w:t>
      </w:r>
    </w:p>
    <w:p w14:paraId="3E5F3948">
      <w:pPr>
        <w:keepNext w:val="0"/>
        <w:keepLines w:val="0"/>
        <w:pageBreakBefore w:val="0"/>
        <w:widowControl/>
        <w:numPr>
          <w:ilvl w:val="0"/>
          <w:numId w:val="0"/>
        </w:numPr>
        <w:kinsoku/>
        <w:wordWrap/>
        <w:overflowPunct/>
        <w:topLinePunct w:val="0"/>
        <w:autoSpaceDE/>
        <w:autoSpaceDN/>
        <w:bidi w:val="0"/>
        <w:snapToGrid/>
        <w:spacing w:line="480" w:lineRule="exact"/>
        <w:ind w:firstLine="420" w:firstLineChars="200"/>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③管理服务内容：门口出入、安全、保洁、水电、消防等展馆的所有正常运转。</w:t>
      </w:r>
    </w:p>
    <w:p w14:paraId="69E0DAC4">
      <w:pPr>
        <w:keepNext w:val="0"/>
        <w:keepLines w:val="0"/>
        <w:pageBreakBefore w:val="0"/>
        <w:widowControl/>
        <w:numPr>
          <w:ilvl w:val="0"/>
          <w:numId w:val="0"/>
        </w:numPr>
        <w:kinsoku/>
        <w:wordWrap/>
        <w:overflowPunct/>
        <w:topLinePunct w:val="0"/>
        <w:autoSpaceDE/>
        <w:autoSpaceDN/>
        <w:bidi w:val="0"/>
        <w:snapToGrid/>
        <w:spacing w:line="48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物业管理指标</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3100"/>
        <w:gridCol w:w="2357"/>
        <w:gridCol w:w="2019"/>
      </w:tblGrid>
      <w:tr w14:paraId="39E6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noWrap w:val="0"/>
            <w:vAlign w:val="top"/>
          </w:tcPr>
          <w:p w14:paraId="2DE5E0D0">
            <w:pPr>
              <w:pStyle w:val="4"/>
              <w:numPr>
                <w:ilvl w:val="0"/>
                <w:numId w:val="0"/>
              </w:numPr>
              <w:ind w:right="357" w:rightChars="0"/>
              <w:jc w:val="center"/>
              <w:rPr>
                <w:rFonts w:hint="eastAsia"/>
                <w:vertAlign w:val="baseline"/>
                <w:lang w:val="en-US" w:eastAsia="zh-CN"/>
              </w:rPr>
            </w:pPr>
            <w:r>
              <w:rPr>
                <w:rFonts w:hint="eastAsia"/>
                <w:vertAlign w:val="baseline"/>
                <w:lang w:val="en-US" w:eastAsia="zh-CN"/>
              </w:rPr>
              <w:t>序号</w:t>
            </w:r>
          </w:p>
        </w:tc>
        <w:tc>
          <w:tcPr>
            <w:tcW w:w="3238" w:type="dxa"/>
            <w:noWrap w:val="0"/>
            <w:vAlign w:val="top"/>
          </w:tcPr>
          <w:p w14:paraId="61C9876F">
            <w:pPr>
              <w:pStyle w:val="4"/>
              <w:numPr>
                <w:ilvl w:val="0"/>
                <w:numId w:val="0"/>
              </w:numPr>
              <w:ind w:right="357" w:rightChars="0"/>
              <w:jc w:val="center"/>
              <w:rPr>
                <w:rFonts w:hint="eastAsia"/>
                <w:vertAlign w:val="baseline"/>
                <w:lang w:val="en-US" w:eastAsia="zh-CN"/>
              </w:rPr>
            </w:pPr>
            <w:r>
              <w:rPr>
                <w:rFonts w:hint="eastAsia"/>
                <w:vertAlign w:val="baseline"/>
                <w:lang w:val="en-US" w:eastAsia="zh-CN"/>
              </w:rPr>
              <w:t>指标体系</w:t>
            </w:r>
          </w:p>
        </w:tc>
        <w:tc>
          <w:tcPr>
            <w:tcW w:w="2435" w:type="dxa"/>
            <w:noWrap w:val="0"/>
            <w:vAlign w:val="top"/>
          </w:tcPr>
          <w:p w14:paraId="7607CB08">
            <w:pPr>
              <w:pStyle w:val="4"/>
              <w:numPr>
                <w:ilvl w:val="0"/>
                <w:numId w:val="0"/>
              </w:numPr>
              <w:ind w:right="357" w:rightChars="0"/>
              <w:jc w:val="center"/>
              <w:rPr>
                <w:rFonts w:hint="eastAsia"/>
                <w:vertAlign w:val="baseline"/>
                <w:lang w:val="en-US" w:eastAsia="zh-CN"/>
              </w:rPr>
            </w:pPr>
            <w:r>
              <w:rPr>
                <w:rFonts w:hint="eastAsia"/>
                <w:vertAlign w:val="baseline"/>
                <w:lang w:val="en-US" w:eastAsia="zh-CN"/>
              </w:rPr>
              <w:t>国家标准</w:t>
            </w:r>
          </w:p>
        </w:tc>
        <w:tc>
          <w:tcPr>
            <w:tcW w:w="2077" w:type="dxa"/>
            <w:noWrap w:val="0"/>
            <w:vAlign w:val="top"/>
          </w:tcPr>
          <w:p w14:paraId="2C2450DE">
            <w:pPr>
              <w:pStyle w:val="4"/>
              <w:numPr>
                <w:ilvl w:val="0"/>
                <w:numId w:val="0"/>
              </w:numPr>
              <w:ind w:right="357" w:rightChars="0"/>
              <w:jc w:val="center"/>
              <w:rPr>
                <w:rFonts w:hint="eastAsia"/>
                <w:vertAlign w:val="baseline"/>
                <w:lang w:val="en-US" w:eastAsia="zh-CN"/>
              </w:rPr>
            </w:pPr>
            <w:r>
              <w:rPr>
                <w:rFonts w:hint="eastAsia"/>
                <w:vertAlign w:val="baseline"/>
                <w:lang w:val="en-US" w:eastAsia="zh-CN"/>
              </w:rPr>
              <w:t>承诺标准</w:t>
            </w:r>
          </w:p>
        </w:tc>
      </w:tr>
      <w:tr w14:paraId="3F52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noWrap w:val="0"/>
            <w:vAlign w:val="top"/>
          </w:tcPr>
          <w:p w14:paraId="3E98656F">
            <w:pPr>
              <w:pStyle w:val="4"/>
              <w:numPr>
                <w:ilvl w:val="0"/>
                <w:numId w:val="0"/>
              </w:numPr>
              <w:ind w:right="357" w:rightChars="0"/>
              <w:jc w:val="center"/>
              <w:rPr>
                <w:rFonts w:hint="default"/>
                <w:vertAlign w:val="baseline"/>
                <w:lang w:val="en-US" w:eastAsia="zh-CN"/>
              </w:rPr>
            </w:pPr>
            <w:r>
              <w:rPr>
                <w:rFonts w:hint="eastAsia"/>
                <w:vertAlign w:val="baseline"/>
                <w:lang w:val="en-US" w:eastAsia="zh-CN"/>
              </w:rPr>
              <w:t>1</w:t>
            </w:r>
          </w:p>
        </w:tc>
        <w:tc>
          <w:tcPr>
            <w:tcW w:w="3238" w:type="dxa"/>
            <w:noWrap w:val="0"/>
            <w:vAlign w:val="top"/>
          </w:tcPr>
          <w:p w14:paraId="319E3420">
            <w:pPr>
              <w:pStyle w:val="4"/>
              <w:numPr>
                <w:ilvl w:val="0"/>
                <w:numId w:val="0"/>
              </w:numPr>
              <w:ind w:right="357" w:rightChars="0"/>
              <w:jc w:val="center"/>
              <w:rPr>
                <w:rFonts w:hint="eastAsia"/>
                <w:vertAlign w:val="baseline"/>
                <w:lang w:val="en-US" w:eastAsia="zh-CN"/>
              </w:rPr>
            </w:pPr>
            <w:r>
              <w:rPr>
                <w:rFonts w:hint="eastAsia"/>
                <w:vertAlign w:val="baseline"/>
                <w:lang w:val="en-US" w:eastAsia="zh-CN"/>
              </w:rPr>
              <w:t>展馆治安事件年发生率</w:t>
            </w:r>
          </w:p>
        </w:tc>
        <w:tc>
          <w:tcPr>
            <w:tcW w:w="2435" w:type="dxa"/>
            <w:noWrap w:val="0"/>
            <w:vAlign w:val="top"/>
          </w:tcPr>
          <w:p w14:paraId="4C36BAC6">
            <w:pPr>
              <w:pStyle w:val="4"/>
              <w:numPr>
                <w:ilvl w:val="0"/>
                <w:numId w:val="0"/>
              </w:numPr>
              <w:ind w:right="357" w:rightChars="0"/>
              <w:jc w:val="center"/>
              <w:rPr>
                <w:rFonts w:hint="default"/>
                <w:vertAlign w:val="baseline"/>
                <w:lang w:val="en-US" w:eastAsia="zh-CN"/>
              </w:rPr>
            </w:pPr>
            <w:r>
              <w:rPr>
                <w:rFonts w:hint="eastAsia"/>
                <w:vertAlign w:val="baseline"/>
                <w:lang w:val="en-US" w:eastAsia="zh-CN"/>
              </w:rPr>
              <w:t>0</w:t>
            </w:r>
          </w:p>
        </w:tc>
        <w:tc>
          <w:tcPr>
            <w:tcW w:w="2077" w:type="dxa"/>
            <w:noWrap w:val="0"/>
            <w:vAlign w:val="top"/>
          </w:tcPr>
          <w:p w14:paraId="3BA7FCE5">
            <w:pPr>
              <w:pStyle w:val="4"/>
              <w:numPr>
                <w:ilvl w:val="0"/>
                <w:numId w:val="0"/>
              </w:numPr>
              <w:ind w:right="357" w:rightChars="0"/>
              <w:jc w:val="center"/>
              <w:rPr>
                <w:rFonts w:hint="default"/>
                <w:vertAlign w:val="baseline"/>
                <w:lang w:val="en-US" w:eastAsia="zh-CN"/>
              </w:rPr>
            </w:pPr>
            <w:r>
              <w:rPr>
                <w:rFonts w:hint="eastAsia"/>
                <w:vertAlign w:val="baseline"/>
                <w:lang w:val="en-US" w:eastAsia="zh-CN"/>
              </w:rPr>
              <w:t>0</w:t>
            </w:r>
          </w:p>
        </w:tc>
      </w:tr>
      <w:tr w14:paraId="7D69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noWrap w:val="0"/>
            <w:vAlign w:val="top"/>
          </w:tcPr>
          <w:p w14:paraId="21240066">
            <w:pPr>
              <w:pStyle w:val="4"/>
              <w:numPr>
                <w:ilvl w:val="0"/>
                <w:numId w:val="0"/>
              </w:numPr>
              <w:ind w:right="357" w:rightChars="0"/>
              <w:jc w:val="center"/>
              <w:rPr>
                <w:rFonts w:hint="default"/>
                <w:vertAlign w:val="baseline"/>
                <w:lang w:val="en-US" w:eastAsia="zh-CN"/>
              </w:rPr>
            </w:pPr>
            <w:r>
              <w:rPr>
                <w:rFonts w:hint="eastAsia"/>
                <w:vertAlign w:val="baseline"/>
                <w:lang w:val="en-US" w:eastAsia="zh-CN"/>
              </w:rPr>
              <w:t>2</w:t>
            </w:r>
          </w:p>
        </w:tc>
        <w:tc>
          <w:tcPr>
            <w:tcW w:w="3238" w:type="dxa"/>
            <w:noWrap w:val="0"/>
            <w:vAlign w:val="top"/>
          </w:tcPr>
          <w:p w14:paraId="6DFC53FD">
            <w:pPr>
              <w:pStyle w:val="4"/>
              <w:numPr>
                <w:ilvl w:val="0"/>
                <w:numId w:val="0"/>
              </w:numPr>
              <w:ind w:right="357" w:rightChars="0"/>
              <w:jc w:val="center"/>
              <w:rPr>
                <w:rFonts w:hint="eastAsia"/>
                <w:vertAlign w:val="baseline"/>
                <w:lang w:val="en-US" w:eastAsia="zh-CN"/>
              </w:rPr>
            </w:pPr>
            <w:r>
              <w:rPr>
                <w:rFonts w:hint="eastAsia"/>
                <w:vertAlign w:val="baseline"/>
                <w:lang w:val="en-US" w:eastAsia="zh-CN"/>
              </w:rPr>
              <w:t>清洁保洁率</w:t>
            </w:r>
          </w:p>
        </w:tc>
        <w:tc>
          <w:tcPr>
            <w:tcW w:w="2435" w:type="dxa"/>
            <w:noWrap w:val="0"/>
            <w:vAlign w:val="top"/>
          </w:tcPr>
          <w:p w14:paraId="50B54FB1">
            <w:pPr>
              <w:pStyle w:val="4"/>
              <w:numPr>
                <w:ilvl w:val="0"/>
                <w:numId w:val="0"/>
              </w:numPr>
              <w:ind w:right="357" w:rightChars="0"/>
              <w:jc w:val="center"/>
              <w:rPr>
                <w:rFonts w:hint="eastAsia"/>
                <w:vertAlign w:val="baseline"/>
                <w:lang w:val="en-US" w:eastAsia="zh-CN"/>
              </w:rPr>
            </w:pPr>
            <w:r>
              <w:rPr>
                <w:rFonts w:hint="eastAsia"/>
                <w:vertAlign w:val="baseline"/>
                <w:lang w:val="en-US" w:eastAsia="zh-CN"/>
              </w:rPr>
              <w:t>100%</w:t>
            </w:r>
          </w:p>
        </w:tc>
        <w:tc>
          <w:tcPr>
            <w:tcW w:w="2077" w:type="dxa"/>
            <w:noWrap w:val="0"/>
            <w:vAlign w:val="top"/>
          </w:tcPr>
          <w:p w14:paraId="35141C11">
            <w:pPr>
              <w:pStyle w:val="4"/>
              <w:numPr>
                <w:ilvl w:val="0"/>
                <w:numId w:val="0"/>
              </w:numPr>
              <w:ind w:right="357" w:rightChars="0"/>
              <w:jc w:val="center"/>
              <w:rPr>
                <w:rFonts w:hint="default"/>
                <w:vertAlign w:val="baseline"/>
                <w:lang w:val="en-US" w:eastAsia="zh-CN"/>
              </w:rPr>
            </w:pPr>
            <w:r>
              <w:rPr>
                <w:rFonts w:hint="eastAsia"/>
                <w:vertAlign w:val="baseline"/>
                <w:lang w:val="en-US" w:eastAsia="zh-CN"/>
              </w:rPr>
              <w:t>99%</w:t>
            </w:r>
          </w:p>
        </w:tc>
      </w:tr>
      <w:tr w14:paraId="6C4C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noWrap w:val="0"/>
            <w:vAlign w:val="top"/>
          </w:tcPr>
          <w:p w14:paraId="2DB9753E">
            <w:pPr>
              <w:pStyle w:val="4"/>
              <w:numPr>
                <w:ilvl w:val="0"/>
                <w:numId w:val="0"/>
              </w:numPr>
              <w:ind w:right="357" w:rightChars="0"/>
              <w:jc w:val="center"/>
              <w:rPr>
                <w:rFonts w:hint="default"/>
                <w:vertAlign w:val="baseline"/>
                <w:lang w:val="en-US" w:eastAsia="zh-CN"/>
              </w:rPr>
            </w:pPr>
            <w:r>
              <w:rPr>
                <w:rFonts w:hint="eastAsia"/>
                <w:vertAlign w:val="baseline"/>
                <w:lang w:val="en-US" w:eastAsia="zh-CN"/>
              </w:rPr>
              <w:t>3</w:t>
            </w:r>
          </w:p>
        </w:tc>
        <w:tc>
          <w:tcPr>
            <w:tcW w:w="3238" w:type="dxa"/>
            <w:noWrap w:val="0"/>
            <w:vAlign w:val="top"/>
          </w:tcPr>
          <w:p w14:paraId="37152BC0">
            <w:pPr>
              <w:pStyle w:val="4"/>
              <w:numPr>
                <w:ilvl w:val="0"/>
                <w:numId w:val="0"/>
              </w:numPr>
              <w:ind w:right="357" w:rightChars="0"/>
              <w:jc w:val="center"/>
              <w:rPr>
                <w:rFonts w:hint="eastAsia"/>
                <w:vertAlign w:val="baseline"/>
                <w:lang w:val="en-US" w:eastAsia="zh-CN"/>
              </w:rPr>
            </w:pPr>
            <w:r>
              <w:rPr>
                <w:rFonts w:hint="eastAsia"/>
                <w:vertAlign w:val="baseline"/>
                <w:lang w:val="en-US" w:eastAsia="zh-CN"/>
              </w:rPr>
              <w:t>展馆有效投诉率</w:t>
            </w:r>
          </w:p>
        </w:tc>
        <w:tc>
          <w:tcPr>
            <w:tcW w:w="2435" w:type="dxa"/>
            <w:noWrap w:val="0"/>
            <w:vAlign w:val="top"/>
          </w:tcPr>
          <w:p w14:paraId="523D213A">
            <w:pPr>
              <w:pStyle w:val="4"/>
              <w:numPr>
                <w:ilvl w:val="0"/>
                <w:numId w:val="0"/>
              </w:numPr>
              <w:ind w:right="357" w:rightChars="0"/>
              <w:jc w:val="center"/>
              <w:rPr>
                <w:rFonts w:hint="default"/>
                <w:vertAlign w:val="baseline"/>
                <w:lang w:val="en-US" w:eastAsia="zh-CN"/>
              </w:rPr>
            </w:pPr>
            <w:r>
              <w:rPr>
                <w:rFonts w:hint="eastAsia"/>
                <w:vertAlign w:val="baseline"/>
                <w:lang w:val="en-US" w:eastAsia="zh-CN"/>
              </w:rPr>
              <w:t>2</w:t>
            </w:r>
            <w:r>
              <w:rPr>
                <w:rFonts w:hint="default" w:ascii="Arial" w:hAnsi="Arial" w:cs="Arial"/>
                <w:vertAlign w:val="baseline"/>
                <w:lang w:val="en-US" w:eastAsia="zh-CN"/>
              </w:rPr>
              <w:t>‰</w:t>
            </w:r>
            <w:r>
              <w:rPr>
                <w:rFonts w:hint="eastAsia"/>
                <w:vertAlign w:val="baseline"/>
                <w:lang w:val="en-US" w:eastAsia="zh-CN"/>
              </w:rPr>
              <w:t>以下</w:t>
            </w:r>
          </w:p>
        </w:tc>
        <w:tc>
          <w:tcPr>
            <w:tcW w:w="2077" w:type="dxa"/>
            <w:noWrap w:val="0"/>
            <w:vAlign w:val="top"/>
          </w:tcPr>
          <w:p w14:paraId="44630E25">
            <w:pPr>
              <w:pStyle w:val="4"/>
              <w:numPr>
                <w:ilvl w:val="0"/>
                <w:numId w:val="0"/>
              </w:numPr>
              <w:ind w:right="357" w:rightChars="0"/>
              <w:jc w:val="center"/>
              <w:rPr>
                <w:rFonts w:hint="default"/>
                <w:vertAlign w:val="baseline"/>
                <w:lang w:val="en-US" w:eastAsia="zh-CN"/>
              </w:rPr>
            </w:pPr>
            <w:r>
              <w:rPr>
                <w:rFonts w:hint="eastAsia"/>
                <w:vertAlign w:val="baseline"/>
                <w:lang w:val="en-US" w:eastAsia="zh-CN"/>
              </w:rPr>
              <w:t>1</w:t>
            </w:r>
            <w:r>
              <w:rPr>
                <w:rFonts w:hint="default" w:ascii="Arial" w:hAnsi="Arial" w:cs="Arial"/>
                <w:vertAlign w:val="baseline"/>
                <w:lang w:val="en-US" w:eastAsia="zh-CN"/>
              </w:rPr>
              <w:t>‰</w:t>
            </w:r>
            <w:r>
              <w:rPr>
                <w:rFonts w:hint="eastAsia"/>
                <w:vertAlign w:val="baseline"/>
                <w:lang w:val="en-US" w:eastAsia="zh-CN"/>
              </w:rPr>
              <w:t>以下</w:t>
            </w:r>
          </w:p>
        </w:tc>
      </w:tr>
      <w:tr w14:paraId="33DA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noWrap w:val="0"/>
            <w:vAlign w:val="top"/>
          </w:tcPr>
          <w:p w14:paraId="7064225A">
            <w:pPr>
              <w:pStyle w:val="4"/>
              <w:numPr>
                <w:ilvl w:val="0"/>
                <w:numId w:val="0"/>
              </w:numPr>
              <w:ind w:right="357" w:rightChars="0"/>
              <w:jc w:val="center"/>
              <w:rPr>
                <w:rFonts w:hint="default"/>
                <w:vertAlign w:val="baseline"/>
                <w:lang w:val="en-US" w:eastAsia="zh-CN"/>
              </w:rPr>
            </w:pPr>
            <w:r>
              <w:rPr>
                <w:rFonts w:hint="eastAsia"/>
                <w:vertAlign w:val="baseline"/>
                <w:lang w:val="en-US" w:eastAsia="zh-CN"/>
              </w:rPr>
              <w:t>4</w:t>
            </w:r>
          </w:p>
        </w:tc>
        <w:tc>
          <w:tcPr>
            <w:tcW w:w="3238" w:type="dxa"/>
            <w:noWrap w:val="0"/>
            <w:vAlign w:val="top"/>
          </w:tcPr>
          <w:p w14:paraId="0372B22B">
            <w:pPr>
              <w:pStyle w:val="4"/>
              <w:numPr>
                <w:ilvl w:val="0"/>
                <w:numId w:val="0"/>
              </w:numPr>
              <w:ind w:right="357" w:rightChars="0"/>
              <w:jc w:val="center"/>
              <w:rPr>
                <w:rFonts w:hint="eastAsia"/>
                <w:vertAlign w:val="baseline"/>
                <w:lang w:val="en-US" w:eastAsia="zh-CN"/>
              </w:rPr>
            </w:pPr>
            <w:r>
              <w:rPr>
                <w:rFonts w:hint="eastAsia"/>
                <w:vertAlign w:val="baseline"/>
                <w:lang w:val="en-US" w:eastAsia="zh-CN"/>
              </w:rPr>
              <w:t>展馆综合满意服务率</w:t>
            </w:r>
          </w:p>
        </w:tc>
        <w:tc>
          <w:tcPr>
            <w:tcW w:w="2435" w:type="dxa"/>
            <w:noWrap w:val="0"/>
            <w:vAlign w:val="top"/>
          </w:tcPr>
          <w:p w14:paraId="58757CF8">
            <w:pPr>
              <w:pStyle w:val="4"/>
              <w:numPr>
                <w:ilvl w:val="0"/>
                <w:numId w:val="0"/>
              </w:numPr>
              <w:ind w:right="357" w:rightChars="0"/>
              <w:jc w:val="center"/>
              <w:rPr>
                <w:rFonts w:hint="eastAsia"/>
                <w:vertAlign w:val="baseline"/>
                <w:lang w:val="en-US" w:eastAsia="zh-CN"/>
              </w:rPr>
            </w:pPr>
            <w:r>
              <w:rPr>
                <w:rFonts w:hint="eastAsia"/>
                <w:vertAlign w:val="baseline"/>
                <w:lang w:val="en-US" w:eastAsia="zh-CN"/>
              </w:rPr>
              <w:t>90%</w:t>
            </w:r>
          </w:p>
        </w:tc>
        <w:tc>
          <w:tcPr>
            <w:tcW w:w="2077" w:type="dxa"/>
            <w:noWrap w:val="0"/>
            <w:vAlign w:val="top"/>
          </w:tcPr>
          <w:p w14:paraId="00B3C31A">
            <w:pPr>
              <w:pStyle w:val="4"/>
              <w:numPr>
                <w:ilvl w:val="0"/>
                <w:numId w:val="0"/>
              </w:numPr>
              <w:ind w:right="357" w:rightChars="0"/>
              <w:jc w:val="center"/>
              <w:rPr>
                <w:rFonts w:hint="eastAsia"/>
                <w:vertAlign w:val="baseline"/>
                <w:lang w:val="en-US" w:eastAsia="zh-CN"/>
              </w:rPr>
            </w:pPr>
            <w:r>
              <w:rPr>
                <w:rFonts w:hint="eastAsia"/>
                <w:vertAlign w:val="baseline"/>
                <w:lang w:val="en-US" w:eastAsia="zh-CN"/>
              </w:rPr>
              <w:t>90%以上</w:t>
            </w:r>
          </w:p>
        </w:tc>
      </w:tr>
      <w:tr w14:paraId="08DE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noWrap w:val="0"/>
            <w:vAlign w:val="top"/>
          </w:tcPr>
          <w:p w14:paraId="65D5FDDC">
            <w:pPr>
              <w:pStyle w:val="4"/>
              <w:numPr>
                <w:ilvl w:val="0"/>
                <w:numId w:val="0"/>
              </w:numPr>
              <w:ind w:right="357" w:rightChars="0"/>
              <w:jc w:val="center"/>
              <w:rPr>
                <w:rFonts w:hint="default"/>
                <w:vertAlign w:val="baseline"/>
                <w:lang w:val="en-US" w:eastAsia="zh-CN"/>
              </w:rPr>
            </w:pPr>
            <w:r>
              <w:rPr>
                <w:rFonts w:hint="eastAsia"/>
                <w:vertAlign w:val="baseline"/>
                <w:lang w:val="en-US" w:eastAsia="zh-CN"/>
              </w:rPr>
              <w:t>5</w:t>
            </w:r>
          </w:p>
        </w:tc>
        <w:tc>
          <w:tcPr>
            <w:tcW w:w="3238" w:type="dxa"/>
            <w:noWrap w:val="0"/>
            <w:vAlign w:val="top"/>
          </w:tcPr>
          <w:p w14:paraId="61035797">
            <w:pPr>
              <w:pStyle w:val="4"/>
              <w:numPr>
                <w:ilvl w:val="0"/>
                <w:numId w:val="0"/>
              </w:numPr>
              <w:ind w:right="357" w:rightChars="0"/>
              <w:jc w:val="center"/>
              <w:rPr>
                <w:rFonts w:hint="eastAsia"/>
                <w:vertAlign w:val="baseline"/>
                <w:lang w:val="en-US" w:eastAsia="zh-CN"/>
              </w:rPr>
            </w:pPr>
            <w:r>
              <w:rPr>
                <w:rFonts w:hint="eastAsia"/>
                <w:vertAlign w:val="baseline"/>
                <w:lang w:val="en-US" w:eastAsia="zh-CN"/>
              </w:rPr>
              <w:t>管理人员专业培训合格率</w:t>
            </w:r>
          </w:p>
        </w:tc>
        <w:tc>
          <w:tcPr>
            <w:tcW w:w="2435" w:type="dxa"/>
            <w:noWrap w:val="0"/>
            <w:vAlign w:val="top"/>
          </w:tcPr>
          <w:p w14:paraId="7BAA3D02">
            <w:pPr>
              <w:pStyle w:val="4"/>
              <w:numPr>
                <w:ilvl w:val="0"/>
                <w:numId w:val="0"/>
              </w:numPr>
              <w:ind w:right="357" w:rightChars="0"/>
              <w:jc w:val="center"/>
              <w:rPr>
                <w:rFonts w:hint="default"/>
                <w:vertAlign w:val="baseline"/>
                <w:lang w:val="en-US" w:eastAsia="zh-CN"/>
              </w:rPr>
            </w:pPr>
            <w:r>
              <w:rPr>
                <w:rFonts w:hint="eastAsia"/>
                <w:vertAlign w:val="baseline"/>
                <w:lang w:val="en-US" w:eastAsia="zh-CN"/>
              </w:rPr>
              <w:t>100%</w:t>
            </w:r>
          </w:p>
        </w:tc>
        <w:tc>
          <w:tcPr>
            <w:tcW w:w="2077" w:type="dxa"/>
            <w:noWrap w:val="0"/>
            <w:vAlign w:val="top"/>
          </w:tcPr>
          <w:p w14:paraId="1AF1F988">
            <w:pPr>
              <w:pStyle w:val="4"/>
              <w:numPr>
                <w:ilvl w:val="0"/>
                <w:numId w:val="0"/>
              </w:numPr>
              <w:ind w:right="357" w:rightChars="0"/>
              <w:jc w:val="center"/>
              <w:rPr>
                <w:rFonts w:hint="eastAsia"/>
                <w:vertAlign w:val="baseline"/>
                <w:lang w:val="en-US" w:eastAsia="zh-CN"/>
              </w:rPr>
            </w:pPr>
            <w:r>
              <w:rPr>
                <w:rFonts w:hint="eastAsia"/>
                <w:vertAlign w:val="baseline"/>
                <w:lang w:val="en-US" w:eastAsia="zh-CN"/>
              </w:rPr>
              <w:t>100%</w:t>
            </w:r>
          </w:p>
        </w:tc>
      </w:tr>
      <w:tr w14:paraId="4230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noWrap w:val="0"/>
            <w:vAlign w:val="top"/>
          </w:tcPr>
          <w:p w14:paraId="68C11367">
            <w:pPr>
              <w:pStyle w:val="4"/>
              <w:numPr>
                <w:ilvl w:val="0"/>
                <w:numId w:val="0"/>
              </w:numPr>
              <w:ind w:right="357" w:rightChars="0"/>
              <w:jc w:val="center"/>
              <w:rPr>
                <w:rFonts w:hint="default"/>
                <w:vertAlign w:val="baseline"/>
                <w:lang w:val="en-US" w:eastAsia="zh-CN"/>
              </w:rPr>
            </w:pPr>
            <w:r>
              <w:rPr>
                <w:rFonts w:hint="eastAsia"/>
                <w:vertAlign w:val="baseline"/>
                <w:lang w:val="en-US" w:eastAsia="zh-CN"/>
              </w:rPr>
              <w:t>6</w:t>
            </w:r>
          </w:p>
        </w:tc>
        <w:tc>
          <w:tcPr>
            <w:tcW w:w="3238" w:type="dxa"/>
            <w:noWrap w:val="0"/>
            <w:vAlign w:val="top"/>
          </w:tcPr>
          <w:p w14:paraId="2552C1BC">
            <w:pPr>
              <w:pStyle w:val="4"/>
              <w:numPr>
                <w:ilvl w:val="0"/>
                <w:numId w:val="0"/>
              </w:numPr>
              <w:ind w:right="357" w:rightChars="0"/>
              <w:jc w:val="center"/>
              <w:rPr>
                <w:rFonts w:hint="eastAsia"/>
                <w:vertAlign w:val="baseline"/>
                <w:lang w:val="en-US" w:eastAsia="zh-CN"/>
              </w:rPr>
            </w:pPr>
            <w:r>
              <w:rPr>
                <w:rFonts w:hint="eastAsia"/>
                <w:vertAlign w:val="baseline"/>
                <w:lang w:val="en-US" w:eastAsia="zh-CN"/>
              </w:rPr>
              <w:t>消防设施完好率</w:t>
            </w:r>
          </w:p>
        </w:tc>
        <w:tc>
          <w:tcPr>
            <w:tcW w:w="2435" w:type="dxa"/>
            <w:noWrap w:val="0"/>
            <w:vAlign w:val="top"/>
          </w:tcPr>
          <w:p w14:paraId="5317A22A">
            <w:pPr>
              <w:pStyle w:val="4"/>
              <w:numPr>
                <w:ilvl w:val="0"/>
                <w:numId w:val="0"/>
              </w:numPr>
              <w:ind w:right="357" w:rightChars="0"/>
              <w:jc w:val="center"/>
              <w:rPr>
                <w:rFonts w:hint="eastAsia"/>
                <w:vertAlign w:val="baseline"/>
                <w:lang w:val="en-US" w:eastAsia="zh-CN"/>
              </w:rPr>
            </w:pPr>
            <w:r>
              <w:rPr>
                <w:rFonts w:hint="eastAsia"/>
                <w:vertAlign w:val="baseline"/>
                <w:lang w:val="en-US" w:eastAsia="zh-CN"/>
              </w:rPr>
              <w:t>100%</w:t>
            </w:r>
          </w:p>
        </w:tc>
        <w:tc>
          <w:tcPr>
            <w:tcW w:w="2077" w:type="dxa"/>
            <w:noWrap w:val="0"/>
            <w:vAlign w:val="top"/>
          </w:tcPr>
          <w:p w14:paraId="6485D6A3">
            <w:pPr>
              <w:pStyle w:val="4"/>
              <w:numPr>
                <w:ilvl w:val="0"/>
                <w:numId w:val="0"/>
              </w:numPr>
              <w:ind w:right="357" w:rightChars="0"/>
              <w:jc w:val="center"/>
              <w:rPr>
                <w:rFonts w:hint="eastAsia"/>
                <w:vertAlign w:val="baseline"/>
                <w:lang w:val="en-US" w:eastAsia="zh-CN"/>
              </w:rPr>
            </w:pPr>
            <w:r>
              <w:rPr>
                <w:rFonts w:hint="eastAsia"/>
                <w:vertAlign w:val="baseline"/>
                <w:lang w:val="en-US" w:eastAsia="zh-CN"/>
              </w:rPr>
              <w:t>100%</w:t>
            </w:r>
          </w:p>
        </w:tc>
      </w:tr>
      <w:tr w14:paraId="1ACA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noWrap w:val="0"/>
            <w:vAlign w:val="top"/>
          </w:tcPr>
          <w:p w14:paraId="67CC53FD">
            <w:pPr>
              <w:pStyle w:val="4"/>
              <w:numPr>
                <w:ilvl w:val="0"/>
                <w:numId w:val="0"/>
              </w:numPr>
              <w:ind w:right="357" w:rightChars="0"/>
              <w:jc w:val="center"/>
              <w:rPr>
                <w:rFonts w:hint="default"/>
                <w:vertAlign w:val="baseline"/>
                <w:lang w:val="en-US" w:eastAsia="zh-CN"/>
              </w:rPr>
            </w:pPr>
            <w:r>
              <w:rPr>
                <w:rFonts w:hint="eastAsia"/>
                <w:vertAlign w:val="baseline"/>
                <w:lang w:val="en-US" w:eastAsia="zh-CN"/>
              </w:rPr>
              <w:t>7</w:t>
            </w:r>
          </w:p>
        </w:tc>
        <w:tc>
          <w:tcPr>
            <w:tcW w:w="3238" w:type="dxa"/>
            <w:noWrap w:val="0"/>
            <w:vAlign w:val="top"/>
          </w:tcPr>
          <w:p w14:paraId="160F281B">
            <w:pPr>
              <w:pStyle w:val="4"/>
              <w:numPr>
                <w:ilvl w:val="0"/>
                <w:numId w:val="0"/>
              </w:numPr>
              <w:ind w:right="357" w:rightChars="0"/>
              <w:jc w:val="center"/>
              <w:rPr>
                <w:rFonts w:hint="eastAsia"/>
                <w:vertAlign w:val="baseline"/>
                <w:lang w:val="en-US" w:eastAsia="zh-CN"/>
              </w:rPr>
            </w:pPr>
            <w:r>
              <w:rPr>
                <w:rFonts w:hint="eastAsia"/>
                <w:vertAlign w:val="baseline"/>
                <w:lang w:val="en-US" w:eastAsia="zh-CN"/>
              </w:rPr>
              <w:t>机电设备完好率</w:t>
            </w:r>
          </w:p>
        </w:tc>
        <w:tc>
          <w:tcPr>
            <w:tcW w:w="2435" w:type="dxa"/>
            <w:noWrap w:val="0"/>
            <w:vAlign w:val="top"/>
          </w:tcPr>
          <w:p w14:paraId="44B34AC4">
            <w:pPr>
              <w:pStyle w:val="4"/>
              <w:numPr>
                <w:ilvl w:val="0"/>
                <w:numId w:val="0"/>
              </w:numPr>
              <w:ind w:right="357" w:rightChars="0"/>
              <w:jc w:val="center"/>
              <w:rPr>
                <w:rFonts w:hint="eastAsia"/>
                <w:vertAlign w:val="baseline"/>
                <w:lang w:val="en-US" w:eastAsia="zh-CN"/>
              </w:rPr>
            </w:pPr>
            <w:r>
              <w:rPr>
                <w:rFonts w:hint="eastAsia"/>
                <w:vertAlign w:val="baseline"/>
                <w:lang w:val="en-US" w:eastAsia="zh-CN"/>
              </w:rPr>
              <w:t>100%</w:t>
            </w:r>
          </w:p>
        </w:tc>
        <w:tc>
          <w:tcPr>
            <w:tcW w:w="2077" w:type="dxa"/>
            <w:noWrap w:val="0"/>
            <w:vAlign w:val="top"/>
          </w:tcPr>
          <w:p w14:paraId="5BBD670D">
            <w:pPr>
              <w:pStyle w:val="4"/>
              <w:numPr>
                <w:ilvl w:val="0"/>
                <w:numId w:val="0"/>
              </w:numPr>
              <w:ind w:right="357" w:rightChars="0"/>
              <w:jc w:val="center"/>
              <w:rPr>
                <w:rFonts w:hint="eastAsia"/>
                <w:vertAlign w:val="baseline"/>
                <w:lang w:val="en-US" w:eastAsia="zh-CN"/>
              </w:rPr>
            </w:pPr>
            <w:r>
              <w:rPr>
                <w:rFonts w:hint="eastAsia"/>
                <w:vertAlign w:val="baseline"/>
                <w:lang w:val="en-US" w:eastAsia="zh-CN"/>
              </w:rPr>
              <w:t>100%</w:t>
            </w:r>
          </w:p>
        </w:tc>
      </w:tr>
    </w:tbl>
    <w:p w14:paraId="3A7299A1">
      <w:pPr>
        <w:pStyle w:val="4"/>
        <w:numPr>
          <w:ilvl w:val="0"/>
          <w:numId w:val="0"/>
        </w:numPr>
        <w:ind w:right="357" w:rightChars="0"/>
        <w:rPr>
          <w:rFonts w:hint="eastAsia"/>
          <w:vertAlign w:val="baseline"/>
          <w:lang w:val="en-US" w:eastAsia="zh-CN"/>
        </w:rPr>
      </w:pPr>
      <w:r>
        <w:rPr>
          <w:rFonts w:hint="eastAsia"/>
          <w:lang w:val="en-US" w:eastAsia="zh-CN"/>
        </w:rPr>
        <w:t>具体项目指标：</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7228"/>
      </w:tblGrid>
      <w:tr w14:paraId="7029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noWrap w:val="0"/>
            <w:vAlign w:val="top"/>
          </w:tcPr>
          <w:p w14:paraId="2E24F68A">
            <w:pPr>
              <w:pStyle w:val="4"/>
              <w:numPr>
                <w:ilvl w:val="0"/>
                <w:numId w:val="0"/>
              </w:numPr>
              <w:ind w:right="357" w:rightChars="0"/>
              <w:jc w:val="center"/>
              <w:rPr>
                <w:rFonts w:hint="eastAsia"/>
                <w:vertAlign w:val="baseline"/>
                <w:lang w:val="en-US" w:eastAsia="zh-CN"/>
              </w:rPr>
            </w:pPr>
            <w:r>
              <w:rPr>
                <w:rFonts w:hint="eastAsia"/>
                <w:vertAlign w:val="baseline"/>
                <w:lang w:val="en-US" w:eastAsia="zh-CN"/>
              </w:rPr>
              <w:t>安全管理</w:t>
            </w:r>
          </w:p>
        </w:tc>
        <w:tc>
          <w:tcPr>
            <w:tcW w:w="7809" w:type="dxa"/>
            <w:noWrap w:val="0"/>
            <w:vAlign w:val="top"/>
          </w:tcPr>
          <w:p w14:paraId="5D50CE2D">
            <w:pPr>
              <w:pStyle w:val="4"/>
              <w:numPr>
                <w:ilvl w:val="0"/>
                <w:numId w:val="5"/>
              </w:numPr>
              <w:ind w:right="357" w:rightChars="0"/>
              <w:jc w:val="left"/>
              <w:rPr>
                <w:rFonts w:hint="eastAsia"/>
                <w:vertAlign w:val="baseline"/>
                <w:lang w:val="en-US" w:eastAsia="zh-CN"/>
              </w:rPr>
            </w:pPr>
            <w:r>
              <w:rPr>
                <w:rFonts w:hint="eastAsia"/>
                <w:vertAlign w:val="baseline"/>
                <w:lang w:val="en-US" w:eastAsia="zh-CN"/>
              </w:rPr>
              <w:t>保证展馆人员及周边人身财产安全。</w:t>
            </w:r>
          </w:p>
          <w:p w14:paraId="2BADFF04">
            <w:pPr>
              <w:pStyle w:val="4"/>
              <w:numPr>
                <w:ilvl w:val="0"/>
                <w:numId w:val="5"/>
              </w:numPr>
              <w:ind w:right="357" w:rightChars="0"/>
              <w:jc w:val="left"/>
              <w:rPr>
                <w:rFonts w:hint="default"/>
                <w:vertAlign w:val="baseline"/>
                <w:lang w:val="en-US" w:eastAsia="zh-CN"/>
              </w:rPr>
            </w:pPr>
            <w:r>
              <w:rPr>
                <w:rFonts w:hint="eastAsia"/>
                <w:vertAlign w:val="baseline"/>
                <w:lang w:val="en-US" w:eastAsia="zh-CN"/>
              </w:rPr>
              <w:t>保证展馆及周边公共安全（消防安全及水电使用安全等）</w:t>
            </w:r>
          </w:p>
        </w:tc>
      </w:tr>
      <w:tr w14:paraId="0468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noWrap w:val="0"/>
            <w:vAlign w:val="top"/>
          </w:tcPr>
          <w:p w14:paraId="5FBB547F">
            <w:pPr>
              <w:pStyle w:val="4"/>
              <w:numPr>
                <w:ilvl w:val="0"/>
                <w:numId w:val="0"/>
              </w:numPr>
              <w:ind w:right="357" w:rightChars="0"/>
              <w:jc w:val="center"/>
              <w:rPr>
                <w:rFonts w:hint="eastAsia"/>
                <w:vertAlign w:val="baseline"/>
                <w:lang w:val="en-US" w:eastAsia="zh-CN"/>
              </w:rPr>
            </w:pPr>
            <w:r>
              <w:rPr>
                <w:rFonts w:hint="eastAsia"/>
                <w:vertAlign w:val="baseline"/>
                <w:lang w:val="en-US" w:eastAsia="zh-CN"/>
              </w:rPr>
              <w:t>环境卫生管理</w:t>
            </w:r>
          </w:p>
        </w:tc>
        <w:tc>
          <w:tcPr>
            <w:tcW w:w="7809" w:type="dxa"/>
            <w:noWrap w:val="0"/>
            <w:vAlign w:val="top"/>
          </w:tcPr>
          <w:p w14:paraId="16A1A0AC">
            <w:pPr>
              <w:pStyle w:val="4"/>
              <w:numPr>
                <w:ilvl w:val="0"/>
                <w:numId w:val="0"/>
              </w:numPr>
              <w:ind w:right="357" w:rightChars="0"/>
              <w:jc w:val="left"/>
              <w:rPr>
                <w:rFonts w:hint="eastAsia"/>
                <w:vertAlign w:val="baseline"/>
                <w:lang w:val="en-US" w:eastAsia="zh-CN"/>
              </w:rPr>
            </w:pPr>
            <w:r>
              <w:rPr>
                <w:rFonts w:hint="eastAsia"/>
                <w:vertAlign w:val="baseline"/>
                <w:lang w:val="en-US" w:eastAsia="zh-CN"/>
              </w:rPr>
              <w:t>1.展馆及周边保持整洁卫生，做到“三无”即无异味、无污垢、无灰尘；“四不”即不见积水、积土、不漏收垃圾、不乱倒垃圾；</w:t>
            </w:r>
          </w:p>
          <w:p w14:paraId="29422534">
            <w:pPr>
              <w:pStyle w:val="4"/>
              <w:numPr>
                <w:ilvl w:val="0"/>
                <w:numId w:val="0"/>
              </w:numPr>
              <w:ind w:right="357" w:rightChars="0"/>
              <w:jc w:val="left"/>
              <w:rPr>
                <w:rFonts w:hint="eastAsia"/>
                <w:vertAlign w:val="baseline"/>
                <w:lang w:val="en-US" w:eastAsia="zh-CN"/>
              </w:rPr>
            </w:pPr>
            <w:r>
              <w:rPr>
                <w:rFonts w:hint="eastAsia"/>
                <w:vertAlign w:val="baseline"/>
                <w:lang w:val="en-US" w:eastAsia="zh-CN"/>
              </w:rPr>
              <w:t>2.展馆内保持卫生和美化。</w:t>
            </w:r>
          </w:p>
          <w:p w14:paraId="7B56D208">
            <w:pPr>
              <w:pStyle w:val="4"/>
              <w:numPr>
                <w:ilvl w:val="0"/>
                <w:numId w:val="0"/>
              </w:numPr>
              <w:ind w:right="357" w:rightChars="0"/>
              <w:jc w:val="left"/>
              <w:rPr>
                <w:rFonts w:hint="eastAsia"/>
                <w:vertAlign w:val="baseline"/>
                <w:lang w:val="en-US" w:eastAsia="zh-CN"/>
              </w:rPr>
            </w:pPr>
            <w:r>
              <w:rPr>
                <w:rFonts w:hint="eastAsia"/>
                <w:vertAlign w:val="baseline"/>
                <w:lang w:val="en-US" w:eastAsia="zh-CN"/>
              </w:rPr>
              <w:t>3.作好传染性疾病防护预防与应急处理。</w:t>
            </w:r>
          </w:p>
        </w:tc>
      </w:tr>
      <w:tr w14:paraId="4B39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noWrap w:val="0"/>
            <w:vAlign w:val="top"/>
          </w:tcPr>
          <w:p w14:paraId="2BA7D66D">
            <w:pPr>
              <w:pStyle w:val="4"/>
              <w:numPr>
                <w:ilvl w:val="0"/>
                <w:numId w:val="0"/>
              </w:numPr>
              <w:ind w:right="357" w:rightChars="0"/>
              <w:jc w:val="center"/>
              <w:rPr>
                <w:rFonts w:hint="eastAsia"/>
                <w:vertAlign w:val="baseline"/>
                <w:lang w:val="en-US" w:eastAsia="zh-CN"/>
              </w:rPr>
            </w:pPr>
            <w:r>
              <w:rPr>
                <w:rFonts w:hint="eastAsia"/>
                <w:vertAlign w:val="baseline"/>
                <w:lang w:val="en-US" w:eastAsia="zh-CN"/>
              </w:rPr>
              <w:t>突发事件处理</w:t>
            </w:r>
          </w:p>
        </w:tc>
        <w:tc>
          <w:tcPr>
            <w:tcW w:w="7809" w:type="dxa"/>
            <w:noWrap w:val="0"/>
            <w:vAlign w:val="top"/>
          </w:tcPr>
          <w:p w14:paraId="20D5ADF0">
            <w:pPr>
              <w:pStyle w:val="4"/>
              <w:numPr>
                <w:ilvl w:val="0"/>
                <w:numId w:val="0"/>
              </w:numPr>
              <w:ind w:right="357" w:rightChars="0"/>
              <w:jc w:val="left"/>
              <w:rPr>
                <w:rFonts w:hint="eastAsia"/>
                <w:vertAlign w:val="baseline"/>
                <w:lang w:val="en-US" w:eastAsia="zh-CN"/>
              </w:rPr>
            </w:pPr>
            <w:r>
              <w:rPr>
                <w:rFonts w:hint="eastAsia"/>
                <w:vertAlign w:val="baseline"/>
                <w:lang w:val="en-US" w:eastAsia="zh-CN"/>
              </w:rPr>
              <w:t>做好对突发事件的处理工作。</w:t>
            </w:r>
          </w:p>
        </w:tc>
      </w:tr>
    </w:tbl>
    <w:p w14:paraId="649A66A4">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(三)总体服务需求</w:t>
      </w:r>
    </w:p>
    <w:p w14:paraId="186BE129">
      <w:pPr>
        <w:pStyle w:val="4"/>
        <w:numPr>
          <w:ilvl w:val="0"/>
          <w:numId w:val="0"/>
        </w:numPr>
        <w:ind w:right="357" w:rightChars="0"/>
        <w:rPr>
          <w:rFonts w:hint="eastAsia"/>
          <w:b/>
          <w:bCs/>
          <w:lang w:val="en-US" w:eastAsia="zh-CN"/>
        </w:rPr>
      </w:pPr>
      <w:r>
        <w:rPr>
          <w:rFonts w:hint="eastAsia"/>
          <w:b/>
          <w:bCs/>
          <w:lang w:val="en-US" w:eastAsia="zh-CN"/>
        </w:rPr>
        <w:t>(1)环境保洁的整体要求</w:t>
      </w:r>
    </w:p>
    <w:p w14:paraId="78194185">
      <w:pPr>
        <w:pStyle w:val="4"/>
        <w:numPr>
          <w:ilvl w:val="0"/>
          <w:numId w:val="0"/>
        </w:numPr>
        <w:ind w:right="357" w:rightChars="0"/>
        <w:rPr>
          <w:rFonts w:hint="eastAsia"/>
          <w:lang w:val="en-US" w:eastAsia="zh-CN"/>
        </w:rPr>
      </w:pPr>
      <w:r>
        <w:rPr>
          <w:rFonts w:hint="eastAsia"/>
          <w:lang w:val="en-US" w:eastAsia="zh-CN"/>
        </w:rPr>
        <w:t>1.1负责馆区指定范围内大楼的室内、室外清洁卫生。</w:t>
      </w:r>
    </w:p>
    <w:p w14:paraId="1D2355DE">
      <w:pPr>
        <w:pStyle w:val="4"/>
        <w:numPr>
          <w:ilvl w:val="0"/>
          <w:numId w:val="0"/>
        </w:numPr>
        <w:ind w:right="357" w:rightChars="0"/>
        <w:rPr>
          <w:rFonts w:hint="eastAsia"/>
          <w:lang w:val="en-US" w:eastAsia="zh-CN"/>
        </w:rPr>
      </w:pPr>
      <w:r>
        <w:rPr>
          <w:rFonts w:hint="eastAsia"/>
          <w:lang w:val="en-US" w:eastAsia="zh-CN"/>
        </w:rPr>
        <w:t>1.2及时收集生活垃圾，并送到馆方指定地点。</w:t>
      </w:r>
    </w:p>
    <w:p w14:paraId="6D624FE2">
      <w:pPr>
        <w:pStyle w:val="4"/>
        <w:numPr>
          <w:ilvl w:val="0"/>
          <w:numId w:val="0"/>
        </w:numPr>
        <w:ind w:right="357" w:rightChars="0"/>
        <w:rPr>
          <w:rFonts w:hint="eastAsia"/>
          <w:lang w:val="en-US" w:eastAsia="zh-CN"/>
        </w:rPr>
      </w:pPr>
      <w:r>
        <w:rPr>
          <w:rFonts w:hint="eastAsia"/>
          <w:lang w:val="en-US" w:eastAsia="zh-CN"/>
        </w:rPr>
        <w:t>1.3按时巡视，每层从屋顶到墙壁到地板要做到干净、整洁，无蛛丝，无纸屑、痰迹；卫生间要清洁、干燥、无异味。</w:t>
      </w:r>
    </w:p>
    <w:p w14:paraId="5AAC6CC0">
      <w:pPr>
        <w:pStyle w:val="4"/>
        <w:numPr>
          <w:ilvl w:val="0"/>
          <w:numId w:val="0"/>
        </w:numPr>
        <w:ind w:right="357" w:rightChars="0"/>
        <w:rPr>
          <w:rFonts w:hint="eastAsia"/>
          <w:lang w:val="en-US" w:eastAsia="zh-CN"/>
        </w:rPr>
      </w:pPr>
      <w:r>
        <w:rPr>
          <w:rFonts w:hint="eastAsia"/>
          <w:lang w:val="en-US" w:eastAsia="zh-CN"/>
        </w:rPr>
        <w:t>1.4中标人提供保洁用日常用品及保安人员服装。</w:t>
      </w:r>
    </w:p>
    <w:p w14:paraId="78A67814">
      <w:pPr>
        <w:pStyle w:val="4"/>
        <w:numPr>
          <w:ilvl w:val="0"/>
          <w:numId w:val="0"/>
        </w:numPr>
        <w:ind w:right="357" w:rightChars="0"/>
        <w:rPr>
          <w:rFonts w:hint="eastAsia"/>
          <w:b/>
          <w:bCs/>
          <w:lang w:val="en-US" w:eastAsia="zh-CN"/>
        </w:rPr>
      </w:pPr>
      <w:r>
        <w:rPr>
          <w:rFonts w:hint="eastAsia"/>
          <w:b/>
          <w:bCs/>
          <w:lang w:val="en-US" w:eastAsia="zh-CN"/>
        </w:rPr>
        <w:t>(2)各区域环境保洁的标准</w:t>
      </w:r>
    </w:p>
    <w:p w14:paraId="67E46925">
      <w:pPr>
        <w:pStyle w:val="4"/>
        <w:numPr>
          <w:ilvl w:val="0"/>
          <w:numId w:val="0"/>
        </w:numPr>
        <w:ind w:right="357" w:rightChars="0"/>
        <w:rPr>
          <w:rFonts w:hint="eastAsia"/>
          <w:lang w:val="en-US" w:eastAsia="zh-CN"/>
        </w:rPr>
      </w:pPr>
      <w:r>
        <w:rPr>
          <w:rFonts w:hint="eastAsia"/>
          <w:lang w:val="en-US" w:eastAsia="zh-CN"/>
        </w:rPr>
        <w:t>1、大厅保洁标准：</w:t>
      </w:r>
    </w:p>
    <w:p w14:paraId="0FDD3AB8">
      <w:pPr>
        <w:pStyle w:val="4"/>
        <w:numPr>
          <w:ilvl w:val="0"/>
          <w:numId w:val="0"/>
        </w:numPr>
        <w:ind w:right="357" w:rightChars="0"/>
        <w:rPr>
          <w:rFonts w:hint="eastAsia"/>
          <w:lang w:val="en-US" w:eastAsia="zh-CN"/>
        </w:rPr>
      </w:pPr>
      <w:r>
        <w:rPr>
          <w:rFonts w:hint="eastAsia"/>
          <w:lang w:val="en-US" w:eastAsia="zh-CN"/>
        </w:rPr>
        <w:t>地面：表面洁净、无尘土、污染、烟头、纸屑、油迹及垃圾，确保馆内人员上班前地面无水渍。</w:t>
      </w:r>
    </w:p>
    <w:p w14:paraId="408E1ED1">
      <w:pPr>
        <w:pStyle w:val="4"/>
        <w:numPr>
          <w:ilvl w:val="0"/>
          <w:numId w:val="0"/>
        </w:numPr>
        <w:ind w:right="357" w:rightChars="0"/>
        <w:rPr>
          <w:rFonts w:hint="eastAsia"/>
          <w:lang w:val="en-US" w:eastAsia="zh-CN"/>
        </w:rPr>
      </w:pPr>
      <w:r>
        <w:rPr>
          <w:rFonts w:hint="eastAsia"/>
          <w:lang w:val="en-US" w:eastAsia="zh-CN"/>
        </w:rPr>
        <w:t>照明灯具：无厚积尘土。</w:t>
      </w:r>
    </w:p>
    <w:p w14:paraId="30240BB5">
      <w:pPr>
        <w:pStyle w:val="4"/>
        <w:numPr>
          <w:ilvl w:val="0"/>
          <w:numId w:val="0"/>
        </w:numPr>
        <w:ind w:right="357" w:rightChars="0"/>
        <w:rPr>
          <w:rFonts w:hint="eastAsia"/>
          <w:lang w:val="en-US" w:eastAsia="zh-CN"/>
        </w:rPr>
      </w:pPr>
      <w:r>
        <w:rPr>
          <w:rFonts w:hint="eastAsia"/>
          <w:lang w:val="en-US" w:eastAsia="zh-CN"/>
        </w:rPr>
        <w:t>各房门、通道门：无尘土、污迹。</w:t>
      </w:r>
    </w:p>
    <w:p w14:paraId="2D25CC30">
      <w:pPr>
        <w:pStyle w:val="4"/>
        <w:numPr>
          <w:ilvl w:val="0"/>
          <w:numId w:val="0"/>
        </w:numPr>
        <w:ind w:right="357" w:rightChars="0"/>
        <w:rPr>
          <w:rFonts w:hint="eastAsia"/>
          <w:lang w:val="en-US" w:eastAsia="zh-CN"/>
        </w:rPr>
      </w:pPr>
      <w:r>
        <w:rPr>
          <w:rFonts w:hint="eastAsia"/>
          <w:lang w:val="en-US" w:eastAsia="zh-CN"/>
        </w:rPr>
        <w:t>2、公共卫生间保洁标准：</w:t>
      </w:r>
    </w:p>
    <w:p w14:paraId="7CB3BECC">
      <w:pPr>
        <w:pStyle w:val="4"/>
        <w:numPr>
          <w:ilvl w:val="0"/>
          <w:numId w:val="0"/>
        </w:numPr>
        <w:ind w:right="357" w:rightChars="0"/>
        <w:rPr>
          <w:rFonts w:hint="eastAsia"/>
          <w:lang w:val="en-US" w:eastAsia="zh-CN"/>
        </w:rPr>
      </w:pPr>
      <w:r>
        <w:rPr>
          <w:rFonts w:hint="eastAsia"/>
          <w:lang w:val="en-US" w:eastAsia="zh-CN"/>
        </w:rPr>
        <w:t>卫生间：无异味。</w:t>
      </w:r>
    </w:p>
    <w:p w14:paraId="5F3A2E64">
      <w:pPr>
        <w:pStyle w:val="4"/>
        <w:numPr>
          <w:ilvl w:val="0"/>
          <w:numId w:val="0"/>
        </w:numPr>
        <w:ind w:right="357" w:rightChars="0"/>
        <w:rPr>
          <w:rFonts w:hint="eastAsia"/>
          <w:lang w:val="en-US" w:eastAsia="zh-CN"/>
        </w:rPr>
      </w:pPr>
      <w:r>
        <w:rPr>
          <w:rFonts w:hint="eastAsia"/>
          <w:lang w:val="en-US" w:eastAsia="zh-CN"/>
        </w:rPr>
        <w:t>地面：无尘土、碎纸、垃圾烟头、无积水、无尿迹、污迹，地漏盖不得掀起或拿掉。</w:t>
      </w:r>
    </w:p>
    <w:p w14:paraId="429A2504">
      <w:pPr>
        <w:pStyle w:val="4"/>
        <w:numPr>
          <w:ilvl w:val="0"/>
          <w:numId w:val="0"/>
        </w:numPr>
        <w:ind w:right="357" w:rightChars="0"/>
        <w:rPr>
          <w:rFonts w:hint="eastAsia"/>
          <w:lang w:val="en-US" w:eastAsia="zh-CN"/>
        </w:rPr>
      </w:pPr>
      <w:r>
        <w:rPr>
          <w:rFonts w:hint="eastAsia"/>
          <w:lang w:val="en-US" w:eastAsia="zh-CN"/>
        </w:rPr>
        <w:t>洗手池：瓷壁无污垢，无痰迹及头发等不洁物。</w:t>
      </w:r>
    </w:p>
    <w:p w14:paraId="35956FEA">
      <w:pPr>
        <w:pStyle w:val="4"/>
        <w:numPr>
          <w:ilvl w:val="0"/>
          <w:numId w:val="0"/>
        </w:numPr>
        <w:ind w:right="357" w:rightChars="0"/>
        <w:rPr>
          <w:rFonts w:hint="eastAsia"/>
          <w:lang w:val="en-US" w:eastAsia="zh-CN"/>
        </w:rPr>
      </w:pPr>
      <w:r>
        <w:rPr>
          <w:rFonts w:hint="eastAsia"/>
          <w:lang w:val="en-US" w:eastAsia="zh-CN"/>
        </w:rPr>
        <w:t>水龙头：无印迹、污垢、光亮、洁净。</w:t>
      </w:r>
    </w:p>
    <w:p w14:paraId="40DDC5B8">
      <w:pPr>
        <w:pStyle w:val="4"/>
        <w:numPr>
          <w:ilvl w:val="0"/>
          <w:numId w:val="0"/>
        </w:numPr>
        <w:ind w:right="357" w:rightChars="0"/>
        <w:rPr>
          <w:rFonts w:hint="eastAsia"/>
          <w:lang w:val="en-US" w:eastAsia="zh-CN"/>
        </w:rPr>
      </w:pPr>
      <w:r>
        <w:rPr>
          <w:rFonts w:hint="eastAsia"/>
          <w:lang w:val="en-US" w:eastAsia="zh-CN"/>
        </w:rPr>
        <w:t>洗手池台面：无水迹、无尘土、无污物。</w:t>
      </w:r>
    </w:p>
    <w:p w14:paraId="25D03140">
      <w:pPr>
        <w:pStyle w:val="4"/>
        <w:numPr>
          <w:ilvl w:val="0"/>
          <w:numId w:val="0"/>
        </w:numPr>
        <w:ind w:right="357" w:rightChars="0"/>
        <w:rPr>
          <w:rFonts w:hint="eastAsia"/>
          <w:lang w:val="en-US" w:eastAsia="zh-CN"/>
        </w:rPr>
      </w:pPr>
      <w:r>
        <w:rPr>
          <w:rFonts w:hint="eastAsia"/>
          <w:lang w:val="en-US" w:eastAsia="zh-CN"/>
        </w:rPr>
        <w:t>镜面：无水点、水迹、尘土、污迹。</w:t>
      </w:r>
    </w:p>
    <w:p w14:paraId="1FF4443D">
      <w:pPr>
        <w:pStyle w:val="4"/>
        <w:numPr>
          <w:ilvl w:val="0"/>
          <w:numId w:val="0"/>
        </w:numPr>
        <w:ind w:right="357" w:rightChars="0"/>
        <w:rPr>
          <w:rFonts w:hint="eastAsia"/>
          <w:lang w:val="en-US" w:eastAsia="zh-CN"/>
        </w:rPr>
      </w:pPr>
      <w:r>
        <w:rPr>
          <w:rFonts w:hint="eastAsia"/>
          <w:lang w:val="en-US" w:eastAsia="zh-CN"/>
        </w:rPr>
        <w:t>小便池：无尿硷水锈引迹(黄迹)、无污物、喷水嘴应洁净。</w:t>
      </w:r>
    </w:p>
    <w:p w14:paraId="73A87F35">
      <w:pPr>
        <w:pStyle w:val="4"/>
        <w:numPr>
          <w:ilvl w:val="0"/>
          <w:numId w:val="0"/>
        </w:numPr>
        <w:ind w:right="357" w:rightChars="0"/>
        <w:rPr>
          <w:rFonts w:hint="eastAsia"/>
          <w:lang w:val="en-US" w:eastAsia="zh-CN"/>
        </w:rPr>
      </w:pPr>
      <w:r>
        <w:rPr>
          <w:rFonts w:hint="eastAsia"/>
          <w:lang w:val="en-US" w:eastAsia="zh-CN"/>
        </w:rPr>
        <w:t>大便器：内外洁净、无大便痕迹、无污垢黄迹。每天保洁消毒1-2次，有污染时随时消毒。</w:t>
      </w:r>
    </w:p>
    <w:p w14:paraId="1AC90D99">
      <w:pPr>
        <w:pStyle w:val="4"/>
        <w:numPr>
          <w:ilvl w:val="0"/>
          <w:numId w:val="0"/>
        </w:numPr>
        <w:ind w:right="357" w:rightChars="0"/>
        <w:rPr>
          <w:rFonts w:hint="eastAsia"/>
          <w:lang w:val="en-US" w:eastAsia="zh-CN"/>
        </w:rPr>
      </w:pPr>
      <w:r>
        <w:rPr>
          <w:rFonts w:hint="eastAsia"/>
          <w:lang w:val="en-US" w:eastAsia="zh-CN"/>
        </w:rPr>
        <w:t>手纸架：无手印、光亮、洁净。</w:t>
      </w:r>
    </w:p>
    <w:p w14:paraId="6038F48A">
      <w:pPr>
        <w:pStyle w:val="4"/>
        <w:numPr>
          <w:ilvl w:val="0"/>
          <w:numId w:val="0"/>
        </w:numPr>
        <w:ind w:right="357" w:rightChars="0"/>
        <w:rPr>
          <w:rFonts w:hint="eastAsia"/>
          <w:lang w:val="en-US" w:eastAsia="zh-CN"/>
        </w:rPr>
      </w:pPr>
      <w:r>
        <w:rPr>
          <w:rFonts w:hint="eastAsia"/>
          <w:lang w:val="en-US" w:eastAsia="zh-CN"/>
        </w:rPr>
        <w:t>纸篓：污物量不超过桶体 2/3，内外表干净。</w:t>
      </w:r>
    </w:p>
    <w:p w14:paraId="1CD99AE5">
      <w:pPr>
        <w:pStyle w:val="4"/>
        <w:numPr>
          <w:ilvl w:val="0"/>
          <w:numId w:val="0"/>
        </w:numPr>
        <w:ind w:right="357" w:rightChars="0"/>
        <w:rPr>
          <w:rFonts w:hint="eastAsia"/>
          <w:lang w:val="en-US" w:eastAsia="zh-CN"/>
        </w:rPr>
      </w:pPr>
      <w:r>
        <w:rPr>
          <w:rFonts w:hint="eastAsia"/>
          <w:lang w:val="en-US" w:eastAsia="zh-CN"/>
        </w:rPr>
        <w:t>墙面：无尘土，污迹。</w:t>
      </w:r>
    </w:p>
    <w:p w14:paraId="498D5446">
      <w:pPr>
        <w:pStyle w:val="4"/>
        <w:numPr>
          <w:ilvl w:val="0"/>
          <w:numId w:val="0"/>
        </w:numPr>
        <w:ind w:right="357" w:rightChars="0"/>
        <w:rPr>
          <w:rFonts w:hint="eastAsia"/>
          <w:lang w:val="en-US" w:eastAsia="zh-CN"/>
        </w:rPr>
      </w:pPr>
      <w:r>
        <w:rPr>
          <w:rFonts w:hint="eastAsia"/>
          <w:lang w:val="en-US" w:eastAsia="zh-CN"/>
        </w:rPr>
        <w:t>隔板：无尘土，污迹。</w:t>
      </w:r>
    </w:p>
    <w:p w14:paraId="47D9CF37">
      <w:pPr>
        <w:pStyle w:val="4"/>
        <w:numPr>
          <w:ilvl w:val="0"/>
          <w:numId w:val="0"/>
        </w:numPr>
        <w:ind w:right="357" w:rightChars="0"/>
        <w:rPr>
          <w:rFonts w:hint="eastAsia"/>
          <w:lang w:val="en-US" w:eastAsia="zh-CN"/>
        </w:rPr>
      </w:pPr>
      <w:r>
        <w:rPr>
          <w:rFonts w:hint="eastAsia"/>
          <w:lang w:val="en-US" w:eastAsia="zh-CN"/>
        </w:rPr>
        <w:t>3、电梯保洁标准：</w:t>
      </w:r>
    </w:p>
    <w:p w14:paraId="1FC9873E">
      <w:pPr>
        <w:pStyle w:val="4"/>
        <w:numPr>
          <w:ilvl w:val="0"/>
          <w:numId w:val="0"/>
        </w:numPr>
        <w:ind w:right="357" w:rightChars="0"/>
        <w:rPr>
          <w:rFonts w:hint="eastAsia"/>
          <w:lang w:val="en-US" w:eastAsia="zh-CN"/>
        </w:rPr>
      </w:pPr>
      <w:r>
        <w:rPr>
          <w:rFonts w:hint="eastAsia"/>
          <w:lang w:val="en-US" w:eastAsia="zh-CN"/>
        </w:rPr>
        <w:t>地面：无尘土、痰迹、碎纸、烟头及垃圾杂务。</w:t>
      </w:r>
    </w:p>
    <w:p w14:paraId="68DAB3C8">
      <w:pPr>
        <w:pStyle w:val="4"/>
        <w:numPr>
          <w:ilvl w:val="0"/>
          <w:numId w:val="0"/>
        </w:numPr>
        <w:ind w:right="357" w:rightChars="0"/>
        <w:rPr>
          <w:rFonts w:hint="eastAsia"/>
          <w:lang w:val="en-US" w:eastAsia="zh-CN"/>
        </w:rPr>
      </w:pPr>
      <w:r>
        <w:rPr>
          <w:rFonts w:hint="eastAsia"/>
          <w:lang w:val="en-US" w:eastAsia="zh-CN"/>
        </w:rPr>
        <w:t>墙面：无污迹。</w:t>
      </w:r>
    </w:p>
    <w:p w14:paraId="37F1D99E">
      <w:pPr>
        <w:pStyle w:val="4"/>
        <w:numPr>
          <w:ilvl w:val="0"/>
          <w:numId w:val="0"/>
        </w:numPr>
        <w:ind w:right="357" w:rightChars="0"/>
        <w:rPr>
          <w:rFonts w:hint="default"/>
          <w:lang w:val="en-US" w:eastAsia="zh-CN"/>
        </w:rPr>
      </w:pPr>
      <w:r>
        <w:rPr>
          <w:rFonts w:hint="eastAsia"/>
          <w:lang w:val="en-US" w:eastAsia="zh-CN"/>
        </w:rPr>
        <w:t>楼梯门：无尘土、污迹。</w:t>
      </w:r>
    </w:p>
    <w:p w14:paraId="361B771B">
      <w:pPr>
        <w:pStyle w:val="4"/>
        <w:numPr>
          <w:ilvl w:val="0"/>
          <w:numId w:val="0"/>
        </w:numPr>
        <w:ind w:right="357" w:rightChars="0"/>
        <w:rPr>
          <w:rFonts w:hint="eastAsia"/>
          <w:lang w:val="en-US" w:eastAsia="zh-CN"/>
        </w:rPr>
      </w:pPr>
      <w:r>
        <w:rPr>
          <w:rFonts w:hint="eastAsia"/>
          <w:lang w:val="en-US" w:eastAsia="zh-CN"/>
        </w:rPr>
        <w:t>消防设备：表面无尘土。</w:t>
      </w:r>
    </w:p>
    <w:p w14:paraId="0689968A">
      <w:pPr>
        <w:pStyle w:val="4"/>
        <w:numPr>
          <w:ilvl w:val="0"/>
          <w:numId w:val="0"/>
        </w:numPr>
        <w:ind w:right="357" w:rightChars="0"/>
        <w:rPr>
          <w:rFonts w:hint="eastAsia"/>
          <w:lang w:val="en-US" w:eastAsia="zh-CN"/>
        </w:rPr>
      </w:pPr>
      <w:r>
        <w:rPr>
          <w:rFonts w:hint="eastAsia"/>
          <w:lang w:val="en-US" w:eastAsia="zh-CN"/>
        </w:rPr>
        <w:t>楼梯：地面无尘土、烟头、痰迹及垃圾杂务，扶手无尘土。</w:t>
      </w:r>
    </w:p>
    <w:p w14:paraId="146EBA41">
      <w:pPr>
        <w:pStyle w:val="4"/>
        <w:numPr>
          <w:ilvl w:val="0"/>
          <w:numId w:val="0"/>
        </w:numPr>
        <w:ind w:right="357" w:rightChars="0"/>
        <w:rPr>
          <w:rFonts w:hint="eastAsia"/>
          <w:lang w:val="en-US" w:eastAsia="zh-CN"/>
        </w:rPr>
      </w:pPr>
      <w:r>
        <w:rPr>
          <w:rFonts w:hint="eastAsia"/>
          <w:lang w:val="en-US" w:eastAsia="zh-CN"/>
        </w:rPr>
        <w:t>4、办公室保洁标准</w:t>
      </w:r>
    </w:p>
    <w:p w14:paraId="53FE022E">
      <w:pPr>
        <w:pStyle w:val="4"/>
        <w:numPr>
          <w:ilvl w:val="0"/>
          <w:numId w:val="0"/>
        </w:numPr>
        <w:ind w:right="357" w:rightChars="0"/>
        <w:rPr>
          <w:rFonts w:hint="eastAsia"/>
          <w:lang w:val="en-US" w:eastAsia="zh-CN"/>
        </w:rPr>
      </w:pPr>
      <w:r>
        <w:rPr>
          <w:rFonts w:hint="eastAsia"/>
          <w:lang w:val="en-US" w:eastAsia="zh-CN"/>
        </w:rPr>
        <w:t>地面：无尘土，无水渍，所有垃圾桶、碎纸机保持外表干净。</w:t>
      </w:r>
    </w:p>
    <w:p w14:paraId="44BC9EB8">
      <w:pPr>
        <w:pStyle w:val="4"/>
        <w:numPr>
          <w:ilvl w:val="0"/>
          <w:numId w:val="0"/>
        </w:numPr>
        <w:ind w:right="357" w:rightChars="0"/>
        <w:rPr>
          <w:rFonts w:hint="eastAsia"/>
          <w:lang w:val="en-US" w:eastAsia="zh-CN"/>
        </w:rPr>
      </w:pPr>
      <w:r>
        <w:rPr>
          <w:rFonts w:hint="eastAsia"/>
          <w:lang w:val="en-US" w:eastAsia="zh-CN"/>
        </w:rPr>
        <w:t>5、馆前保证无机动车辆，每周冲刷馆前广场，广场整洁、卫生、无杂物。人行道、走道绿化带内无垃圾、烟头、杂物。</w:t>
      </w:r>
    </w:p>
    <w:p w14:paraId="56816E67">
      <w:pPr>
        <w:pStyle w:val="4"/>
        <w:numPr>
          <w:ilvl w:val="0"/>
          <w:numId w:val="0"/>
        </w:numPr>
        <w:ind w:right="357" w:rightChars="0"/>
        <w:rPr>
          <w:rFonts w:hint="eastAsia"/>
          <w:lang w:val="en-US" w:eastAsia="zh-CN"/>
        </w:rPr>
      </w:pPr>
      <w:r>
        <w:rPr>
          <w:rFonts w:hint="eastAsia"/>
          <w:lang w:val="en-US" w:eastAsia="zh-CN"/>
        </w:rPr>
        <w:t>6、有应对暴雨、强风、大雪等强对流天气的应急措施，防滑措施到位。</w:t>
      </w:r>
    </w:p>
    <w:p w14:paraId="5C27FF36">
      <w:pPr>
        <w:pStyle w:val="4"/>
        <w:numPr>
          <w:ilvl w:val="0"/>
          <w:numId w:val="0"/>
        </w:numPr>
        <w:ind w:right="357" w:rightChars="0"/>
        <w:rPr>
          <w:rFonts w:hint="eastAsia"/>
          <w:b/>
          <w:bCs/>
          <w:lang w:val="en-US" w:eastAsia="zh-CN"/>
        </w:rPr>
      </w:pPr>
      <w:r>
        <w:rPr>
          <w:rFonts w:hint="eastAsia"/>
          <w:b/>
          <w:bCs/>
          <w:lang w:val="en-US" w:eastAsia="zh-CN"/>
        </w:rPr>
        <w:t>(3)其他保洁及服务质量标准</w:t>
      </w:r>
    </w:p>
    <w:p w14:paraId="623531A4">
      <w:pPr>
        <w:pStyle w:val="4"/>
        <w:numPr>
          <w:ilvl w:val="0"/>
          <w:numId w:val="0"/>
        </w:numPr>
        <w:ind w:right="357" w:rightChars="0"/>
        <w:rPr>
          <w:rFonts w:hint="eastAsia"/>
          <w:lang w:val="en-US" w:eastAsia="zh-CN"/>
        </w:rPr>
      </w:pPr>
      <w:r>
        <w:rPr>
          <w:rFonts w:hint="eastAsia"/>
          <w:lang w:val="en-US" w:eastAsia="zh-CN"/>
        </w:rPr>
        <w:t>1、室内地面(含走廊)保持干净，尤其是雨天要加强管理，防止行人跌倒、摔伤，确保安全，楼内大厅、走廊、楼梯地面干净无杂物、污渍、血迹、积水。</w:t>
      </w:r>
    </w:p>
    <w:p w14:paraId="4E6B9B23">
      <w:pPr>
        <w:pStyle w:val="4"/>
        <w:numPr>
          <w:ilvl w:val="0"/>
          <w:numId w:val="0"/>
        </w:numPr>
        <w:ind w:right="357" w:rightChars="0"/>
        <w:rPr>
          <w:rFonts w:hint="eastAsia"/>
          <w:lang w:val="en-US" w:eastAsia="zh-CN"/>
        </w:rPr>
      </w:pPr>
      <w:r>
        <w:rPr>
          <w:rFonts w:hint="eastAsia"/>
          <w:lang w:val="en-US" w:eastAsia="zh-CN"/>
        </w:rPr>
        <w:t>2、垃圾桶内垃圾不能超过 3/4，表面干净，无污溃，定点定时运送到指定地点，及时刷洗无异味。</w:t>
      </w:r>
    </w:p>
    <w:p w14:paraId="200B6F6F">
      <w:pPr>
        <w:pStyle w:val="4"/>
        <w:numPr>
          <w:ilvl w:val="0"/>
          <w:numId w:val="0"/>
        </w:numPr>
        <w:ind w:right="357" w:rightChars="0"/>
        <w:rPr>
          <w:rFonts w:hint="eastAsia"/>
          <w:lang w:val="en-US" w:eastAsia="zh-CN"/>
        </w:rPr>
      </w:pPr>
      <w:r>
        <w:rPr>
          <w:rFonts w:hint="eastAsia"/>
          <w:lang w:val="en-US" w:eastAsia="zh-CN"/>
        </w:rPr>
        <w:t>3、严格按照清洁步骤：桌面→地面→走廊→洗漱间→卫生间→清运垃圾，进行室内全面清洁服务。</w:t>
      </w:r>
    </w:p>
    <w:p w14:paraId="6DDD7815">
      <w:pPr>
        <w:pStyle w:val="4"/>
        <w:numPr>
          <w:ilvl w:val="0"/>
          <w:numId w:val="0"/>
        </w:numPr>
        <w:ind w:right="357" w:rightChars="0"/>
        <w:rPr>
          <w:rFonts w:hint="eastAsia"/>
          <w:lang w:val="en-US" w:eastAsia="zh-CN"/>
        </w:rPr>
      </w:pPr>
      <w:r>
        <w:rPr>
          <w:rFonts w:hint="eastAsia"/>
          <w:lang w:val="en-US" w:eastAsia="zh-CN"/>
        </w:rPr>
        <w:t>4、清洁服务人员管理要求</w:t>
      </w:r>
    </w:p>
    <w:p w14:paraId="5C22D343">
      <w:pPr>
        <w:pStyle w:val="4"/>
        <w:numPr>
          <w:ilvl w:val="0"/>
          <w:numId w:val="0"/>
        </w:numPr>
        <w:ind w:right="357" w:rightChars="0"/>
        <w:rPr>
          <w:rFonts w:hint="eastAsia"/>
          <w:lang w:val="en-US" w:eastAsia="zh-CN"/>
        </w:rPr>
      </w:pPr>
      <w:r>
        <w:rPr>
          <w:rFonts w:hint="eastAsia"/>
          <w:lang w:val="en-US" w:eastAsia="zh-CN"/>
        </w:rPr>
        <w:t>应对所有环境清洁服务人员开展上岗培训和定期培训，清洁服务人员实施清洁与消毒时应做好个人防护。</w:t>
      </w:r>
    </w:p>
    <w:p w14:paraId="5F5413C8">
      <w:pPr>
        <w:pStyle w:val="4"/>
        <w:numPr>
          <w:ilvl w:val="0"/>
          <w:numId w:val="0"/>
        </w:numPr>
        <w:ind w:right="357" w:rightChars="0"/>
        <w:rPr>
          <w:rFonts w:hint="eastAsia"/>
          <w:lang w:val="en-US" w:eastAsia="zh-CN"/>
        </w:rPr>
      </w:pPr>
      <w:r>
        <w:rPr>
          <w:rFonts w:hint="eastAsia"/>
          <w:lang w:val="en-US" w:eastAsia="zh-CN"/>
        </w:rPr>
        <w:t>注意事项</w:t>
      </w:r>
    </w:p>
    <w:p w14:paraId="32E4D873">
      <w:pPr>
        <w:pStyle w:val="4"/>
        <w:numPr>
          <w:ilvl w:val="0"/>
          <w:numId w:val="0"/>
        </w:numPr>
        <w:ind w:right="357" w:rightChars="0"/>
        <w:rPr>
          <w:rFonts w:hint="eastAsia"/>
          <w:lang w:val="en-US" w:eastAsia="zh-CN"/>
        </w:rPr>
      </w:pPr>
      <w:r>
        <w:rPr>
          <w:rFonts w:hint="eastAsia"/>
          <w:lang w:val="en-US" w:eastAsia="zh-CN"/>
        </w:rPr>
        <w:t>地面和物体表面应保持清洁，当遇到明显污染时，应及时进行消毒处理，所用消毒剂应符合国家相关要求。</w:t>
      </w:r>
    </w:p>
    <w:p w14:paraId="4AFFA6F8">
      <w:pPr>
        <w:pStyle w:val="4"/>
        <w:numPr>
          <w:ilvl w:val="0"/>
          <w:numId w:val="0"/>
        </w:numPr>
        <w:ind w:right="357" w:rightChars="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(四)人员岗位设置</w:t>
      </w:r>
    </w:p>
    <w:p w14:paraId="12E9DCB0">
      <w:pPr>
        <w:pStyle w:val="4"/>
        <w:numPr>
          <w:ilvl w:val="0"/>
          <w:numId w:val="0"/>
        </w:numPr>
        <w:ind w:right="357" w:rightChars="0"/>
        <w:rPr>
          <w:rFonts w:hint="default"/>
          <w:lang w:val="en-US" w:eastAsia="zh-CN"/>
        </w:rPr>
      </w:pPr>
      <w:r>
        <w:rPr>
          <w:rFonts w:hint="eastAsia"/>
          <w:lang w:val="en-US" w:eastAsia="zh-CN"/>
        </w:rPr>
        <w:t>物业人员配备计划为21人，分别为物业管理员1人(主要负责物业管理工作，对物业人员进行整体安排)；保安13人(包含消防、安保监控人员4名，电梯口1名，安保人员8名)，保洁人员5名，水电维修工2名。</w:t>
      </w:r>
    </w:p>
    <w:p w14:paraId="0594A5E2">
      <w:pPr>
        <w:pStyle w:val="4"/>
        <w:numPr>
          <w:ilvl w:val="0"/>
          <w:numId w:val="0"/>
        </w:numPr>
        <w:ind w:right="357" w:rightChars="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(五)物业职责</w:t>
      </w:r>
    </w:p>
    <w:p w14:paraId="4817AE4D">
      <w:pPr>
        <w:pStyle w:val="4"/>
        <w:numPr>
          <w:ilvl w:val="0"/>
          <w:numId w:val="0"/>
        </w:numPr>
        <w:ind w:right="357" w:rightChars="0"/>
        <w:rPr>
          <w:rFonts w:hint="eastAsia"/>
          <w:lang w:val="en-US" w:eastAsia="zh-CN"/>
        </w:rPr>
      </w:pPr>
      <w:r>
        <w:rPr>
          <w:rFonts w:hint="eastAsia"/>
          <w:lang w:val="en-US" w:eastAsia="zh-CN"/>
        </w:rPr>
        <w:t>1、负责馆内所有供水、供电设施设备的管理、维护、检修和更换等；发现问题及时维修，小修不超过2小时，中修不超过4小时，大修不超过24小时，维修合格率要达到 100%，有排查和维修记录。</w:t>
      </w:r>
    </w:p>
    <w:p w14:paraId="44F60124">
      <w:pPr>
        <w:pStyle w:val="4"/>
        <w:numPr>
          <w:ilvl w:val="0"/>
          <w:numId w:val="0"/>
        </w:numPr>
        <w:ind w:right="357" w:rightChars="0"/>
        <w:rPr>
          <w:rFonts w:hint="eastAsia"/>
          <w:lang w:val="en-US" w:eastAsia="zh-CN"/>
        </w:rPr>
      </w:pPr>
      <w:r>
        <w:rPr>
          <w:rFonts w:hint="eastAsia"/>
          <w:lang w:val="en-US" w:eastAsia="zh-CN"/>
        </w:rPr>
        <w:t>2、负责馆内门岗、监控安全防范工作，查验出入馆内人员的相关证件和携带物品，防止危险物品带入馆内；馆内物资设备运出或搬出馆内的，须经有关部门出具证明材料，填写出入登记簿，并经检查无误后方可放行。</w:t>
      </w:r>
    </w:p>
    <w:p w14:paraId="04EE8848">
      <w:pPr>
        <w:pStyle w:val="4"/>
        <w:numPr>
          <w:ilvl w:val="0"/>
          <w:numId w:val="0"/>
        </w:numPr>
        <w:ind w:right="357" w:rightChars="0"/>
        <w:rPr>
          <w:rFonts w:hint="eastAsia"/>
          <w:lang w:val="en-US" w:eastAsia="zh-CN"/>
        </w:rPr>
      </w:pPr>
      <w:r>
        <w:rPr>
          <w:rFonts w:hint="eastAsia"/>
          <w:lang w:val="en-US" w:eastAsia="zh-CN"/>
        </w:rPr>
        <w:t>3、负责馆内环境卫生的保洁清洁、绿化树木的日常维护管理及馆内安保工作。</w:t>
      </w:r>
    </w:p>
    <w:p w14:paraId="6AAFE0B5">
      <w:pPr>
        <w:pStyle w:val="4"/>
        <w:numPr>
          <w:ilvl w:val="0"/>
          <w:numId w:val="0"/>
        </w:numPr>
        <w:ind w:right="357" w:rightChars="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(六)对物业公司要求</w:t>
      </w:r>
    </w:p>
    <w:p w14:paraId="687854B5">
      <w:pPr>
        <w:pStyle w:val="4"/>
        <w:numPr>
          <w:ilvl w:val="0"/>
          <w:numId w:val="0"/>
        </w:numPr>
        <w:ind w:right="357" w:rightChars="0"/>
        <w:rPr>
          <w:rFonts w:hint="eastAsia"/>
          <w:lang w:val="en-US" w:eastAsia="zh-CN"/>
        </w:rPr>
      </w:pPr>
      <w:r>
        <w:rPr>
          <w:rFonts w:hint="eastAsia"/>
          <w:lang w:val="en-US" w:eastAsia="zh-CN"/>
        </w:rPr>
        <w:t>1、物业公司须具有一定的物业项目管理服务经验，专业技术人员具有相应服务能力，服务人员身体健康。</w:t>
      </w:r>
    </w:p>
    <w:p w14:paraId="72E7A12D">
      <w:pPr>
        <w:pStyle w:val="4"/>
        <w:numPr>
          <w:ilvl w:val="0"/>
          <w:numId w:val="0"/>
        </w:numPr>
        <w:ind w:right="357" w:rightChars="0"/>
        <w:rPr>
          <w:rFonts w:hint="eastAsia"/>
          <w:lang w:val="en-US" w:eastAsia="zh-CN"/>
        </w:rPr>
      </w:pPr>
      <w:r>
        <w:rPr>
          <w:rFonts w:hint="eastAsia"/>
          <w:lang w:val="en-US" w:eastAsia="zh-CN"/>
        </w:rPr>
        <w:t>2、物业公司应制订物业服务方案、组织架构、人员录用、档案制订和管理等规章制度并在实施前报馆方审核，一经馆内确认不得随意更改。</w:t>
      </w:r>
    </w:p>
    <w:p w14:paraId="75E25A9E">
      <w:pPr>
        <w:pStyle w:val="4"/>
        <w:numPr>
          <w:ilvl w:val="0"/>
          <w:numId w:val="0"/>
        </w:numPr>
        <w:ind w:right="357" w:rightChars="0"/>
        <w:rPr>
          <w:rFonts w:hint="eastAsia"/>
          <w:lang w:val="en-US" w:eastAsia="zh-CN"/>
        </w:rPr>
      </w:pPr>
      <w:r>
        <w:rPr>
          <w:rFonts w:hint="eastAsia"/>
          <w:lang w:val="en-US" w:eastAsia="zh-CN"/>
        </w:rPr>
        <w:t>3、物业公司应有详细的人员配备计划，其中上岗人员(按专业要求，维修水电工均需持证上岗。男的年龄不超过65岁，女的不超过57岁，至少3年以上工作经验。其中物业人员60岁以下人数占总人数的30%，物业公司对录用人员要求严格审查，并报馆内备案。)</w:t>
      </w:r>
    </w:p>
    <w:p w14:paraId="7A81EC7D">
      <w:pPr>
        <w:pStyle w:val="4"/>
        <w:numPr>
          <w:ilvl w:val="0"/>
          <w:numId w:val="0"/>
        </w:numPr>
        <w:ind w:right="357" w:rightChars="0"/>
        <w:rPr>
          <w:rFonts w:hint="eastAsia"/>
          <w:lang w:val="en-US" w:eastAsia="zh-CN"/>
        </w:rPr>
      </w:pPr>
      <w:r>
        <w:rPr>
          <w:rFonts w:hint="eastAsia"/>
          <w:lang w:val="en-US" w:eastAsia="zh-CN"/>
        </w:rPr>
        <w:t>4、在紧急、突发事故时，馆内对物业服务公司人员有直接指挥权。</w:t>
      </w:r>
    </w:p>
    <w:p w14:paraId="223FF37A">
      <w:pPr>
        <w:pStyle w:val="4"/>
        <w:numPr>
          <w:ilvl w:val="0"/>
          <w:numId w:val="0"/>
        </w:numPr>
        <w:ind w:right="357" w:rightChars="0"/>
        <w:rPr>
          <w:rFonts w:hint="eastAsia"/>
          <w:lang w:val="en-US" w:eastAsia="zh-CN"/>
        </w:rPr>
      </w:pPr>
      <w:r>
        <w:rPr>
          <w:rFonts w:hint="eastAsia"/>
          <w:lang w:val="en-US" w:eastAsia="zh-CN"/>
        </w:rPr>
        <w:t>5、物业公司要加强对员工进行教育培训，按岗位要求统一着装、言行规范，要注意仪容仪表、公众形象，不得与馆内上班人员发生任何争执、争吵、打骂等行为。</w:t>
      </w:r>
    </w:p>
    <w:p w14:paraId="4DD34329">
      <w:pPr>
        <w:pStyle w:val="4"/>
        <w:numPr>
          <w:ilvl w:val="0"/>
          <w:numId w:val="0"/>
        </w:numPr>
        <w:ind w:right="357" w:rightChars="0"/>
        <w:rPr>
          <w:rFonts w:hint="eastAsia"/>
          <w:lang w:val="en-US" w:eastAsia="zh-CN"/>
        </w:rPr>
      </w:pPr>
      <w:r>
        <w:rPr>
          <w:rFonts w:hint="eastAsia"/>
          <w:lang w:val="en-US" w:eastAsia="zh-CN"/>
        </w:rPr>
        <w:t>6、物业公司要有具体、可操作性强的节能减排工作实施措施与方案。</w:t>
      </w:r>
    </w:p>
    <w:p w14:paraId="345AE5E8">
      <w:pPr>
        <w:pStyle w:val="4"/>
        <w:numPr>
          <w:ilvl w:val="0"/>
          <w:numId w:val="0"/>
        </w:numPr>
        <w:ind w:right="357" w:rightChars="0"/>
        <w:rPr>
          <w:rFonts w:hint="eastAsia"/>
          <w:lang w:val="en-US" w:eastAsia="zh-CN"/>
        </w:rPr>
      </w:pPr>
      <w:r>
        <w:rPr>
          <w:rFonts w:hint="eastAsia"/>
          <w:lang w:val="en-US" w:eastAsia="zh-CN"/>
        </w:rPr>
        <w:t>7、物业公司不得擅自更改所有房屋、设备等的位置和用途。</w:t>
      </w:r>
    </w:p>
    <w:p w14:paraId="2F9A9FD6">
      <w:pPr>
        <w:pStyle w:val="4"/>
        <w:numPr>
          <w:ilvl w:val="0"/>
          <w:numId w:val="0"/>
        </w:numPr>
        <w:ind w:right="357" w:rightChars="0"/>
        <w:rPr>
          <w:rFonts w:hint="eastAsia"/>
          <w:lang w:val="en-US" w:eastAsia="zh-CN"/>
        </w:rPr>
      </w:pPr>
      <w:r>
        <w:rPr>
          <w:rFonts w:hint="eastAsia"/>
          <w:lang w:val="en-US" w:eastAsia="zh-CN"/>
        </w:rPr>
        <w:t>8、物业公司应严格落实馆内安全检查、文明单位创建、平安建设示范单位创建、卫生先进单位创建等的各项要求，并积极配合创建活动的开展和检查。</w:t>
      </w:r>
    </w:p>
    <w:p w14:paraId="2A242B51">
      <w:pPr>
        <w:pStyle w:val="4"/>
        <w:numPr>
          <w:ilvl w:val="0"/>
          <w:numId w:val="0"/>
        </w:numPr>
        <w:ind w:right="357" w:rightChars="0"/>
        <w:rPr>
          <w:rFonts w:hint="eastAsia"/>
          <w:lang w:val="en-US" w:eastAsia="zh-CN"/>
        </w:rPr>
      </w:pPr>
      <w:r>
        <w:rPr>
          <w:rFonts w:hint="eastAsia"/>
          <w:lang w:val="en-US" w:eastAsia="zh-CN"/>
        </w:rPr>
        <w:t>9、物业公司要注重精神文明建设，主动配合馆内文化建设。</w:t>
      </w:r>
    </w:p>
    <w:p w14:paraId="4942B78D">
      <w:pPr>
        <w:pStyle w:val="4"/>
        <w:numPr>
          <w:ilvl w:val="0"/>
          <w:numId w:val="0"/>
        </w:numPr>
        <w:ind w:right="357" w:rightChars="0"/>
        <w:rPr>
          <w:rFonts w:hint="eastAsia"/>
          <w:lang w:val="en-US" w:eastAsia="zh-CN"/>
        </w:rPr>
      </w:pPr>
      <w:r>
        <w:rPr>
          <w:rFonts w:hint="eastAsia"/>
          <w:lang w:val="en-US" w:eastAsia="zh-CN"/>
        </w:rPr>
        <w:t>10、物业公司所有员工在岗履行工作职贵期间，发生因员工违规操作原因造成的人身伤害、伤亡等事故，由员工和物业公司负责，馆内不承担任何责任。</w:t>
      </w:r>
    </w:p>
    <w:p w14:paraId="3E34A7F3">
      <w:pPr>
        <w:pStyle w:val="4"/>
        <w:numPr>
          <w:ilvl w:val="0"/>
          <w:numId w:val="0"/>
        </w:numPr>
        <w:ind w:right="357" w:rightChars="0"/>
        <w:rPr>
          <w:rFonts w:hint="eastAsia"/>
          <w:lang w:val="en-US" w:eastAsia="zh-CN"/>
        </w:rPr>
      </w:pPr>
      <w:r>
        <w:rPr>
          <w:rFonts w:hint="eastAsia"/>
          <w:lang w:val="en-US" w:eastAsia="zh-CN"/>
        </w:rPr>
        <w:t>11、物业公司所有人员工作期间严禁离岗、擅离职守、饮酒以及从事各种娱乐活动。应严格遵守馆内的各项规章制度，认真履行岗位责任。</w:t>
      </w:r>
    </w:p>
    <w:p w14:paraId="68475909">
      <w:pPr>
        <w:pStyle w:val="4"/>
        <w:numPr>
          <w:ilvl w:val="0"/>
          <w:numId w:val="0"/>
        </w:numPr>
        <w:ind w:right="357" w:rightChars="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(七)物业服务费</w:t>
      </w:r>
    </w:p>
    <w:p w14:paraId="6C8F7E11">
      <w:pPr>
        <w:pStyle w:val="4"/>
        <w:numPr>
          <w:ilvl w:val="0"/>
          <w:numId w:val="0"/>
        </w:numPr>
        <w:ind w:right="357" w:rightChars="0"/>
        <w:rPr>
          <w:rFonts w:hint="eastAsia"/>
          <w:lang w:val="en-US" w:eastAsia="zh-CN"/>
        </w:rPr>
      </w:pPr>
      <w:r>
        <w:rPr>
          <w:rFonts w:hint="eastAsia"/>
          <w:lang w:val="en-US" w:eastAsia="zh-CN"/>
        </w:rPr>
        <w:t>1、物业服务费包含人员工资、人身保险、</w:t>
      </w:r>
      <w:r>
        <w:rPr>
          <w:rFonts w:hint="eastAsia"/>
          <w:highlight w:val="none"/>
          <w:lang w:val="en-US" w:eastAsia="zh-CN"/>
        </w:rPr>
        <w:t>合法税费、</w:t>
      </w:r>
      <w:r>
        <w:rPr>
          <w:rFonts w:hint="eastAsia"/>
          <w:lang w:val="en-US" w:eastAsia="zh-CN"/>
        </w:rPr>
        <w:t>员工节日福利、工装、</w:t>
      </w:r>
      <w:r>
        <w:rPr>
          <w:rFonts w:hint="eastAsia"/>
          <w:highlight w:val="none"/>
          <w:lang w:val="en-US" w:eastAsia="zh-CN"/>
        </w:rPr>
        <w:t>特殊时段</w:t>
      </w:r>
      <w:r>
        <w:rPr>
          <w:rFonts w:hint="eastAsia"/>
          <w:lang w:val="en-US" w:eastAsia="zh-CN"/>
        </w:rPr>
        <w:t>管理费等全部开支。包含满足上述各项物业管理服务要求的各项开支。</w:t>
      </w:r>
    </w:p>
    <w:p w14:paraId="15D00B00">
      <w:pPr>
        <w:pStyle w:val="4"/>
        <w:numPr>
          <w:ilvl w:val="0"/>
          <w:numId w:val="0"/>
        </w:numPr>
        <w:ind w:right="357" w:rightChars="0"/>
        <w:rPr>
          <w:rFonts w:hint="eastAsia"/>
          <w:lang w:val="en-US" w:eastAsia="zh-CN"/>
        </w:rPr>
      </w:pPr>
      <w:r>
        <w:rPr>
          <w:rFonts w:hint="eastAsia"/>
          <w:lang w:val="en-US" w:eastAsia="zh-CN"/>
        </w:rPr>
        <w:t>2、馆内所有用电和设施设备的维修材料由馆内统一采购。</w:t>
      </w:r>
    </w:p>
    <w:p w14:paraId="6D858C8C">
      <w:pPr>
        <w:pStyle w:val="4"/>
        <w:numPr>
          <w:ilvl w:val="0"/>
          <w:numId w:val="0"/>
        </w:numPr>
        <w:ind w:right="357" w:rightChars="0"/>
        <w:rPr>
          <w:rFonts w:hint="eastAsia"/>
          <w:lang w:val="en-US" w:eastAsia="zh-CN"/>
        </w:rPr>
      </w:pPr>
      <w:r>
        <w:rPr>
          <w:rFonts w:hint="eastAsia"/>
          <w:lang w:val="en-US" w:eastAsia="zh-CN"/>
        </w:rPr>
        <w:t>3、物业公司使用的办公用品、通信费用等由物业公司承担；馆内提供必要的办公场地。</w:t>
      </w:r>
    </w:p>
    <w:p w14:paraId="1BA40A6A">
      <w:pPr>
        <w:pStyle w:val="4"/>
        <w:numPr>
          <w:ilvl w:val="0"/>
          <w:numId w:val="0"/>
        </w:numPr>
        <w:ind w:right="357" w:rightChars="0"/>
        <w:rPr>
          <w:rFonts w:hint="eastAsia"/>
          <w:lang w:val="en-US" w:eastAsia="zh-CN"/>
        </w:rPr>
      </w:pPr>
      <w:r>
        <w:rPr>
          <w:rFonts w:hint="eastAsia"/>
          <w:lang w:val="en-US" w:eastAsia="zh-CN"/>
        </w:rPr>
        <w:t>4、物业公司做好内部考核，并制定出合理可行的方案，除物业公司做好内部考核外馆内将每月不定时对物业公司进行抽查考评。</w:t>
      </w:r>
    </w:p>
    <w:p w14:paraId="3FA36154">
      <w:pPr>
        <w:pStyle w:val="4"/>
        <w:numPr>
          <w:ilvl w:val="0"/>
          <w:numId w:val="0"/>
        </w:numPr>
        <w:ind w:right="357" w:rightChars="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(八)特殊时段管理要求</w:t>
      </w:r>
    </w:p>
    <w:p w14:paraId="02CB95EC">
      <w:pPr>
        <w:pStyle w:val="4"/>
        <w:numPr>
          <w:ilvl w:val="0"/>
          <w:numId w:val="0"/>
        </w:numPr>
        <w:ind w:right="357" w:rightChars="0"/>
        <w:rPr>
          <w:rFonts w:hint="eastAsia"/>
          <w:lang w:val="en-US" w:eastAsia="zh-CN"/>
        </w:rPr>
      </w:pPr>
      <w:r>
        <w:rPr>
          <w:rFonts w:hint="eastAsia"/>
          <w:lang w:val="en-US" w:eastAsia="zh-CN"/>
        </w:rPr>
        <w:t>物业服务人员必须每天到岗履责；节假日如有办公人员，大型活动等工作，根据馆内安排，各项物业服务管理正常进行，物业公司可根据工作需要进行人员增减。(实施方案必须经过馆方同意)</w:t>
      </w:r>
    </w:p>
    <w:p w14:paraId="6DB594F1">
      <w:pPr>
        <w:pStyle w:val="4"/>
        <w:numPr>
          <w:ilvl w:val="0"/>
          <w:numId w:val="0"/>
        </w:numPr>
        <w:ind w:right="357" w:rightChars="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(九)关于后勤物业奖惩的相关要求</w:t>
      </w:r>
    </w:p>
    <w:p w14:paraId="11954695">
      <w:pPr>
        <w:pStyle w:val="4"/>
        <w:numPr>
          <w:ilvl w:val="0"/>
          <w:numId w:val="0"/>
        </w:numPr>
        <w:ind w:right="357" w:rightChars="0"/>
        <w:rPr>
          <w:rFonts w:hint="eastAsia"/>
          <w:lang w:val="en-US" w:eastAsia="zh-CN"/>
        </w:rPr>
      </w:pPr>
      <w:r>
        <w:rPr>
          <w:rFonts w:hint="eastAsia"/>
          <w:lang w:val="en-US" w:eastAsia="zh-CN"/>
        </w:rPr>
        <w:t>1、履行合同方面</w:t>
      </w:r>
    </w:p>
    <w:p w14:paraId="6AE93542">
      <w:pPr>
        <w:pStyle w:val="4"/>
        <w:numPr>
          <w:ilvl w:val="0"/>
          <w:numId w:val="0"/>
        </w:numPr>
        <w:ind w:right="357" w:rightChars="0"/>
        <w:rPr>
          <w:rFonts w:hint="eastAsia"/>
          <w:lang w:val="en-US" w:eastAsia="zh-CN"/>
        </w:rPr>
      </w:pPr>
      <w:r>
        <w:rPr>
          <w:rFonts w:hint="eastAsia"/>
          <w:lang w:val="en-US" w:eastAsia="zh-CN"/>
        </w:rPr>
        <w:t>1.1、不服从馆内监管，阳奉阴违、对抗监管的，终止合同。</w:t>
      </w:r>
    </w:p>
    <w:p w14:paraId="0AE8EBB9">
      <w:pPr>
        <w:pStyle w:val="4"/>
        <w:numPr>
          <w:ilvl w:val="0"/>
          <w:numId w:val="0"/>
        </w:numPr>
        <w:ind w:right="357" w:rightChars="0"/>
        <w:rPr>
          <w:rFonts w:hint="eastAsia"/>
          <w:lang w:val="en-US" w:eastAsia="zh-CN"/>
        </w:rPr>
      </w:pPr>
      <w:r>
        <w:rPr>
          <w:rFonts w:hint="eastAsia"/>
          <w:lang w:val="en-US" w:eastAsia="zh-CN"/>
        </w:rPr>
        <w:t>1.2、一经查实后勤物业有分包、转包行为，终止合同。</w:t>
      </w:r>
    </w:p>
    <w:p w14:paraId="64AF48ED">
      <w:pPr>
        <w:pStyle w:val="4"/>
        <w:numPr>
          <w:ilvl w:val="0"/>
          <w:numId w:val="0"/>
        </w:numPr>
        <w:ind w:right="357" w:rightChars="0"/>
        <w:rPr>
          <w:rFonts w:hint="eastAsia"/>
          <w:lang w:val="en-US" w:eastAsia="zh-CN"/>
        </w:rPr>
      </w:pPr>
      <w:r>
        <w:rPr>
          <w:rFonts w:hint="eastAsia"/>
          <w:lang w:val="en-US" w:eastAsia="zh-CN"/>
        </w:rPr>
        <w:t>1.3、出现重大伤害事件或其他严重损害馆内声誉的事件(罢工、上访、拖欠员工工资等)，终止合同。</w:t>
      </w:r>
    </w:p>
    <w:p w14:paraId="27FEF8D9">
      <w:pPr>
        <w:pStyle w:val="4"/>
        <w:numPr>
          <w:ilvl w:val="0"/>
          <w:numId w:val="0"/>
        </w:numPr>
        <w:ind w:right="357" w:rightChars="0"/>
        <w:rPr>
          <w:rFonts w:hint="eastAsia"/>
          <w:lang w:val="en-US" w:eastAsia="zh-CN"/>
        </w:rPr>
      </w:pPr>
      <w:r>
        <w:rPr>
          <w:rFonts w:hint="eastAsia"/>
          <w:lang w:val="en-US" w:eastAsia="zh-CN"/>
        </w:rPr>
        <w:t>1.4、凡发现一次缺岗者每次罚款100元，造成损失者，物业公司承担一切责任并罚款500 元。</w:t>
      </w:r>
    </w:p>
    <w:p w14:paraId="2BEE5B5D">
      <w:pPr>
        <w:pStyle w:val="4"/>
        <w:numPr>
          <w:ilvl w:val="0"/>
          <w:numId w:val="0"/>
        </w:numPr>
        <w:ind w:right="357" w:rightChars="0"/>
        <w:rPr>
          <w:rFonts w:hint="eastAsia"/>
          <w:lang w:val="en-US" w:eastAsia="zh-CN"/>
        </w:rPr>
      </w:pPr>
      <w:r>
        <w:rPr>
          <w:rFonts w:hint="eastAsia"/>
          <w:lang w:val="en-US" w:eastAsia="zh-CN"/>
        </w:rPr>
        <w:t>1.5、对物业服务人员(如馆内领导、科室人员等)交办的问题，未整改或整改不彻底的，发现一个问题，罚款 200 元。</w:t>
      </w:r>
    </w:p>
    <w:p w14:paraId="73502B36">
      <w:pPr>
        <w:pStyle w:val="4"/>
        <w:numPr>
          <w:ilvl w:val="0"/>
          <w:numId w:val="0"/>
        </w:numPr>
        <w:ind w:right="357" w:rightChars="0"/>
        <w:rPr>
          <w:rFonts w:hint="eastAsia"/>
          <w:lang w:val="en-US" w:eastAsia="zh-CN"/>
        </w:rPr>
      </w:pPr>
      <w:r>
        <w:rPr>
          <w:rFonts w:hint="eastAsia"/>
          <w:lang w:val="en-US" w:eastAsia="zh-CN"/>
        </w:rPr>
        <w:t>2、安全方面</w:t>
      </w:r>
    </w:p>
    <w:p w14:paraId="49A0FCF6">
      <w:pPr>
        <w:pStyle w:val="4"/>
        <w:numPr>
          <w:ilvl w:val="0"/>
          <w:numId w:val="0"/>
        </w:numPr>
        <w:ind w:right="357" w:rightChars="0"/>
        <w:rPr>
          <w:rFonts w:hint="eastAsia"/>
          <w:lang w:val="en-US" w:eastAsia="zh-CN"/>
        </w:rPr>
      </w:pPr>
      <w:r>
        <w:rPr>
          <w:rFonts w:hint="eastAsia"/>
          <w:lang w:val="en-US" w:eastAsia="zh-CN"/>
        </w:rPr>
        <w:t>2.1、如物业管理人员主观原因失职发生安全事故，当事人和物业公司负全部责任，馆内不承担任何责任。并且馆内有权终止合同。</w:t>
      </w:r>
    </w:p>
    <w:p w14:paraId="48FC736A">
      <w:pPr>
        <w:pStyle w:val="4"/>
        <w:numPr>
          <w:ilvl w:val="0"/>
          <w:numId w:val="0"/>
        </w:numPr>
        <w:ind w:right="357" w:rightChars="0"/>
        <w:rPr>
          <w:rFonts w:hint="default"/>
          <w:lang w:val="en-US" w:eastAsia="zh-CN"/>
        </w:rPr>
      </w:pPr>
      <w:r>
        <w:rPr>
          <w:rFonts w:hint="eastAsia"/>
          <w:lang w:val="en-US" w:eastAsia="zh-CN"/>
        </w:rPr>
        <w:t>2.2、不按馆内要求规范操作的，罚款500元。</w:t>
      </w:r>
    </w:p>
    <w:p w14:paraId="0286FB2D">
      <w:pPr>
        <w:pStyle w:val="4"/>
        <w:numPr>
          <w:ilvl w:val="0"/>
          <w:numId w:val="0"/>
        </w:numPr>
        <w:ind w:right="357" w:rightChars="0"/>
        <w:rPr>
          <w:rFonts w:hint="eastAsia"/>
          <w:lang w:val="en-US" w:eastAsia="zh-CN"/>
        </w:rPr>
      </w:pPr>
      <w:r>
        <w:rPr>
          <w:rFonts w:hint="eastAsia"/>
          <w:lang w:val="en-US" w:eastAsia="zh-CN"/>
        </w:rPr>
        <w:t>2.3、破坏或偷盗馆内财物的，视情节罚款500-5000元，情节严重者移交司法机关。</w:t>
      </w:r>
    </w:p>
    <w:p w14:paraId="2CC603A7">
      <w:pPr>
        <w:pStyle w:val="4"/>
        <w:numPr>
          <w:ilvl w:val="0"/>
          <w:numId w:val="0"/>
        </w:numPr>
        <w:ind w:right="357" w:rightChars="0"/>
        <w:rPr>
          <w:rFonts w:hint="eastAsia"/>
          <w:lang w:val="en-US" w:eastAsia="zh-CN"/>
        </w:rPr>
      </w:pPr>
      <w:r>
        <w:rPr>
          <w:rFonts w:hint="eastAsia"/>
          <w:lang w:val="en-US" w:eastAsia="zh-CN"/>
        </w:rPr>
        <w:t>3.其它方面</w:t>
      </w:r>
    </w:p>
    <w:p w14:paraId="6AC6F81F">
      <w:pPr>
        <w:pStyle w:val="4"/>
        <w:numPr>
          <w:ilvl w:val="0"/>
          <w:numId w:val="0"/>
        </w:numPr>
        <w:ind w:right="357" w:rightChars="0"/>
        <w:rPr>
          <w:rFonts w:hint="eastAsia"/>
          <w:lang w:val="en-US" w:eastAsia="zh-CN"/>
        </w:rPr>
      </w:pPr>
      <w:r>
        <w:rPr>
          <w:rFonts w:hint="eastAsia"/>
          <w:lang w:val="en-US" w:eastAsia="zh-CN"/>
        </w:rPr>
        <w:t>3.1、如对馆内监管的处罚不服，可在三天内到物业公司申诉；对申诉结果不服，可以向馆内主管物业领导申诉；对申诉决定不服的，可以向市劳动仲裁机构申诉。</w:t>
      </w:r>
    </w:p>
    <w:p w14:paraId="4BEAB1D6">
      <w:pPr>
        <w:pStyle w:val="4"/>
        <w:numPr>
          <w:ilvl w:val="0"/>
          <w:numId w:val="0"/>
        </w:numPr>
        <w:ind w:right="357" w:rightChars="0"/>
        <w:rPr>
          <w:rFonts w:hint="eastAsia"/>
          <w:lang w:val="en-US" w:eastAsia="zh-CN"/>
        </w:rPr>
      </w:pPr>
      <w:r>
        <w:rPr>
          <w:rFonts w:hint="eastAsia"/>
          <w:lang w:val="en-US" w:eastAsia="zh-CN"/>
        </w:rPr>
        <w:t>3.2、所有罚款均以现金方式于收到处罚通知书后两日内交付，若不交罚款，馆内有权通知物业公司立即终止合同。</w:t>
      </w:r>
    </w:p>
    <w:p w14:paraId="0A49B177">
      <w:pPr>
        <w:pStyle w:val="4"/>
        <w:numPr>
          <w:ilvl w:val="0"/>
          <w:numId w:val="0"/>
        </w:numPr>
        <w:ind w:right="357" w:rightChars="0"/>
        <w:rPr>
          <w:rFonts w:hint="eastAsia"/>
          <w:lang w:val="en-US" w:eastAsia="zh-CN"/>
        </w:rPr>
      </w:pPr>
      <w:r>
        <w:rPr>
          <w:rFonts w:hint="eastAsia"/>
          <w:lang w:val="en-US" w:eastAsia="zh-CN"/>
        </w:rPr>
        <w:t>3.3、以上办法从签定合同之日起施行。</w:t>
      </w:r>
    </w:p>
    <w:p w14:paraId="3F53E677">
      <w:pPr>
        <w:pStyle w:val="4"/>
        <w:numPr>
          <w:ilvl w:val="0"/>
          <w:numId w:val="0"/>
        </w:numPr>
        <w:ind w:right="357" w:rightChars="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（十）规划馆文化建设</w:t>
      </w:r>
    </w:p>
    <w:p w14:paraId="1E949A08">
      <w:pPr>
        <w:pStyle w:val="4"/>
        <w:numPr>
          <w:ilvl w:val="0"/>
          <w:numId w:val="0"/>
        </w:numPr>
        <w:ind w:right="357" w:rightChars="0"/>
        <w:rPr>
          <w:rFonts w:hint="eastAsia"/>
          <w:lang w:val="en-US" w:eastAsia="zh-CN"/>
        </w:rPr>
      </w:pPr>
      <w:r>
        <w:rPr>
          <w:rFonts w:hint="eastAsia"/>
          <w:lang w:val="en-US" w:eastAsia="zh-CN"/>
        </w:rPr>
        <w:t>文化建设必须坚持以环境育人为宗旨的文化建设指导原则。配合馆内各个部门做好必要的文化宣传。</w:t>
      </w:r>
    </w:p>
    <w:p w14:paraId="6F9C329E">
      <w:pPr>
        <w:pStyle w:val="4"/>
        <w:numPr>
          <w:ilvl w:val="0"/>
          <w:numId w:val="0"/>
        </w:numPr>
        <w:ind w:right="357" w:rightChars="0"/>
        <w:jc w:val="center"/>
        <w:rPr>
          <w:rFonts w:hint="eastAsia"/>
          <w:b/>
          <w:bCs/>
          <w:lang w:val="en-US" w:eastAsia="zh-CN"/>
        </w:rPr>
      </w:pPr>
      <w:r>
        <w:rPr>
          <w:rFonts w:hint="eastAsia"/>
          <w:b/>
          <w:bCs/>
          <w:lang w:val="en-US" w:eastAsia="zh-CN"/>
        </w:rPr>
        <w:t>规划馆后勤物业项目岗位职责及服务需求</w:t>
      </w:r>
    </w:p>
    <w:tbl>
      <w:tblPr>
        <w:tblStyle w:val="25"/>
        <w:tblW w:w="10695" w:type="dxa"/>
        <w:tblInd w:w="-462" w:type="dxa"/>
        <w:tblLayout w:type="fixed"/>
        <w:tblCellMar>
          <w:top w:w="0" w:type="dxa"/>
          <w:left w:w="108" w:type="dxa"/>
          <w:bottom w:w="0" w:type="dxa"/>
          <w:right w:w="108" w:type="dxa"/>
        </w:tblCellMar>
      </w:tblPr>
      <w:tblGrid>
        <w:gridCol w:w="675"/>
        <w:gridCol w:w="1336"/>
        <w:gridCol w:w="5624"/>
        <w:gridCol w:w="840"/>
        <w:gridCol w:w="742"/>
        <w:gridCol w:w="1478"/>
      </w:tblGrid>
      <w:tr w14:paraId="18698E68">
        <w:tblPrEx>
          <w:tblCellMar>
            <w:top w:w="0" w:type="dxa"/>
            <w:left w:w="108" w:type="dxa"/>
            <w:bottom w:w="0" w:type="dxa"/>
            <w:right w:w="108" w:type="dxa"/>
          </w:tblCellMar>
        </w:tblPrEx>
        <w:trPr>
          <w:trHeight w:val="500" w:hRule="atLeast"/>
        </w:trPr>
        <w:tc>
          <w:tcPr>
            <w:tcW w:w="10695" w:type="dxa"/>
            <w:gridSpan w:val="6"/>
            <w:tcBorders>
              <w:top w:val="nil"/>
              <w:left w:val="nil"/>
              <w:bottom w:val="nil"/>
              <w:right w:val="nil"/>
            </w:tcBorders>
            <w:noWrap/>
            <w:vAlign w:val="center"/>
          </w:tcPr>
          <w:p w14:paraId="3237318A">
            <w:pPr>
              <w:ind w:firstLine="3780" w:firstLineChars="1793"/>
              <w:jc w:val="both"/>
              <w:textAlignment w:val="center"/>
              <w:rPr>
                <w:rFonts w:hint="eastAsia" w:ascii="宋体" w:hAnsi="宋体" w:eastAsia="宋体" w:cs="宋体"/>
                <w:b/>
                <w:bCs/>
                <w:color w:val="000000"/>
                <w:sz w:val="21"/>
                <w:szCs w:val="21"/>
              </w:rPr>
            </w:pPr>
          </w:p>
        </w:tc>
      </w:tr>
      <w:tr w14:paraId="38ACD578">
        <w:tblPrEx>
          <w:tblCellMar>
            <w:top w:w="0" w:type="dxa"/>
            <w:left w:w="108" w:type="dxa"/>
            <w:bottom w:w="0" w:type="dxa"/>
            <w:right w:w="108" w:type="dxa"/>
          </w:tblCellMar>
        </w:tblPrEx>
        <w:trPr>
          <w:trHeight w:val="12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123D4C0D">
            <w:pPr>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序号</w:t>
            </w:r>
          </w:p>
        </w:tc>
        <w:tc>
          <w:tcPr>
            <w:tcW w:w="1336" w:type="dxa"/>
            <w:tcBorders>
              <w:top w:val="single" w:color="000000" w:sz="4" w:space="0"/>
              <w:left w:val="single" w:color="000000" w:sz="4" w:space="0"/>
              <w:bottom w:val="single" w:color="000000" w:sz="4" w:space="0"/>
              <w:right w:val="single" w:color="000000" w:sz="4" w:space="0"/>
            </w:tcBorders>
            <w:noWrap/>
            <w:vAlign w:val="center"/>
          </w:tcPr>
          <w:p w14:paraId="47C7EA90">
            <w:pPr>
              <w:jc w:val="center"/>
              <w:textAlignment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服务</w:t>
            </w:r>
          </w:p>
          <w:p w14:paraId="7F4DB92A">
            <w:pPr>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名称</w:t>
            </w:r>
          </w:p>
        </w:tc>
        <w:tc>
          <w:tcPr>
            <w:tcW w:w="5624" w:type="dxa"/>
            <w:tcBorders>
              <w:top w:val="single" w:color="000000" w:sz="4" w:space="0"/>
              <w:left w:val="single" w:color="000000" w:sz="4" w:space="0"/>
              <w:bottom w:val="single" w:color="000000" w:sz="4" w:space="0"/>
              <w:right w:val="single" w:color="000000" w:sz="4" w:space="0"/>
            </w:tcBorders>
            <w:noWrap/>
            <w:vAlign w:val="center"/>
          </w:tcPr>
          <w:p w14:paraId="162DFD8B">
            <w:pPr>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技术参数及要求</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AB962E9">
            <w:pPr>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单位</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69AEC8E">
            <w:pPr>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数量</w:t>
            </w:r>
          </w:p>
        </w:tc>
        <w:tc>
          <w:tcPr>
            <w:tcW w:w="1478" w:type="dxa"/>
            <w:tcBorders>
              <w:top w:val="single" w:color="000000" w:sz="4" w:space="0"/>
              <w:left w:val="nil"/>
              <w:bottom w:val="single" w:color="000000" w:sz="4" w:space="0"/>
              <w:right w:val="single" w:color="000000" w:sz="4" w:space="0"/>
            </w:tcBorders>
            <w:noWrap/>
            <w:vAlign w:val="center"/>
          </w:tcPr>
          <w:p w14:paraId="39430E18">
            <w:pPr>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rPr>
              <w:t>采购标的对应的行业</w:t>
            </w:r>
          </w:p>
        </w:tc>
      </w:tr>
      <w:tr w14:paraId="6135655E">
        <w:tblPrEx>
          <w:tblCellMar>
            <w:top w:w="0" w:type="dxa"/>
            <w:left w:w="108" w:type="dxa"/>
            <w:bottom w:w="0" w:type="dxa"/>
            <w:right w:w="108" w:type="dxa"/>
          </w:tblCellMar>
        </w:tblPrEx>
        <w:trPr>
          <w:trHeight w:val="304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D4D1">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162E">
            <w:pPr>
              <w:keepNext w:val="0"/>
              <w:keepLines w:val="0"/>
              <w:pageBreakBefore w:val="0"/>
              <w:widowControl/>
              <w:kinsoku/>
              <w:wordWrap/>
              <w:overflowPunct/>
              <w:topLinePunct w:val="0"/>
              <w:autoSpaceDE/>
              <w:autoSpaceDN/>
              <w:bidi w:val="0"/>
              <w:snapToGrid/>
              <w:spacing w:line="480" w:lineRule="exact"/>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zh-CN"/>
              </w:rPr>
              <w:t>消防、安保监控人员</w:t>
            </w:r>
          </w:p>
        </w:tc>
        <w:tc>
          <w:tcPr>
            <w:tcW w:w="5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F3AA4">
            <w:pPr>
              <w:pStyle w:val="16"/>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1、消防、安保监控人员工作职责</w:t>
            </w:r>
          </w:p>
          <w:p w14:paraId="411C7DBD">
            <w:pPr>
              <w:pStyle w:val="16"/>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1.1、能熟练掌握监控中心设备的技术性能以及操作方法，熟悉其分布情况和监控点的位置。</w:t>
            </w:r>
          </w:p>
          <w:p w14:paraId="77C8E209">
            <w:pPr>
              <w:pStyle w:val="16"/>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1.2、正确使用和保管好设备和所有物品，值班人员应对使用的设备和物品负有爱护责任，因人为原因造成的损坏由该公司负责，交接班时做好检查记录。</w:t>
            </w:r>
          </w:p>
          <w:p w14:paraId="5CBE5E12">
            <w:pPr>
              <w:pStyle w:val="16"/>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1.3、当值安全监控管理员要坚守岗位，密切注视监视屏上的各种动态情况，发现问题要立即和相关安保人员联系，同时做好详细记录。</w:t>
            </w:r>
          </w:p>
          <w:p w14:paraId="54C24567">
            <w:pPr>
              <w:pStyle w:val="16"/>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1.4、组织实施相关安全隐患排查工作。(主要通过视频、现场查看等方式发现一些异常情况，及时上报)</w:t>
            </w:r>
          </w:p>
          <w:p w14:paraId="2C1F5D0B">
            <w:pPr>
              <w:pStyle w:val="16"/>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1.5、由监控保安人员负责与固定岗，巡逻岗位保持联系，随时通报有关情况，处理名类事件，并及时上报馆内主管领导及物业管理人员。</w:t>
            </w:r>
          </w:p>
          <w:p w14:paraId="2677FC2C">
            <w:pPr>
              <w:pStyle w:val="16"/>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1.6、对监控设备以及监控中心卫生做好日常的清洁保养工作，发现问题要第一时间上报物业办公室。</w:t>
            </w:r>
          </w:p>
          <w:p w14:paraId="4D0C4F12">
            <w:pPr>
              <w:pStyle w:val="16"/>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1.7、监控保安人员工作期间严禁离岗、擅离职守、饮酒以及从事各种娱乐活动。遵守馆内的各项规章制度，认真履行岗位责任，严禁睡觉。</w:t>
            </w:r>
          </w:p>
          <w:p w14:paraId="30C300CE">
            <w:pPr>
              <w:pStyle w:val="16"/>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1.8、随时接受馆内领导交办的其它相关工作。</w:t>
            </w:r>
          </w:p>
          <w:p w14:paraId="35EE5778">
            <w:pPr>
              <w:pStyle w:val="16"/>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eastAsia="zh-CN"/>
              </w:rPr>
            </w:pPr>
            <w:r>
              <w:rPr>
                <w:rFonts w:hint="eastAsia" w:ascii="宋体" w:hAnsi="宋体" w:eastAsia="宋体" w:cs="宋体"/>
                <w:color w:val="000000"/>
                <w:sz w:val="21"/>
                <w:szCs w:val="21"/>
              </w:rPr>
              <w:t>1.9、馆内如有大型活动要全员参与值班，听从设备室临时安排</w:t>
            </w:r>
            <w:r>
              <w:rPr>
                <w:rFonts w:hint="eastAsia" w:hAnsi="宋体" w:eastAsia="宋体" w:cs="宋体"/>
                <w:color w:val="000000"/>
                <w:sz w:val="21"/>
                <w:szCs w:val="21"/>
                <w:lang w:eastAsia="zh-CN"/>
              </w:rPr>
              <w:t>。</w:t>
            </w:r>
          </w:p>
          <w:p w14:paraId="4182114B">
            <w:pPr>
              <w:pStyle w:val="16"/>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2、管理要求</w:t>
            </w:r>
          </w:p>
          <w:p w14:paraId="31B10B35">
            <w:pPr>
              <w:pStyle w:val="16"/>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2.1、质量目标要求</w:t>
            </w:r>
          </w:p>
          <w:p w14:paraId="39030D82">
            <w:pPr>
              <w:pStyle w:val="16"/>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①依托行业标准，根据馆内管理规定与服务要求，制订切实可行的保安员工作制度和应急预案，突发事件反应迅速，预案处置有力:</w:t>
            </w:r>
          </w:p>
          <w:p w14:paraId="2DDA95ED">
            <w:pPr>
              <w:pStyle w:val="16"/>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②依法办事，文明值勤，严格管理，保障规划馆内财产和人身不受侵害，维护正常的办公秩序;</w:t>
            </w:r>
          </w:p>
          <w:p w14:paraId="1882317B">
            <w:pPr>
              <w:pStyle w:val="16"/>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③全年无责任事故和责任案件发生。</w:t>
            </w:r>
          </w:p>
          <w:p w14:paraId="7832B23D">
            <w:pPr>
              <w:pStyle w:val="16"/>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2.2、服务要求</w:t>
            </w:r>
          </w:p>
          <w:p w14:paraId="5EE1ABFC">
            <w:pPr>
              <w:pStyle w:val="16"/>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①树立“服务第一，馆内至上”的思想，切实维护馆内的人身和财产安全；</w:t>
            </w:r>
          </w:p>
          <w:p w14:paraId="1BFB5E57">
            <w:pPr>
              <w:pStyle w:val="16"/>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②管理坚持原则、慎密严谨;服务以人为本、主动热情;处理问题高度警惕、有理有节；</w:t>
            </w:r>
          </w:p>
          <w:p w14:paraId="1C184B61">
            <w:pPr>
              <w:pStyle w:val="16"/>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③上岗人员统一着装，精神饱满，仪表整洁，业务操作规范，礼貌待人，保持岗位卫生整洁;</w:t>
            </w:r>
          </w:p>
          <w:p w14:paraId="2D61BD44">
            <w:pPr>
              <w:pStyle w:val="16"/>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④依法办事，文明执勤，不与参观人员发生争吵；</w:t>
            </w:r>
          </w:p>
          <w:p w14:paraId="323D2756">
            <w:pPr>
              <w:pStyle w:val="16"/>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⑤有求必应，有险情必出；</w:t>
            </w:r>
          </w:p>
          <w:p w14:paraId="78691D1D">
            <w:pPr>
              <w:pStyle w:val="16"/>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2.3、人员素质要求</w:t>
            </w:r>
          </w:p>
          <w:p w14:paraId="32C86BB5">
            <w:pPr>
              <w:pStyle w:val="16"/>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①监控保安员应知法，懂法，守法，依法办事，必须严格遵守保安从业规范，遵守安全管理规定;</w:t>
            </w:r>
          </w:p>
          <w:p w14:paraId="09FDF6E9">
            <w:pPr>
              <w:pStyle w:val="16"/>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②监控保安员应身体健康，能胜任执勤工作要求，没有传染病及精神病等不能控制自己行为能力的疾病病史，体貌端正。</w:t>
            </w:r>
          </w:p>
          <w:p w14:paraId="111AE1F6">
            <w:pPr>
              <w:pStyle w:val="16"/>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③监控保安人员应具备高中以上学历，有较高的政治思想素养和业务水平，受过专业的保安业务培训，作风正派，年龄在18-60周岁，身高1.70米以上;</w:t>
            </w:r>
          </w:p>
          <w:p w14:paraId="27900125">
            <w:pPr>
              <w:pStyle w:val="16"/>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3、风险管控</w:t>
            </w:r>
          </w:p>
          <w:p w14:paraId="720979B6">
            <w:pPr>
              <w:pStyle w:val="16"/>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①馆内将对服务质量进行全过程监控，物业公司日常工作不到位、不达标、或有违约现象，将依据合同约定，作出相应的违约处理与处罚。</w:t>
            </w:r>
          </w:p>
          <w:p w14:paraId="01096D88">
            <w:pPr>
              <w:pStyle w:val="16"/>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②保安人员在岗履行工作职责期间，发生自身的人身伤害、伤亡等事件均由物业公司负责，馆内不承担任何责任，投标人必须对此项进行承诺。</w:t>
            </w:r>
          </w:p>
          <w:p w14:paraId="527E6E14">
            <w:pPr>
              <w:pStyle w:val="16"/>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③在本项目实施过程中发生的一切与本项目相关的安全事故均由中标供应商承担，馆内不承担任何责任及费用，投标人必须对此项进行承诺。物业公司配合馆内做好大型活动、各种重大会议、各种安全演练活动的安全保卫工作。物业公司违反国家相关法规，与聘用人员发生纠纷，均由物业公司负责调解与处理，馆内不承担责任。</w:t>
            </w:r>
          </w:p>
          <w:p w14:paraId="23E4AF35">
            <w:pPr>
              <w:pStyle w:val="16"/>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④物业公司在服务中违反国家相关法规或行业规范，因过失造成馆内财产及他人人身伤亡的，均由物业公司负责处理并承担一切责任，馆内不承担任何责任，投标人必须对此项进行承诺。物业公司在服务中能够结合实际情况，提供优质服务。</w:t>
            </w:r>
          </w:p>
          <w:p w14:paraId="682B8632">
            <w:pPr>
              <w:pStyle w:val="16"/>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2.5培训要求</w:t>
            </w:r>
          </w:p>
          <w:p w14:paraId="3295C405">
            <w:pPr>
              <w:pStyle w:val="16"/>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监控保安人员上岗前需经过培训持有效证件上岗;加强形象素质培训、法纪教育和业务学习训练，每月集中整理监控记录不少于4次;开展消防灭火、防暴演练的开展每月不少于1次，并列入安全考核。</w:t>
            </w:r>
          </w:p>
          <w:p w14:paraId="59F540B3">
            <w:pPr>
              <w:pStyle w:val="16"/>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2.6其他要求</w:t>
            </w:r>
          </w:p>
          <w:p w14:paraId="30E054CF">
            <w:pPr>
              <w:pStyle w:val="16"/>
              <w:keepNext w:val="0"/>
              <w:keepLines w:val="0"/>
              <w:pageBreakBefore w:val="0"/>
              <w:widowControl/>
              <w:numPr>
                <w:ilvl w:val="0"/>
                <w:numId w:val="6"/>
              </w:numPr>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物业公司必须按时足额向员工发放工资；</w:t>
            </w:r>
          </w:p>
          <w:p w14:paraId="65D28F3F">
            <w:pPr>
              <w:pStyle w:val="16"/>
              <w:keepNext w:val="0"/>
              <w:keepLines w:val="0"/>
              <w:pageBreakBefore w:val="0"/>
              <w:widowControl/>
              <w:numPr>
                <w:ilvl w:val="0"/>
                <w:numId w:val="0"/>
              </w:numPr>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2、物业公司必须采取切实有效措施，保持工作人员的正常稳定，确保达到馆内提出的相关工作要求。主要管理人员更换，应提前一个月以书面形式通知馆内，其他队员更换应提前三天告知馆内，确保服务质量不因人员变动而受影响，馆内有权对违纪保安人员进行撤换。</w:t>
            </w:r>
          </w:p>
          <w:p w14:paraId="33D8A758">
            <w:pPr>
              <w:pStyle w:val="16"/>
              <w:keepNext w:val="0"/>
              <w:keepLines w:val="0"/>
              <w:pageBreakBefore w:val="0"/>
              <w:widowControl/>
              <w:numPr>
                <w:ilvl w:val="0"/>
                <w:numId w:val="0"/>
              </w:numPr>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3、视频监控基础设施由规划馆提供，服装由公司统一配置。</w:t>
            </w:r>
          </w:p>
          <w:p w14:paraId="74D648B0">
            <w:pPr>
              <w:pStyle w:val="16"/>
              <w:keepNext w:val="0"/>
              <w:keepLines w:val="0"/>
              <w:pageBreakBefore w:val="0"/>
              <w:widowControl/>
              <w:numPr>
                <w:ilvl w:val="0"/>
                <w:numId w:val="0"/>
              </w:numPr>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2.7奖惩办法</w:t>
            </w:r>
          </w:p>
          <w:p w14:paraId="64B2953F">
            <w:pPr>
              <w:pStyle w:val="16"/>
              <w:keepNext w:val="0"/>
              <w:keepLines w:val="0"/>
              <w:pageBreakBefore w:val="0"/>
              <w:widowControl/>
              <w:numPr>
                <w:ilvl w:val="0"/>
                <w:numId w:val="0"/>
              </w:numPr>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为切实抓好安保工作，落实工作中的岗位意识，激励踏实上进的工作态度，规范保安工作，经规划馆研究后特制定相关规定。</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AC8ABCC">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840FF36">
            <w:pPr>
              <w:keepNext w:val="0"/>
              <w:keepLines w:val="0"/>
              <w:pageBreakBefore w:val="0"/>
              <w:widowControl/>
              <w:kinsoku/>
              <w:wordWrap/>
              <w:overflowPunct/>
              <w:topLinePunct w:val="0"/>
              <w:autoSpaceDE/>
              <w:autoSpaceDN/>
              <w:bidi w:val="0"/>
              <w:snapToGrid/>
              <w:spacing w:line="48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1478" w:type="dxa"/>
            <w:tcBorders>
              <w:top w:val="single" w:color="000000" w:sz="4" w:space="0"/>
              <w:left w:val="single" w:color="000000" w:sz="4" w:space="0"/>
              <w:bottom w:val="single" w:color="000000" w:sz="4" w:space="0"/>
              <w:right w:val="single" w:color="000000" w:sz="4" w:space="0"/>
            </w:tcBorders>
            <w:noWrap/>
            <w:vAlign w:val="center"/>
          </w:tcPr>
          <w:p w14:paraId="6F232120">
            <w:pPr>
              <w:keepNext w:val="0"/>
              <w:keepLines w:val="0"/>
              <w:pageBreakBefore w:val="0"/>
              <w:widowControl/>
              <w:kinsoku/>
              <w:wordWrap/>
              <w:overflowPunct/>
              <w:topLinePunct w:val="0"/>
              <w:autoSpaceDE/>
              <w:autoSpaceDN/>
              <w:bidi w:val="0"/>
              <w:snapToGrid/>
              <w:spacing w:line="4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物业</w:t>
            </w:r>
          </w:p>
          <w:p w14:paraId="3D892B6E">
            <w:pPr>
              <w:keepNext w:val="0"/>
              <w:keepLines w:val="0"/>
              <w:pageBreakBefore w:val="0"/>
              <w:widowControl/>
              <w:kinsoku/>
              <w:wordWrap/>
              <w:overflowPunct/>
              <w:topLinePunct w:val="0"/>
              <w:autoSpaceDE/>
              <w:autoSpaceDN/>
              <w:bidi w:val="0"/>
              <w:snapToGrid/>
              <w:spacing w:line="4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管理</w:t>
            </w:r>
          </w:p>
        </w:tc>
      </w:tr>
      <w:tr w14:paraId="2506DAE5">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1138785F">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序号</w:t>
            </w:r>
          </w:p>
        </w:tc>
        <w:tc>
          <w:tcPr>
            <w:tcW w:w="1336" w:type="dxa"/>
            <w:tcBorders>
              <w:top w:val="single" w:color="000000" w:sz="4" w:space="0"/>
              <w:left w:val="single" w:color="000000" w:sz="4" w:space="0"/>
              <w:bottom w:val="single" w:color="000000" w:sz="4" w:space="0"/>
              <w:right w:val="single" w:color="000000" w:sz="4" w:space="0"/>
            </w:tcBorders>
            <w:noWrap/>
            <w:vAlign w:val="center"/>
          </w:tcPr>
          <w:p w14:paraId="29075D7C">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服务名称</w:t>
            </w:r>
          </w:p>
        </w:tc>
        <w:tc>
          <w:tcPr>
            <w:tcW w:w="5624" w:type="dxa"/>
            <w:tcBorders>
              <w:top w:val="single" w:color="000000" w:sz="4" w:space="0"/>
              <w:left w:val="single" w:color="000000" w:sz="4" w:space="0"/>
              <w:bottom w:val="single" w:color="000000" w:sz="4" w:space="0"/>
              <w:right w:val="single" w:color="000000" w:sz="4" w:space="0"/>
            </w:tcBorders>
            <w:noWrap/>
            <w:vAlign w:val="center"/>
          </w:tcPr>
          <w:p w14:paraId="1285FBB7">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技术参数及要求</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FED8FA6">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单位</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BE34C86">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数量</w:t>
            </w:r>
          </w:p>
        </w:tc>
        <w:tc>
          <w:tcPr>
            <w:tcW w:w="1478" w:type="dxa"/>
            <w:tcBorders>
              <w:top w:val="single" w:color="000000" w:sz="4" w:space="0"/>
              <w:left w:val="nil"/>
              <w:bottom w:val="single" w:color="000000" w:sz="4" w:space="0"/>
              <w:right w:val="single" w:color="000000" w:sz="4" w:space="0"/>
            </w:tcBorders>
            <w:noWrap/>
            <w:vAlign w:val="center"/>
          </w:tcPr>
          <w:p w14:paraId="579A7AAD">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备注</w:t>
            </w:r>
          </w:p>
        </w:tc>
      </w:tr>
      <w:tr w14:paraId="138BD034">
        <w:tblPrEx>
          <w:tblCellMar>
            <w:top w:w="0" w:type="dxa"/>
            <w:left w:w="108" w:type="dxa"/>
            <w:bottom w:w="0" w:type="dxa"/>
            <w:right w:w="108"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3DAE4BB9">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336" w:type="dxa"/>
            <w:tcBorders>
              <w:top w:val="single" w:color="000000" w:sz="4" w:space="0"/>
              <w:left w:val="single" w:color="000000" w:sz="4" w:space="0"/>
              <w:bottom w:val="single" w:color="000000" w:sz="4" w:space="0"/>
              <w:right w:val="single" w:color="000000" w:sz="4" w:space="0"/>
            </w:tcBorders>
            <w:noWrap/>
            <w:vAlign w:val="center"/>
          </w:tcPr>
          <w:p w14:paraId="5A08A8D2">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秩序维护保安人员</w:t>
            </w:r>
          </w:p>
          <w:p w14:paraId="36C221E7">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p>
        </w:tc>
        <w:tc>
          <w:tcPr>
            <w:tcW w:w="5624" w:type="dxa"/>
            <w:tcBorders>
              <w:top w:val="single" w:color="000000" w:sz="4" w:space="0"/>
              <w:left w:val="single" w:color="000000" w:sz="4" w:space="0"/>
              <w:bottom w:val="single" w:color="000000" w:sz="4" w:space="0"/>
              <w:right w:val="single" w:color="000000" w:sz="4" w:space="0"/>
            </w:tcBorders>
            <w:noWrap/>
            <w:vAlign w:val="center"/>
          </w:tcPr>
          <w:p w14:paraId="6757A7EA">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1、岗位设置</w:t>
            </w:r>
          </w:p>
          <w:p w14:paraId="4881F756">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展馆门口3人，日常展厅巡场</w:t>
            </w:r>
            <w:r>
              <w:rPr>
                <w:rFonts w:hint="eastAsia" w:ascii="宋体" w:hAnsi="宋体" w:eastAsia="宋体" w:cs="宋体"/>
                <w:color w:val="000000"/>
                <w:kern w:val="0"/>
                <w:sz w:val="21"/>
                <w:szCs w:val="21"/>
                <w:lang w:val="en-US" w:eastAsia="zh-CN" w:bidi="ar-SA"/>
              </w:rPr>
              <w:t>6</w:t>
            </w:r>
            <w:r>
              <w:rPr>
                <w:rFonts w:hint="eastAsia" w:ascii="宋体" w:hAnsi="宋体" w:eastAsia="宋体" w:cs="宋体"/>
                <w:color w:val="000000"/>
                <w:kern w:val="0"/>
                <w:sz w:val="21"/>
                <w:szCs w:val="21"/>
                <w:lang w:val="zh-CN" w:eastAsia="zh-CN" w:bidi="ar-SA"/>
              </w:rPr>
              <w:t>人，电梯口1人，书吧和临展区</w:t>
            </w:r>
            <w:r>
              <w:rPr>
                <w:rFonts w:hint="eastAsia" w:ascii="宋体" w:hAnsi="宋体" w:eastAsia="宋体" w:cs="宋体"/>
                <w:color w:val="000000"/>
                <w:kern w:val="0"/>
                <w:sz w:val="21"/>
                <w:szCs w:val="21"/>
                <w:lang w:val="en-US" w:eastAsia="zh-CN" w:bidi="ar-SA"/>
              </w:rPr>
              <w:t>1</w:t>
            </w:r>
            <w:r>
              <w:rPr>
                <w:rFonts w:hint="eastAsia" w:ascii="宋体" w:hAnsi="宋体" w:eastAsia="宋体" w:cs="宋体"/>
                <w:color w:val="000000"/>
                <w:kern w:val="0"/>
                <w:sz w:val="21"/>
                <w:szCs w:val="21"/>
                <w:lang w:val="zh-CN" w:eastAsia="zh-CN" w:bidi="ar-SA"/>
              </w:rPr>
              <w:t>人。</w:t>
            </w:r>
          </w:p>
          <w:p w14:paraId="376C08EC">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2、岗位职责</w:t>
            </w:r>
          </w:p>
          <w:p w14:paraId="37ECC960">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2.1保安队长岗位职责</w:t>
            </w:r>
          </w:p>
          <w:p w14:paraId="72D05CD3">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负责沟通协调，自觉接受领导的管理，督促、检查、管理派驻保安队员的各项工作，防设施管理，落实各项安全防范工作要求。</w:t>
            </w:r>
          </w:p>
          <w:p w14:paraId="26DAE158">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2.2门卫安防岗位工作职责:</w:t>
            </w:r>
          </w:p>
          <w:p w14:paraId="1FAF878C">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2.2.1、负责门岗安全防范工作，禁止擅离职守，交接班时间要科学，不能影响正常工作，要无缝交接。</w:t>
            </w:r>
          </w:p>
          <w:p w14:paraId="468FDBC4">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2.2.2、查验出入人员的相关证件和携带物品。进入馆内人员，问清理由，并经确认无误后，登记方可准予进入;如有物资进入馆内，要认真登记检查，防止危险物品带入馆内馆内物资设备运出或搬出的，须经有关部门出具证明材料，填写出入登记簿，并经检查无误后方可放行。</w:t>
            </w:r>
          </w:p>
          <w:p w14:paraId="03E8C2B1">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2.2.3、对出入人员的咨询与求助，进行热情解答并提供相应帮助。</w:t>
            </w:r>
          </w:p>
          <w:p w14:paraId="5B6EE4B7">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2.2.4、发现可疑人员、可疑物品、可疑车辆要及时向设备室报告。</w:t>
            </w:r>
          </w:p>
          <w:p w14:paraId="4FAE6E1E">
            <w:pPr>
              <w:keepNext w:val="0"/>
              <w:keepLines w:val="0"/>
              <w:pageBreakBefore w:val="0"/>
              <w:widowControl/>
              <w:kinsoku/>
              <w:wordWrap/>
              <w:overflowPunct/>
              <w:topLinePunct w:val="0"/>
              <w:autoSpaceDE/>
              <w:autoSpaceDN/>
              <w:bidi w:val="0"/>
              <w:snapToGrid/>
              <w:spacing w:line="540" w:lineRule="exact"/>
              <w:textAlignment w:val="auto"/>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2.2.5、门前广场环境管理，确保交通畅通。</w:t>
            </w:r>
          </w:p>
          <w:p w14:paraId="3DC73ECC">
            <w:pPr>
              <w:pStyle w:val="2"/>
              <w:keepNext w:val="0"/>
              <w:keepLines w:val="0"/>
              <w:pageBreakBefore w:val="0"/>
              <w:kinsoku/>
              <w:wordWrap/>
              <w:overflowPunct/>
              <w:topLinePunct w:val="0"/>
              <w:autoSpaceDE/>
              <w:autoSpaceDN/>
              <w:bidi w:val="0"/>
              <w:snapToGrid/>
              <w:spacing w:line="540" w:lineRule="exact"/>
              <w:textAlignment w:val="auto"/>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①制止在门前附近摆摊设点、堆放物品等行为。</w:t>
            </w:r>
          </w:p>
          <w:p w14:paraId="3EE15F66">
            <w:pPr>
              <w:pStyle w:val="2"/>
              <w:keepNext w:val="0"/>
              <w:keepLines w:val="0"/>
              <w:pageBreakBefore w:val="0"/>
              <w:kinsoku/>
              <w:wordWrap/>
              <w:overflowPunct/>
              <w:topLinePunct w:val="0"/>
              <w:autoSpaceDE/>
              <w:autoSpaceDN/>
              <w:bidi w:val="0"/>
              <w:snapToGrid/>
              <w:spacing w:line="540" w:lineRule="exact"/>
              <w:textAlignment w:val="auto"/>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②)制止在禁停区域停放车辆的行为。</w:t>
            </w:r>
          </w:p>
          <w:p w14:paraId="1BB12A32">
            <w:pPr>
              <w:pStyle w:val="3"/>
              <w:keepNext w:val="0"/>
              <w:keepLines w:val="0"/>
              <w:pageBreakBefore w:val="0"/>
              <w:kinsoku/>
              <w:wordWrap/>
              <w:overflowPunct/>
              <w:topLinePunct w:val="0"/>
              <w:autoSpaceDE/>
              <w:autoSpaceDN/>
              <w:bidi w:val="0"/>
              <w:snapToGrid/>
              <w:spacing w:line="540" w:lineRule="exact"/>
              <w:textAlignment w:val="auto"/>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2.3巡逻保安人员岗位职责</w:t>
            </w:r>
          </w:p>
          <w:p w14:paraId="2E70A07A">
            <w:pPr>
              <w:pStyle w:val="3"/>
              <w:keepNext w:val="0"/>
              <w:keepLines w:val="0"/>
              <w:pageBreakBefore w:val="0"/>
              <w:kinsoku/>
              <w:wordWrap/>
              <w:overflowPunct/>
              <w:topLinePunct w:val="0"/>
              <w:autoSpaceDE/>
              <w:autoSpaceDN/>
              <w:bidi w:val="0"/>
              <w:snapToGrid/>
              <w:spacing w:line="540" w:lineRule="exact"/>
              <w:textAlignment w:val="auto"/>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2.3.1、按馆内的要求在馆内巡逻执勤，并负责巡逻区域内的治安、消防设施管理。</w:t>
            </w:r>
          </w:p>
          <w:p w14:paraId="64BF502D">
            <w:pPr>
              <w:pStyle w:val="3"/>
              <w:keepNext w:val="0"/>
              <w:keepLines w:val="0"/>
              <w:pageBreakBefore w:val="0"/>
              <w:kinsoku/>
              <w:wordWrap/>
              <w:overflowPunct/>
              <w:topLinePunct w:val="0"/>
              <w:autoSpaceDE/>
              <w:autoSpaceDN/>
              <w:bidi w:val="0"/>
              <w:snapToGrid/>
              <w:spacing w:line="540" w:lineRule="exact"/>
              <w:textAlignment w:val="auto"/>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2.3.2、负责展馆场地巡查工作，及时发现展馆设备设施是否正常运行，帮助指引参观路线，及时处理突发事件，确保展馆内参观人员安全。</w:t>
            </w:r>
          </w:p>
          <w:p w14:paraId="2A2C0D9A">
            <w:pPr>
              <w:pStyle w:val="3"/>
              <w:keepNext w:val="0"/>
              <w:keepLines w:val="0"/>
              <w:pageBreakBefore w:val="0"/>
              <w:kinsoku/>
              <w:wordWrap/>
              <w:overflowPunct/>
              <w:topLinePunct w:val="0"/>
              <w:autoSpaceDE/>
              <w:autoSpaceDN/>
              <w:bidi w:val="0"/>
              <w:snapToGrid/>
              <w:spacing w:line="540" w:lineRule="exact"/>
              <w:textAlignment w:val="auto"/>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2.3.3、发现可疑人员及现象要严加盘查、及时报告后上报设备室及时处理。</w:t>
            </w:r>
          </w:p>
          <w:p w14:paraId="77B58362">
            <w:pPr>
              <w:keepNext w:val="0"/>
              <w:keepLines w:val="0"/>
              <w:pageBreakBefore w:val="0"/>
              <w:widowControl/>
              <w:kinsoku/>
              <w:wordWrap/>
              <w:overflowPunct/>
              <w:topLinePunct w:val="0"/>
              <w:autoSpaceDE/>
              <w:autoSpaceDN/>
              <w:bidi w:val="0"/>
              <w:snapToGrid/>
              <w:spacing w:line="540" w:lineRule="exact"/>
              <w:textAlignment w:val="auto"/>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2.3.4、预防和制止各类违法犯罪活动，协助相关单位查处各类案件。</w:t>
            </w:r>
          </w:p>
          <w:p w14:paraId="3FC2D068">
            <w:pPr>
              <w:keepNext w:val="0"/>
              <w:keepLines w:val="0"/>
              <w:pageBreakBefore w:val="0"/>
              <w:widowControl/>
              <w:kinsoku/>
              <w:wordWrap/>
              <w:overflowPunct/>
              <w:topLinePunct w:val="0"/>
              <w:autoSpaceDE/>
              <w:autoSpaceDN/>
              <w:bidi w:val="0"/>
              <w:snapToGrid/>
              <w:spacing w:line="540" w:lineRule="exact"/>
              <w:textAlignment w:val="auto"/>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2.3.5、制止在馆内肆意玩耍、嘻嘻行为。</w:t>
            </w:r>
          </w:p>
          <w:p w14:paraId="3672A1BD">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3、安保人员的素质要求</w:t>
            </w:r>
          </w:p>
          <w:p w14:paraId="28141BF5">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3.1、人员应知法，懂法，守法，依法办事，必须严格遵守保安从业规范，模范遵守馆内安全管理规定;</w:t>
            </w:r>
          </w:p>
          <w:p w14:paraId="5A12057E">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3.2安保人员应身体健康,,没有传染病及精神病等不能控制自己行为能力的疾病病史,体貌端正。</w:t>
            </w:r>
          </w:p>
          <w:p w14:paraId="6DEFDAB0">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3.3、安保人员应具备高中或高中以上学历，有较高的政治思想素养和业务水有较强的组织协调能力，受过专门的业务培训，年龄在6</w:t>
            </w:r>
            <w:r>
              <w:rPr>
                <w:rFonts w:hint="eastAsia" w:ascii="宋体" w:hAnsi="宋体" w:eastAsia="宋体" w:cs="宋体"/>
                <w:color w:val="000000"/>
                <w:kern w:val="0"/>
                <w:sz w:val="21"/>
                <w:szCs w:val="21"/>
                <w:lang w:val="en-US" w:eastAsia="zh-CN" w:bidi="ar-SA"/>
              </w:rPr>
              <w:t>3</w:t>
            </w:r>
            <w:r>
              <w:rPr>
                <w:rFonts w:hint="eastAsia" w:ascii="宋体" w:hAnsi="宋体" w:eastAsia="宋体" w:cs="宋体"/>
                <w:color w:val="000000"/>
                <w:kern w:val="0"/>
                <w:sz w:val="21"/>
                <w:szCs w:val="21"/>
                <w:lang w:val="zh-CN" w:eastAsia="zh-CN" w:bidi="ar-SA"/>
              </w:rPr>
              <w:t>周岁以下。</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0F7A178">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C8EADF0">
            <w:pPr>
              <w:keepNext w:val="0"/>
              <w:keepLines w:val="0"/>
              <w:pageBreakBefore w:val="0"/>
              <w:widowControl/>
              <w:kinsoku/>
              <w:wordWrap/>
              <w:overflowPunct/>
              <w:topLinePunct w:val="0"/>
              <w:autoSpaceDE/>
              <w:autoSpaceDN/>
              <w:bidi w:val="0"/>
              <w:snapToGrid/>
              <w:spacing w:line="48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w:t>
            </w:r>
          </w:p>
        </w:tc>
        <w:tc>
          <w:tcPr>
            <w:tcW w:w="1478" w:type="dxa"/>
            <w:tcBorders>
              <w:top w:val="single" w:color="000000" w:sz="4" w:space="0"/>
              <w:left w:val="single" w:color="000000" w:sz="4" w:space="0"/>
              <w:bottom w:val="single" w:color="000000" w:sz="4" w:space="0"/>
              <w:right w:val="single" w:color="000000" w:sz="4" w:space="0"/>
            </w:tcBorders>
            <w:noWrap/>
            <w:vAlign w:val="center"/>
          </w:tcPr>
          <w:p w14:paraId="1E26A8E3">
            <w:pPr>
              <w:keepNext w:val="0"/>
              <w:keepLines w:val="0"/>
              <w:pageBreakBefore w:val="0"/>
              <w:widowControl/>
              <w:kinsoku/>
              <w:wordWrap/>
              <w:overflowPunct/>
              <w:topLinePunct w:val="0"/>
              <w:autoSpaceDE/>
              <w:autoSpaceDN/>
              <w:bidi w:val="0"/>
              <w:snapToGrid/>
              <w:spacing w:line="48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物业</w:t>
            </w:r>
          </w:p>
          <w:p w14:paraId="2CF8BCA7">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管理</w:t>
            </w:r>
          </w:p>
        </w:tc>
      </w:tr>
      <w:tr w14:paraId="07809BA1">
        <w:tblPrEx>
          <w:tblCellMar>
            <w:top w:w="0" w:type="dxa"/>
            <w:left w:w="108" w:type="dxa"/>
            <w:bottom w:w="0" w:type="dxa"/>
            <w:right w:w="108" w:type="dxa"/>
          </w:tblCellMar>
        </w:tblPrEx>
        <w:trPr>
          <w:trHeight w:val="110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0D92D">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3F42">
            <w:pPr>
              <w:keepNext w:val="0"/>
              <w:keepLines w:val="0"/>
              <w:pageBreakBefore w:val="0"/>
              <w:widowControl/>
              <w:kinsoku/>
              <w:wordWrap/>
              <w:overflowPunct/>
              <w:topLinePunct w:val="0"/>
              <w:autoSpaceDE/>
              <w:autoSpaceDN/>
              <w:bidi w:val="0"/>
              <w:snapToGrid/>
              <w:spacing w:line="480" w:lineRule="exact"/>
              <w:jc w:val="both"/>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环境卫生保洁人员</w:t>
            </w:r>
          </w:p>
        </w:tc>
        <w:tc>
          <w:tcPr>
            <w:tcW w:w="5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5D434">
            <w:pPr>
              <w:pStyle w:val="16"/>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1、环境卫生保洁标准和规范要求</w:t>
            </w:r>
          </w:p>
          <w:p w14:paraId="5592F8EE">
            <w:pPr>
              <w:pStyle w:val="16"/>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1.1严格实行全日实时保洁，保洁时段馆内人员上班前打扫完毕，不得影响馆内日常办公。</w:t>
            </w:r>
          </w:p>
          <w:p w14:paraId="1CE46A8B">
            <w:pPr>
              <w:pStyle w:val="16"/>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1.2合同约定范围内的保洁，应无垃圾、无污渍、无乱张贴物、无异味、无乱摆乱放</w:t>
            </w:r>
            <w:r>
              <w:rPr>
                <w:rFonts w:hint="eastAsia" w:hAnsi="宋体" w:eastAsia="宋体" w:cs="宋体"/>
                <w:color w:val="000000"/>
                <w:sz w:val="21"/>
                <w:szCs w:val="21"/>
                <w:lang w:eastAsia="zh-CN"/>
              </w:rPr>
              <w:t>，</w:t>
            </w:r>
            <w:r>
              <w:rPr>
                <w:rFonts w:hint="eastAsia" w:ascii="宋体" w:hAnsi="宋体" w:eastAsia="宋体" w:cs="宋体"/>
                <w:color w:val="000000"/>
                <w:sz w:val="21"/>
                <w:szCs w:val="21"/>
              </w:rPr>
              <w:t>避免卫生保洁上、下午各打扫一遍的传统做法，全面落实实时保洁。</w:t>
            </w:r>
          </w:p>
          <w:p w14:paraId="694DA123">
            <w:pPr>
              <w:pStyle w:val="16"/>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1.3保洁时，应遵守“先扫后拖”、“小拖干拖”、“边拖边清”的程序和要求，不得“只拖不扫”、“一拖到底”。1.4保洁工具、垃圾桶应规范放置、各就其位，不得随意摆放、悬挂、藏匿。垃圾桶及时倾倒、定期清洗，并保持外观洁净。拖把、扫帚、抹布、毛刷等定量配置、定位摆放,以避免杂乱的状况。</w:t>
            </w:r>
          </w:p>
          <w:p w14:paraId="2CA32061">
            <w:pPr>
              <w:pStyle w:val="16"/>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1.5 保洁人员捡拾的可回收垃圾，应做到日产日清，不得摆放在工具间。</w:t>
            </w:r>
          </w:p>
          <w:p w14:paraId="13E80370">
            <w:pPr>
              <w:pStyle w:val="16"/>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1.6保洁时，不得使用硫酸、盐酸等腐蚀性较强的清洁用品，不得使用金属锐器刮、铲不锈钢、木门等。对电梯、地面、卫生间隔断金属支架等应使用专门工具和保洁用品清理</w:t>
            </w:r>
            <w:r>
              <w:rPr>
                <w:rFonts w:hint="eastAsia" w:hAnsi="宋体" w:eastAsia="宋体" w:cs="宋体"/>
                <w:color w:val="000000"/>
                <w:sz w:val="21"/>
                <w:szCs w:val="21"/>
                <w:lang w:eastAsia="zh-CN"/>
              </w:rPr>
              <w:t>。</w:t>
            </w:r>
            <w:r>
              <w:rPr>
                <w:rFonts w:hint="eastAsia" w:ascii="宋体" w:hAnsi="宋体" w:eastAsia="宋体" w:cs="宋体"/>
                <w:color w:val="000000"/>
                <w:sz w:val="21"/>
                <w:szCs w:val="21"/>
              </w:rPr>
              <w:t>1.7卫生保洁后产生的垃圾应及时清理，并运送至指定地点，不得延期存放。对有异味或腐蚀性较强的垃圾，应随打扫、随清理、随运走。</w:t>
            </w:r>
          </w:p>
          <w:p w14:paraId="3B9E0EFD">
            <w:pPr>
              <w:pStyle w:val="16"/>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1.8节假日期间，标准不得降低。</w:t>
            </w:r>
          </w:p>
          <w:p w14:paraId="1970B956">
            <w:pPr>
              <w:pStyle w:val="16"/>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1.9做好大型会议、活动参观以及其它大型活动和大风、雨雪天气期间的物业服务，需制定出相关的服务方案</w:t>
            </w:r>
            <w:r>
              <w:rPr>
                <w:rFonts w:hint="eastAsia" w:hAnsi="宋体" w:eastAsia="宋体" w:cs="宋体"/>
                <w:color w:val="000000"/>
                <w:sz w:val="21"/>
                <w:szCs w:val="21"/>
                <w:lang w:eastAsia="zh-CN"/>
              </w:rPr>
              <w:t>。</w:t>
            </w:r>
          </w:p>
          <w:p w14:paraId="072A9883">
            <w:pPr>
              <w:pStyle w:val="16"/>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2、环境保洁范围:</w:t>
            </w:r>
          </w:p>
          <w:p w14:paraId="23CD7AE2">
            <w:pPr>
              <w:pStyle w:val="16"/>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2.1、所有室内卫生间;</w:t>
            </w:r>
          </w:p>
          <w:p w14:paraId="01ED06CE">
            <w:pPr>
              <w:pStyle w:val="16"/>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2.2、展厅、楼道、电梯、办公室;</w:t>
            </w:r>
          </w:p>
          <w:p w14:paraId="04F83954">
            <w:pPr>
              <w:pStyle w:val="16"/>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2.3、墙面广告、顶面、LED 显示屏:</w:t>
            </w:r>
          </w:p>
          <w:p w14:paraId="001DBD48">
            <w:pPr>
              <w:pStyle w:val="16"/>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2.4、垃圾箱清理及擦拭;</w:t>
            </w:r>
          </w:p>
          <w:p w14:paraId="6EC1CD01">
            <w:pPr>
              <w:pStyle w:val="16"/>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2.5、其他临时性保洁任务;</w:t>
            </w:r>
          </w:p>
          <w:p w14:paraId="3CCE3297">
            <w:pPr>
              <w:pStyle w:val="16"/>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2.6、地面及地毯</w:t>
            </w:r>
            <w:r>
              <w:rPr>
                <w:rFonts w:hint="eastAsia" w:hAnsi="宋体" w:eastAsia="宋体" w:cs="宋体"/>
                <w:color w:val="000000"/>
                <w:sz w:val="21"/>
                <w:szCs w:val="21"/>
                <w:lang w:eastAsia="zh-CN"/>
              </w:rPr>
              <w:t>。</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3CFD40C">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5C156F6">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1478" w:type="dxa"/>
            <w:tcBorders>
              <w:top w:val="single" w:color="000000" w:sz="4" w:space="0"/>
              <w:left w:val="single" w:color="000000" w:sz="4" w:space="0"/>
              <w:bottom w:val="single" w:color="000000" w:sz="4" w:space="0"/>
              <w:right w:val="single" w:color="000000" w:sz="4" w:space="0"/>
            </w:tcBorders>
            <w:noWrap/>
            <w:vAlign w:val="center"/>
          </w:tcPr>
          <w:p w14:paraId="0D2D152D">
            <w:pPr>
              <w:keepNext w:val="0"/>
              <w:keepLines w:val="0"/>
              <w:pageBreakBefore w:val="0"/>
              <w:widowControl/>
              <w:kinsoku/>
              <w:wordWrap/>
              <w:overflowPunct/>
              <w:topLinePunct w:val="0"/>
              <w:autoSpaceDE/>
              <w:autoSpaceDN/>
              <w:bidi w:val="0"/>
              <w:snapToGrid/>
              <w:spacing w:line="4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物业</w:t>
            </w:r>
          </w:p>
          <w:p w14:paraId="5722108A">
            <w:pPr>
              <w:keepNext w:val="0"/>
              <w:keepLines w:val="0"/>
              <w:pageBreakBefore w:val="0"/>
              <w:widowControl/>
              <w:kinsoku/>
              <w:wordWrap/>
              <w:overflowPunct/>
              <w:topLinePunct w:val="0"/>
              <w:autoSpaceDE/>
              <w:autoSpaceDN/>
              <w:bidi w:val="0"/>
              <w:snapToGrid/>
              <w:spacing w:line="4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管理</w:t>
            </w:r>
          </w:p>
        </w:tc>
      </w:tr>
      <w:tr w14:paraId="20E03C37">
        <w:tblPrEx>
          <w:tblCellMar>
            <w:top w:w="0" w:type="dxa"/>
            <w:left w:w="108" w:type="dxa"/>
            <w:bottom w:w="0" w:type="dxa"/>
            <w:right w:w="108"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66B538B7">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1336" w:type="dxa"/>
            <w:tcBorders>
              <w:top w:val="single" w:color="000000" w:sz="4" w:space="0"/>
              <w:left w:val="single" w:color="000000" w:sz="4" w:space="0"/>
              <w:bottom w:val="single" w:color="000000" w:sz="4" w:space="0"/>
              <w:right w:val="single" w:color="000000" w:sz="4" w:space="0"/>
            </w:tcBorders>
            <w:noWrap/>
            <w:vAlign w:val="center"/>
          </w:tcPr>
          <w:p w14:paraId="0AD63006">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水电维修人员</w:t>
            </w:r>
          </w:p>
        </w:tc>
        <w:tc>
          <w:tcPr>
            <w:tcW w:w="5624" w:type="dxa"/>
            <w:tcBorders>
              <w:top w:val="single" w:color="000000" w:sz="4" w:space="0"/>
              <w:left w:val="single" w:color="000000" w:sz="4" w:space="0"/>
              <w:bottom w:val="single" w:color="000000" w:sz="4" w:space="0"/>
              <w:right w:val="single" w:color="000000" w:sz="4" w:space="0"/>
            </w:tcBorders>
            <w:noWrap/>
            <w:vAlign w:val="center"/>
          </w:tcPr>
          <w:p w14:paraId="4807BFF7">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1、岗位设置</w:t>
            </w:r>
          </w:p>
          <w:p w14:paraId="5CEB222C">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设施设备维修人员配备计划，水电维修人员:2人。</w:t>
            </w:r>
          </w:p>
          <w:p w14:paraId="1A8080A2">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按岗位要求，年龄不超过65岁，保证每天时刻在岗。</w:t>
            </w:r>
          </w:p>
          <w:p w14:paraId="27ED410F">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2、水电维修人员工作职责</w:t>
            </w:r>
          </w:p>
          <w:p w14:paraId="75F050F5">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2.1 基础设施:定期检修、及时维修、确保各项设施状态良好;加强日常管理，确保设施安全。</w:t>
            </w:r>
          </w:p>
          <w:p w14:paraId="0177FD3D">
            <w:pPr>
              <w:pStyle w:val="2"/>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供配电系统:馆内区域内所有用电设施、用电线路、办公电器以及其他用电设施的维修维护。供电运行和维修人员必须持证上岗;建立24小时*365天运行维修值班制度，及时排出故障;确保各种设施完好无损，如遇到疫情防控、大型活动等特殊情况，服从安排积极配合馆内工作。馆内所有照明系统外观整洁无缺损、松落和安全隐患，光源完好率、无蚊虫、蜘蛛网、积尘等。</w:t>
            </w:r>
          </w:p>
          <w:p w14:paraId="5C791265">
            <w:pPr>
              <w:pStyle w:val="2"/>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2.3其他方面:包括馆内所有门窗、家具、电器、空调等设施设备，要求定期检修、快速维修、定期维护，物业公司应制定出方案，确保安全正常使用运行。</w:t>
            </w:r>
          </w:p>
          <w:p w14:paraId="2A8D913E">
            <w:pPr>
              <w:pStyle w:val="2"/>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3、工作要求</w:t>
            </w:r>
          </w:p>
          <w:p w14:paraId="53D73E4E">
            <w:pPr>
              <w:pStyle w:val="2"/>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3.1水电维修人员应增强节水、节电意识，按节能要求自觉做好节水、节电工作，不得出现长明灯、长流水现象。</w:t>
            </w:r>
          </w:p>
          <w:p w14:paraId="1B915DF9">
            <w:pPr>
              <w:pStyle w:val="2"/>
              <w:rPr>
                <w:rFonts w:hint="eastAsia"/>
              </w:rPr>
            </w:pPr>
            <w:r>
              <w:rPr>
                <w:rFonts w:hint="eastAsia" w:ascii="宋体" w:hAnsi="宋体" w:eastAsia="宋体" w:cs="宋体"/>
                <w:color w:val="000000"/>
                <w:kern w:val="2"/>
                <w:sz w:val="21"/>
                <w:szCs w:val="21"/>
                <w:lang w:val="en-US" w:eastAsia="zh-CN" w:bidi="ar-SA"/>
              </w:rPr>
              <w:t>3.2不经批准，物业公司不得私接水管、乱拉电线等。</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44EE767">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461B6BF">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478" w:type="dxa"/>
            <w:tcBorders>
              <w:top w:val="single" w:color="000000" w:sz="4" w:space="0"/>
              <w:left w:val="single" w:color="000000" w:sz="4" w:space="0"/>
              <w:bottom w:val="single" w:color="000000" w:sz="4" w:space="0"/>
              <w:right w:val="single" w:color="000000" w:sz="4" w:space="0"/>
            </w:tcBorders>
            <w:noWrap/>
            <w:vAlign w:val="center"/>
          </w:tcPr>
          <w:p w14:paraId="0F38DDD0">
            <w:pPr>
              <w:keepNext w:val="0"/>
              <w:keepLines w:val="0"/>
              <w:pageBreakBefore w:val="0"/>
              <w:widowControl/>
              <w:kinsoku/>
              <w:wordWrap/>
              <w:overflowPunct/>
              <w:topLinePunct w:val="0"/>
              <w:autoSpaceDE/>
              <w:autoSpaceDN/>
              <w:bidi w:val="0"/>
              <w:snapToGrid/>
              <w:spacing w:line="4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物业</w:t>
            </w:r>
          </w:p>
          <w:p w14:paraId="131A8856">
            <w:pPr>
              <w:keepNext w:val="0"/>
              <w:keepLines w:val="0"/>
              <w:pageBreakBefore w:val="0"/>
              <w:widowControl/>
              <w:kinsoku/>
              <w:wordWrap/>
              <w:overflowPunct/>
              <w:topLinePunct w:val="0"/>
              <w:autoSpaceDE/>
              <w:autoSpaceDN/>
              <w:bidi w:val="0"/>
              <w:snapToGrid/>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管理</w:t>
            </w:r>
          </w:p>
        </w:tc>
      </w:tr>
    </w:tbl>
    <w:p w14:paraId="6B949718">
      <w:pPr>
        <w:keepNext w:val="0"/>
        <w:keepLines w:val="0"/>
        <w:pageBreakBefore w:val="0"/>
        <w:widowControl/>
        <w:shd w:val="clear" w:color="auto" w:fill="FFFFFF"/>
        <w:tabs>
          <w:tab w:val="left" w:pos="7065"/>
        </w:tabs>
        <w:kinsoku/>
        <w:wordWrap/>
        <w:overflowPunct/>
        <w:topLinePunct w:val="0"/>
        <w:autoSpaceDE/>
        <w:autoSpaceDN/>
        <w:bidi w:val="0"/>
        <w:snapToGrid/>
        <w:spacing w:line="480" w:lineRule="exact"/>
        <w:ind w:firstLine="422" w:firstLineChars="200"/>
        <w:jc w:val="left"/>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（三）采购标的执行标准</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 xml:space="preserve">：需执行的国家相关标准、规范。 </w:t>
      </w:r>
      <w:r>
        <w:rPr>
          <w:rFonts w:hint="eastAsia" w:asciiTheme="minorEastAsia" w:hAnsiTheme="minorEastAsia" w:cstheme="minorEastAsia"/>
          <w:bCs/>
          <w:color w:val="000000" w:themeColor="text1"/>
          <w:sz w:val="21"/>
          <w:szCs w:val="21"/>
          <w:lang w:eastAsia="zh-CN"/>
          <w14:textFill>
            <w14:solidFill>
              <w14:schemeClr w14:val="tx1"/>
            </w14:solidFill>
          </w14:textFill>
        </w:rPr>
        <w:tab/>
      </w:r>
    </w:p>
    <w:p w14:paraId="3D361F13">
      <w:pPr>
        <w:shd w:val="clear" w:color="auto" w:fill="FFFFFF"/>
        <w:spacing w:line="360" w:lineRule="auto"/>
        <w:ind w:firstLine="422" w:firstLineChars="200"/>
        <w:jc w:val="left"/>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（四）服务标准、期限、效率等要求</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p>
    <w:p w14:paraId="63DCC86C">
      <w:pPr>
        <w:keepNext w:val="0"/>
        <w:keepLines w:val="0"/>
        <w:pageBreakBefore w:val="0"/>
        <w:shd w:val="clear" w:color="auto" w:fill="FFFFFF"/>
        <w:kinsoku/>
        <w:wordWrap/>
        <w:overflowPunct/>
        <w:topLinePunct w:val="0"/>
        <w:autoSpaceDE/>
        <w:autoSpaceDN/>
        <w:bidi w:val="0"/>
        <w:snapToGrid/>
        <w:spacing w:line="520" w:lineRule="exact"/>
        <w:ind w:firstLine="630" w:firstLineChars="300"/>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1、</w:t>
      </w:r>
      <w:r>
        <w:rPr>
          <w:rFonts w:hint="eastAsia" w:ascii="宋体" w:hAnsi="宋体" w:eastAsia="宋体" w:cs="宋体"/>
          <w:bCs/>
          <w:color w:val="000000"/>
          <w:sz w:val="21"/>
          <w:szCs w:val="21"/>
        </w:rPr>
        <w:t>符合业主需求，服务期限为合同签订后</w:t>
      </w:r>
      <w:r>
        <w:rPr>
          <w:rFonts w:hint="eastAsia" w:ascii="宋体" w:hAnsi="宋体" w:eastAsia="宋体" w:cs="宋体"/>
          <w:bCs/>
          <w:color w:val="000000"/>
          <w:sz w:val="21"/>
          <w:szCs w:val="21"/>
          <w:lang w:val="en-US" w:eastAsia="zh-CN"/>
        </w:rPr>
        <w:t>三</w:t>
      </w:r>
      <w:r>
        <w:rPr>
          <w:rFonts w:hint="eastAsia" w:ascii="宋体" w:hAnsi="宋体" w:eastAsia="宋体" w:cs="宋体"/>
          <w:bCs/>
          <w:color w:val="000000"/>
          <w:sz w:val="21"/>
          <w:szCs w:val="21"/>
        </w:rPr>
        <w:t>年。</w:t>
      </w:r>
    </w:p>
    <w:p w14:paraId="14A70486">
      <w:pPr>
        <w:pStyle w:val="2"/>
        <w:keepNext w:val="0"/>
        <w:keepLines w:val="0"/>
        <w:pageBreakBefore w:val="0"/>
        <w:kinsoku/>
        <w:wordWrap/>
        <w:overflowPunct/>
        <w:topLinePunct w:val="0"/>
        <w:autoSpaceDE/>
        <w:autoSpaceDN/>
        <w:bidi w:val="0"/>
        <w:snapToGrid/>
        <w:spacing w:line="520" w:lineRule="exact"/>
        <w:ind w:firstLine="630" w:firstLineChars="300"/>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从事保安服务工作的人员必须持有保安员证，保安从业单位应当根据保安服务岗位的需要，定期对保安员进行法律、保安专业知识和技能培训，以确保保安员具备必要的专业知识和技能。保安员应当遵守法律、法规和政策，维护单位的治安秩序；忠于职守、勤奋工作、尽职尽责，并严格履行保安服务合同；对于发生在服务区域内的违法犯罪行为，保安员有责任及时制止，对制止无效的违法犯罪行为应当立即报警。</w:t>
      </w:r>
    </w:p>
    <w:p w14:paraId="2FFCF6A2">
      <w:pPr>
        <w:pStyle w:val="2"/>
        <w:keepNext w:val="0"/>
        <w:keepLines w:val="0"/>
        <w:pageBreakBefore w:val="0"/>
        <w:kinsoku/>
        <w:wordWrap/>
        <w:overflowPunct/>
        <w:topLinePunct w:val="0"/>
        <w:autoSpaceDE/>
        <w:autoSpaceDN/>
        <w:bidi w:val="0"/>
        <w:snapToGrid/>
        <w:spacing w:line="520" w:lineRule="exact"/>
        <w:ind w:firstLine="210" w:firstLineChars="100"/>
        <w:rPr>
          <w:rFonts w:hint="eastAsia" w:ascii="宋体" w:hAnsi="宋体" w:eastAsia="宋体" w:cs="宋体"/>
          <w:bCs/>
          <w:color w:val="auto"/>
          <w:kern w:val="2"/>
          <w:sz w:val="21"/>
          <w:szCs w:val="21"/>
          <w:lang w:val="zh-CN" w:eastAsia="zh-CN" w:bidi="ar-SA"/>
        </w:rPr>
      </w:pPr>
      <w:r>
        <w:rPr>
          <w:rFonts w:hint="eastAsia" w:ascii="宋体" w:hAnsi="宋体" w:eastAsia="宋体" w:cs="宋体"/>
          <w:bCs/>
          <w:color w:val="auto"/>
          <w:kern w:val="2"/>
          <w:sz w:val="21"/>
          <w:szCs w:val="21"/>
          <w:lang w:val="en-US" w:eastAsia="zh-CN" w:bidi="ar-SA"/>
        </w:rPr>
        <w:t>3、</w:t>
      </w:r>
      <w:r>
        <w:rPr>
          <w:rFonts w:hint="eastAsia" w:ascii="宋体" w:hAnsi="宋体" w:eastAsia="宋体" w:cs="宋体"/>
          <w:bCs/>
          <w:color w:val="auto"/>
          <w:kern w:val="2"/>
          <w:sz w:val="21"/>
          <w:szCs w:val="21"/>
          <w:lang w:val="zh-CN" w:eastAsia="zh-CN" w:bidi="ar-SA"/>
        </w:rPr>
        <w:t>消防监控员应具备有较高的政治思想素养和业务水平，受过专业的业务培训，有消防工作证，能熟练掌握监控中心设备的技术性能以及操作方法，熟悉其分布情况和监控点的位置，当值安全监控管理员要坚守岗位，密切注视监视屏上的各种动态情况，发现问题要立即和相关安保人员联系，同时做好详细记录，组织实施相关安全隐患排查工作。</w:t>
      </w:r>
    </w:p>
    <w:p w14:paraId="08D332B5">
      <w:pPr>
        <w:pStyle w:val="3"/>
        <w:keepNext w:val="0"/>
        <w:keepLines w:val="0"/>
        <w:pageBreakBefore w:val="0"/>
        <w:kinsoku/>
        <w:wordWrap/>
        <w:overflowPunct/>
        <w:topLinePunct w:val="0"/>
        <w:autoSpaceDE/>
        <w:autoSpaceDN/>
        <w:bidi w:val="0"/>
        <w:snapToGrid/>
        <w:spacing w:line="520" w:lineRule="exac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（4）电工应</w:t>
      </w:r>
      <w:r>
        <w:rPr>
          <w:rFonts w:hint="eastAsia" w:ascii="宋体" w:hAnsi="宋体" w:eastAsia="宋体" w:cs="宋体"/>
          <w:bCs/>
          <w:color w:val="auto"/>
          <w:kern w:val="2"/>
          <w:sz w:val="21"/>
          <w:szCs w:val="21"/>
          <w:lang w:val="zh-CN" w:eastAsia="zh-CN" w:bidi="ar-SA"/>
        </w:rPr>
        <w:t>受过专业的业务培训，必须持证上岗，服从安排，积极配合单位工作。</w:t>
      </w:r>
    </w:p>
    <w:p w14:paraId="16921CD5">
      <w:pPr>
        <w:shd w:val="clear" w:color="auto" w:fill="FFFFFF"/>
        <w:spacing w:line="560" w:lineRule="exact"/>
        <w:ind w:firstLine="422" w:firstLineChars="200"/>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（五）采购标的其他技术、服务等要求：</w:t>
      </w:r>
    </w:p>
    <w:p w14:paraId="054356FD">
      <w:pPr>
        <w:spacing w:after="120" w:line="360" w:lineRule="auto"/>
        <w:ind w:firstLine="420" w:firstLineChars="200"/>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1、以上要求为最低要求，投标人不能低于此要求，否则为无效投标。</w:t>
      </w:r>
    </w:p>
    <w:p w14:paraId="7DAC740F">
      <w:pPr>
        <w:spacing w:after="12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、供应商应就该项目完整投标（报价包括但不限于完成本项目材料费、人工费、管理费、维护费、保险费、利润、税费等所有费用），否则为无效投标。</w:t>
      </w:r>
    </w:p>
    <w:p w14:paraId="12719068">
      <w:pPr>
        <w:spacing w:after="120"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、投标文件中须有详细的实施（技术）方案。</w:t>
      </w:r>
    </w:p>
    <w:p w14:paraId="7424D3C5">
      <w:pPr>
        <w:pStyle w:val="3"/>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bCs/>
          <w:color w:val="000000"/>
          <w:sz w:val="21"/>
          <w:szCs w:val="21"/>
        </w:rPr>
        <w:t xml:space="preserve">    </w:t>
      </w:r>
      <w:r>
        <w:rPr>
          <w:rFonts w:hint="eastAsia" w:ascii="宋体" w:hAnsi="宋体" w:eastAsia="宋体" w:cs="宋体"/>
          <w:bCs/>
          <w:color w:val="000000"/>
          <w:sz w:val="21"/>
          <w:szCs w:val="21"/>
          <w:lang w:val="en-US" w:eastAsia="zh-CN"/>
        </w:rPr>
        <w:t>4</w:t>
      </w:r>
      <w:r>
        <w:rPr>
          <w:rFonts w:hint="eastAsia" w:ascii="宋体" w:hAnsi="宋体" w:eastAsia="宋体" w:cs="宋体"/>
          <w:color w:val="000000"/>
          <w:kern w:val="2"/>
          <w:sz w:val="21"/>
          <w:szCs w:val="21"/>
          <w:lang w:val="en-US" w:eastAsia="zh-CN" w:bidi="ar-SA"/>
        </w:rPr>
        <w:t>、在本项目实施过程中发生的一切与本项目相关的安全事故及责任均由中标供应商承担，本单位不承担任何责任及费用。</w:t>
      </w:r>
    </w:p>
    <w:p w14:paraId="4BFA61B6">
      <w:pPr>
        <w:spacing w:after="120" w:line="360" w:lineRule="auto"/>
        <w:ind w:firstLine="420" w:firstLineChars="200"/>
        <w:rPr>
          <w:rFonts w:hint="eastAsia" w:ascii="宋体" w:hAnsi="宋体" w:eastAsia="宋体" w:cs="宋体"/>
          <w:color w:val="000000"/>
          <w:sz w:val="21"/>
          <w:szCs w:val="21"/>
        </w:rPr>
      </w:pPr>
      <w:r>
        <w:rPr>
          <w:rFonts w:hint="eastAsia" w:ascii="宋体" w:hAnsi="宋体" w:eastAsia="宋体" w:cs="宋体"/>
          <w:bCs/>
          <w:color w:val="000000"/>
          <w:sz w:val="21"/>
          <w:szCs w:val="21"/>
          <w:lang w:val="en-US" w:eastAsia="zh-CN"/>
        </w:rPr>
        <w:t>5</w:t>
      </w:r>
      <w:r>
        <w:rPr>
          <w:rFonts w:hint="eastAsia" w:ascii="宋体" w:hAnsi="宋体" w:eastAsia="宋体" w:cs="宋体"/>
          <w:bCs/>
          <w:color w:val="000000"/>
          <w:sz w:val="21"/>
          <w:szCs w:val="21"/>
        </w:rPr>
        <w:t>、</w:t>
      </w:r>
      <w:r>
        <w:rPr>
          <w:rFonts w:hint="eastAsia" w:ascii="宋体" w:hAnsi="宋体" w:eastAsia="宋体" w:cs="宋体"/>
          <w:color w:val="000000"/>
          <w:sz w:val="21"/>
          <w:szCs w:val="21"/>
        </w:rPr>
        <w:t>招标人有权对中标人的劳动纪律、工作日程、质量及时监督、检查、考核。随时提出整改意见，对不能达到标准和不能服从管理的有权按照相关规定（约定）进行处罚</w:t>
      </w:r>
      <w:r>
        <w:rPr>
          <w:rFonts w:hint="eastAsia" w:ascii="宋体" w:hAnsi="宋体" w:eastAsia="宋体" w:cs="宋体"/>
          <w:color w:val="000000"/>
          <w:sz w:val="21"/>
          <w:szCs w:val="21"/>
          <w:lang w:eastAsia="zh-CN"/>
        </w:rPr>
        <w:t>，每季度进行一次全面的考核评定，评分标准参照《物业服务标准》</w:t>
      </w:r>
      <w:r>
        <w:rPr>
          <w:rFonts w:hint="eastAsia" w:ascii="宋体" w:hAnsi="宋体" w:eastAsia="宋体" w:cs="宋体"/>
          <w:color w:val="000000"/>
          <w:sz w:val="21"/>
          <w:szCs w:val="21"/>
        </w:rPr>
        <w:t>。</w:t>
      </w:r>
    </w:p>
    <w:p w14:paraId="3AC46B7A">
      <w:pPr>
        <w:spacing w:after="120" w:line="360" w:lineRule="auto"/>
        <w:ind w:firstLine="420" w:firstLineChars="200"/>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val="en-US" w:eastAsia="zh-CN"/>
        </w:rPr>
        <w:t>6</w:t>
      </w:r>
      <w:r>
        <w:rPr>
          <w:rFonts w:hint="eastAsia" w:ascii="宋体" w:hAnsi="宋体" w:eastAsia="宋体" w:cs="宋体"/>
          <w:bCs/>
          <w:color w:val="000000"/>
          <w:sz w:val="21"/>
          <w:szCs w:val="21"/>
        </w:rPr>
        <w:t>、</w:t>
      </w:r>
      <w:r>
        <w:rPr>
          <w:rFonts w:hint="eastAsia" w:ascii="宋体" w:hAnsi="宋体" w:eastAsia="宋体" w:cs="宋体"/>
          <w:color w:val="000000"/>
          <w:sz w:val="21"/>
          <w:szCs w:val="21"/>
        </w:rPr>
        <w:t>中标</w:t>
      </w:r>
      <w:r>
        <w:rPr>
          <w:rFonts w:hint="eastAsia" w:ascii="宋体" w:hAnsi="宋体" w:eastAsia="宋体" w:cs="宋体"/>
          <w:color w:val="000000"/>
          <w:sz w:val="21"/>
          <w:szCs w:val="21"/>
          <w:lang w:val="en-US" w:eastAsia="zh-CN"/>
        </w:rPr>
        <w:t>人</w:t>
      </w:r>
      <w:r>
        <w:rPr>
          <w:rFonts w:hint="eastAsia" w:ascii="宋体" w:hAnsi="宋体" w:eastAsia="宋体" w:cs="宋体"/>
          <w:color w:val="000000"/>
          <w:sz w:val="21"/>
          <w:szCs w:val="21"/>
        </w:rPr>
        <w:t>未达到作业计划标准及工作违规或引起纠纷、被上级部门处罚等不良后果，造成重大经济损失或服务严重失误，招标方有权终止本合同，并追究中标方的经济责任</w:t>
      </w:r>
      <w:r>
        <w:rPr>
          <w:rFonts w:hint="eastAsia" w:ascii="宋体" w:hAnsi="宋体" w:eastAsia="宋体" w:cs="宋体"/>
          <w:color w:val="000000"/>
          <w:sz w:val="21"/>
          <w:szCs w:val="21"/>
          <w:lang w:eastAsia="zh-CN"/>
        </w:rPr>
        <w:t>。</w:t>
      </w:r>
    </w:p>
    <w:p w14:paraId="1BF621AC">
      <w:pPr>
        <w:spacing w:after="12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7、本次招标某些技术标准与国家所要求的标准不统一或有不兼容的地方，均以国家强制性标准或最新出台的标准为准。</w:t>
      </w:r>
    </w:p>
    <w:p w14:paraId="565B6DCA">
      <w:pPr>
        <w:spacing w:after="120" w:line="36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8、如果未在招标文件中要求提供其相关行业标准或国家强制性标准的，则投标人有责任给予补充说明。</w:t>
      </w:r>
      <w:r>
        <w:rPr>
          <w:rFonts w:hint="eastAsia" w:ascii="宋体" w:hAnsi="宋体" w:eastAsia="宋体" w:cs="宋体"/>
          <w:color w:val="000000"/>
          <w:sz w:val="21"/>
          <w:szCs w:val="21"/>
          <w:lang w:eastAsia="zh-CN"/>
        </w:rPr>
        <w:t>中标人应无条件接受招标人交付的临时性工作。</w:t>
      </w:r>
    </w:p>
    <w:p w14:paraId="30D9EE5A">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9、中标企业于中标后第三日上午09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00向</w:t>
      </w:r>
      <w:r>
        <w:rPr>
          <w:rFonts w:hint="eastAsia" w:ascii="宋体" w:hAnsi="宋体" w:eastAsia="宋体" w:cs="宋体"/>
          <w:color w:val="000000"/>
          <w:sz w:val="21"/>
          <w:szCs w:val="21"/>
          <w:lang w:eastAsia="zh-CN"/>
        </w:rPr>
        <w:t>禹州市规划展览馆</w:t>
      </w:r>
      <w:r>
        <w:rPr>
          <w:rFonts w:hint="eastAsia" w:ascii="宋体" w:hAnsi="宋体" w:eastAsia="宋体" w:cs="宋体"/>
          <w:color w:val="000000"/>
          <w:sz w:val="21"/>
          <w:szCs w:val="21"/>
        </w:rPr>
        <w:t>提供投标文件中所有资质原件，不符合或不能提供的，取消其中标资格并列入不良记录及信用中国。</w:t>
      </w:r>
    </w:p>
    <w:p w14:paraId="05C92735">
      <w:pPr>
        <w:shd w:val="clear" w:color="auto" w:fill="FFFFFF"/>
        <w:spacing w:line="560" w:lineRule="exact"/>
        <w:ind w:firstLine="422" w:firstLineChars="200"/>
        <w:jc w:val="left"/>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（六）验收标准</w:t>
      </w:r>
    </w:p>
    <w:p w14:paraId="3A38839F">
      <w:pPr>
        <w:spacing w:after="120" w:line="360" w:lineRule="auto"/>
        <w:ind w:firstLine="420" w:firstLineChars="200"/>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sz w:val="21"/>
          <w:szCs w:val="21"/>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45E9E7E4">
      <w:pPr>
        <w:pStyle w:val="3"/>
        <w:keepNext w:val="0"/>
        <w:keepLines w:val="0"/>
        <w:pageBreakBefore w:val="0"/>
        <w:widowControl w:val="0"/>
        <w:numPr>
          <w:ilvl w:val="0"/>
          <w:numId w:val="7"/>
        </w:numPr>
        <w:kinsoku/>
        <w:wordWrap/>
        <w:overflowPunct/>
        <w:topLinePunct w:val="0"/>
        <w:autoSpaceDE/>
        <w:autoSpaceDN/>
        <w:bidi w:val="0"/>
        <w:adjustRightInd/>
        <w:snapToGrid/>
        <w:spacing w:line="520" w:lineRule="exact"/>
        <w:ind w:firstLine="422" w:firstLineChars="200"/>
        <w:textAlignment w:val="auto"/>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资金支付</w:t>
      </w:r>
    </w:p>
    <w:p w14:paraId="537EF7BA">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Style w:val="65"/>
          <w:rFonts w:hint="eastAsia" w:asciiTheme="minorEastAsia" w:hAnsiTheme="minorEastAsia" w:eastAsiaTheme="minorEastAsia" w:cstheme="minorEastAsia"/>
          <w:color w:val="auto"/>
          <w:kern w:val="0"/>
          <w:sz w:val="21"/>
          <w:szCs w:val="21"/>
          <w:lang w:val="en-US" w:eastAsia="zh-CN"/>
        </w:rPr>
      </w:pPr>
      <w:r>
        <w:rPr>
          <w:rStyle w:val="65"/>
          <w:rFonts w:hint="eastAsia" w:asciiTheme="minorEastAsia" w:hAnsiTheme="minorEastAsia" w:eastAsiaTheme="minorEastAsia" w:cstheme="minorEastAsia"/>
          <w:color w:val="auto"/>
          <w:kern w:val="0"/>
          <w:sz w:val="21"/>
          <w:szCs w:val="21"/>
        </w:rPr>
        <w:t>（</w:t>
      </w:r>
      <w:r>
        <w:rPr>
          <w:rStyle w:val="65"/>
          <w:rFonts w:hint="eastAsia" w:asciiTheme="minorEastAsia" w:hAnsiTheme="minorEastAsia" w:eastAsiaTheme="minorEastAsia" w:cstheme="minorEastAsia"/>
          <w:color w:val="auto"/>
          <w:kern w:val="0"/>
          <w:sz w:val="21"/>
          <w:szCs w:val="21"/>
          <w:lang w:val="en-US" w:eastAsia="zh-CN"/>
        </w:rPr>
        <w:t>一</w:t>
      </w:r>
      <w:r>
        <w:rPr>
          <w:rStyle w:val="65"/>
          <w:rFonts w:hint="eastAsia" w:asciiTheme="minorEastAsia" w:hAnsiTheme="minorEastAsia" w:eastAsiaTheme="minorEastAsia" w:cstheme="minorEastAsia"/>
          <w:color w:val="auto"/>
          <w:kern w:val="0"/>
          <w:sz w:val="21"/>
          <w:szCs w:val="21"/>
        </w:rPr>
        <w:t>）支付方式：</w:t>
      </w:r>
      <w:r>
        <w:rPr>
          <w:rStyle w:val="65"/>
          <w:rFonts w:hint="eastAsia" w:asciiTheme="minorEastAsia" w:hAnsiTheme="minorEastAsia" w:eastAsiaTheme="minorEastAsia" w:cstheme="minorEastAsia"/>
          <w:color w:val="auto"/>
          <w:kern w:val="0"/>
          <w:sz w:val="21"/>
          <w:szCs w:val="21"/>
          <w:lang w:val="en-US" w:eastAsia="zh-CN"/>
        </w:rPr>
        <w:t>财政拔付，银行转帐。</w:t>
      </w:r>
    </w:p>
    <w:p w14:paraId="2C8C9BD6">
      <w:pPr>
        <w:pStyle w:val="4"/>
        <w:rPr>
          <w:rStyle w:val="65"/>
          <w:rFonts w:hint="eastAsia" w:asciiTheme="minorEastAsia" w:hAnsiTheme="minorEastAsia" w:eastAsiaTheme="minorEastAsia" w:cstheme="minorEastAsia"/>
          <w:color w:val="auto"/>
          <w:kern w:val="0"/>
          <w:sz w:val="21"/>
          <w:szCs w:val="21"/>
          <w:lang w:val="zh-CN" w:eastAsia="zh-CN" w:bidi="ar-SA"/>
        </w:rPr>
      </w:pPr>
      <w:r>
        <w:rPr>
          <w:rStyle w:val="65"/>
          <w:rFonts w:hint="eastAsia" w:asciiTheme="minorEastAsia" w:hAnsiTheme="minorEastAsia" w:eastAsiaTheme="minorEastAsia" w:cstheme="minorEastAsia"/>
          <w:color w:val="auto"/>
          <w:kern w:val="0"/>
          <w:sz w:val="21"/>
          <w:szCs w:val="21"/>
          <w:lang w:val="en-US" w:eastAsia="zh-CN" w:bidi="ar-SA"/>
        </w:rPr>
        <w:t>（二）支付时间及条件：</w:t>
      </w:r>
      <w:r>
        <w:rPr>
          <w:rStyle w:val="65"/>
          <w:rFonts w:hint="eastAsia" w:asciiTheme="minorEastAsia" w:hAnsiTheme="minorEastAsia" w:eastAsiaTheme="minorEastAsia" w:cstheme="minorEastAsia"/>
          <w:color w:val="auto"/>
          <w:kern w:val="0"/>
          <w:sz w:val="21"/>
          <w:szCs w:val="21"/>
          <w:lang w:val="zh-CN" w:eastAsia="zh-CN" w:bidi="ar-SA"/>
        </w:rPr>
        <w:t>经验收合格后，收到发票五个工作日内一次性支付。</w:t>
      </w:r>
    </w:p>
    <w:p w14:paraId="07FA4E6E">
      <w:pPr>
        <w:widowControl/>
        <w:ind w:firstLine="1676" w:firstLineChars="795"/>
        <w:rPr>
          <w:rFonts w:hint="eastAsia" w:asciiTheme="minorEastAsia" w:hAnsiTheme="minorEastAsia" w:eastAsiaTheme="minorEastAsia" w:cstheme="minorEastAsia"/>
          <w:b/>
          <w:sz w:val="21"/>
          <w:szCs w:val="21"/>
        </w:rPr>
      </w:pPr>
    </w:p>
    <w:p w14:paraId="5E0EEF81">
      <w:pPr>
        <w:widowControl/>
        <w:ind w:firstLine="1676" w:firstLineChars="795"/>
        <w:rPr>
          <w:rFonts w:hint="eastAsia" w:asciiTheme="minorEastAsia" w:hAnsiTheme="minorEastAsia" w:eastAsiaTheme="minorEastAsia" w:cstheme="minorEastAsia"/>
          <w:b/>
          <w:sz w:val="21"/>
          <w:szCs w:val="21"/>
        </w:rPr>
      </w:pPr>
    </w:p>
    <w:p w14:paraId="6008AFDE">
      <w:pPr>
        <w:widowControl/>
        <w:ind w:firstLine="1676" w:firstLineChars="795"/>
        <w:rPr>
          <w:rFonts w:hint="eastAsia" w:asciiTheme="minorEastAsia" w:hAnsiTheme="minorEastAsia" w:eastAsiaTheme="minorEastAsia" w:cstheme="minorEastAsia"/>
          <w:b/>
          <w:sz w:val="21"/>
          <w:szCs w:val="21"/>
        </w:rPr>
      </w:pPr>
    </w:p>
    <w:p w14:paraId="31B385F1">
      <w:pPr>
        <w:widowControl/>
        <w:jc w:val="center"/>
        <w:rPr>
          <w:rFonts w:hint="eastAsia" w:cs="宋体" w:asciiTheme="majorEastAsia" w:hAnsiTheme="majorEastAsia" w:eastAsiaTheme="majorEastAsia"/>
          <w:b/>
          <w:kern w:val="0"/>
          <w:sz w:val="32"/>
          <w:szCs w:val="32"/>
        </w:rPr>
      </w:pPr>
    </w:p>
    <w:p w14:paraId="3036176B">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14:paraId="0BEB131B">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4C22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1902F884">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4A1F2F7C">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311F1261">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6EFC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2E8324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1CBE4F58">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6EF1A71D">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 xml:space="preserve"> 禹州市规划展览馆物业管理服务费项目 (不见面开标)</w:t>
            </w:r>
          </w:p>
          <w:p w14:paraId="77AAB058">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采购编号：YZCG-G202</w:t>
            </w:r>
            <w:r>
              <w:rPr>
                <w:rFonts w:hint="eastAsia" w:cs="仿宋_GB2312" w:asciiTheme="minorEastAsia" w:hAnsiTheme="minorEastAsia"/>
                <w:szCs w:val="21"/>
                <w:lang w:val="en-US" w:eastAsia="zh-CN"/>
              </w:rPr>
              <w:t>5012</w:t>
            </w:r>
          </w:p>
          <w:p w14:paraId="3ADD7C31">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交付（服务、完工）时间：</w:t>
            </w:r>
            <w:r>
              <w:rPr>
                <w:rFonts w:hint="eastAsia" w:cs="仿宋_GB2312" w:asciiTheme="minorEastAsia" w:hAnsiTheme="minorEastAsia"/>
                <w:szCs w:val="21"/>
                <w:lang w:val="en-US" w:eastAsia="zh-CN"/>
              </w:rPr>
              <w:t>合同</w:t>
            </w:r>
            <w:r>
              <w:rPr>
                <w:rFonts w:hint="eastAsia" w:cs="仿宋_GB2312" w:asciiTheme="minorEastAsia" w:hAnsiTheme="minorEastAsia"/>
                <w:szCs w:val="21"/>
              </w:rPr>
              <w:t>签订后</w:t>
            </w:r>
            <w:r>
              <w:rPr>
                <w:rFonts w:hint="eastAsia" w:cs="仿宋_GB2312" w:asciiTheme="minorEastAsia" w:hAnsiTheme="minorEastAsia"/>
                <w:szCs w:val="21"/>
                <w:lang w:val="en-US" w:eastAsia="zh-CN"/>
              </w:rPr>
              <w:t>三</w:t>
            </w:r>
            <w:r>
              <w:rPr>
                <w:rFonts w:hint="eastAsia" w:cs="仿宋_GB2312" w:asciiTheme="minorEastAsia" w:hAnsiTheme="minorEastAsia"/>
                <w:szCs w:val="21"/>
              </w:rPr>
              <w:t>年</w:t>
            </w:r>
            <w:r>
              <w:rPr>
                <w:rFonts w:hint="eastAsia" w:cs="仿宋_GB2312" w:asciiTheme="minorEastAsia" w:hAnsiTheme="minorEastAsia"/>
                <w:szCs w:val="21"/>
                <w:lang w:val="en-US" w:eastAsia="zh-CN"/>
              </w:rPr>
              <w:t>内完成</w:t>
            </w:r>
          </w:p>
          <w:p w14:paraId="0AD91C71">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履约地点：</w:t>
            </w:r>
            <w:r>
              <w:rPr>
                <w:rFonts w:hint="eastAsia" w:asciiTheme="minorEastAsia" w:hAnsiTheme="minorEastAsia" w:eastAsiaTheme="minorEastAsia" w:cstheme="minorEastAsia"/>
                <w:kern w:val="2"/>
                <w:sz w:val="21"/>
                <w:szCs w:val="21"/>
                <w:lang w:val="en-US" w:eastAsia="zh-CN" w:bidi="ar-SA"/>
              </w:rPr>
              <w:t>禹州市</w:t>
            </w:r>
            <w:r>
              <w:rPr>
                <w:rFonts w:hint="eastAsia" w:asciiTheme="minorEastAsia" w:hAnsiTheme="minorEastAsia" w:cstheme="minorEastAsia"/>
                <w:kern w:val="2"/>
                <w:sz w:val="21"/>
                <w:szCs w:val="21"/>
                <w:lang w:val="en-US" w:eastAsia="zh-CN" w:bidi="ar-SA"/>
              </w:rPr>
              <w:t>规划展览馆</w:t>
            </w:r>
          </w:p>
        </w:tc>
      </w:tr>
      <w:tr w14:paraId="6BF8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C2AB9C3">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1134B1C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309132A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w:t>
            </w:r>
            <w:r>
              <w:rPr>
                <w:rFonts w:hint="eastAsia" w:asciiTheme="minorEastAsia" w:hAnsiTheme="minorEastAsia" w:cstheme="minorEastAsia"/>
                <w:kern w:val="2"/>
                <w:sz w:val="21"/>
                <w:szCs w:val="21"/>
                <w:lang w:val="en-US" w:eastAsia="zh-CN" w:bidi="ar-SA"/>
              </w:rPr>
              <w:t>规划展览馆</w:t>
            </w:r>
          </w:p>
          <w:p w14:paraId="3203982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地址：禹州市阳翟大道156号</w:t>
            </w:r>
          </w:p>
          <w:p w14:paraId="4D5AEA5C">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default" w:cs="仿宋_GB2312" w:asciiTheme="minorEastAsia" w:hAnsiTheme="minorEastAsia" w:eastAsiaTheme="minorEastAsia"/>
                <w:szCs w:val="21"/>
                <w:lang w:val="en-US" w:eastAsia="zh-CN"/>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 xml:space="preserve">徐先生  </w:t>
            </w:r>
            <w:r>
              <w:rPr>
                <w:rFonts w:hint="eastAsia" w:asciiTheme="minorEastAsia" w:hAnsiTheme="minorEastAsia" w:eastAsiaTheme="minorEastAsia" w:cstheme="minorEastAsia"/>
                <w:color w:val="000000"/>
                <w:szCs w:val="21"/>
                <w:shd w:val="clear" w:color="auto" w:fill="FFFFFF"/>
              </w:rPr>
              <w:t xml:space="preserve"> 联系电话：</w:t>
            </w:r>
            <w:r>
              <w:rPr>
                <w:rFonts w:hint="eastAsia" w:asciiTheme="minorEastAsia" w:hAnsiTheme="minorEastAsia" w:cstheme="minorEastAsia"/>
                <w:color w:val="000000"/>
                <w:szCs w:val="21"/>
                <w:shd w:val="clear" w:color="auto" w:fill="FFFFFF"/>
                <w:lang w:val="en-US" w:eastAsia="zh-CN"/>
              </w:rPr>
              <w:t>0374-2078079</w:t>
            </w:r>
          </w:p>
        </w:tc>
      </w:tr>
      <w:tr w14:paraId="09C6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3F3B089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1D8A8BF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14:paraId="08CCB98B">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2E4111F4">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14:paraId="4CAFE85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w:t>
            </w:r>
            <w:r>
              <w:rPr>
                <w:rFonts w:hint="eastAsia" w:cs="仿宋_GB2312" w:asciiTheme="minorEastAsia" w:hAnsiTheme="minorEastAsia"/>
                <w:szCs w:val="21"/>
              </w:rPr>
              <w:t>女士               电话：0374-2077111</w:t>
            </w:r>
          </w:p>
        </w:tc>
      </w:tr>
      <w:tr w14:paraId="528B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14:paraId="042236D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14:paraId="4BCB4B8E">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投标人资格</w:t>
            </w:r>
          </w:p>
        </w:tc>
        <w:tc>
          <w:tcPr>
            <w:tcW w:w="6813" w:type="dxa"/>
            <w:vAlign w:val="center"/>
          </w:tcPr>
          <w:p w14:paraId="11E218CB">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一、中小企业或者残疾人福利性单位声明函</w:t>
            </w:r>
          </w:p>
          <w:p w14:paraId="6C50F22F">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1、中小企业出具《中小企业声明函》</w:t>
            </w:r>
          </w:p>
          <w:p w14:paraId="46C1EDFB">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2、残疾人福利性单位出具《残疾人福利企业声明函》</w:t>
            </w:r>
          </w:p>
        </w:tc>
      </w:tr>
      <w:tr w14:paraId="40FC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14:paraId="16187CCB">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5A761691">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14:paraId="0464607D">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14:paraId="72F4DA5F">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14:paraId="184B2C6D">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14:paraId="0396AE27">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14:paraId="5D2E9DC9">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14:paraId="2A5473D2">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p w14:paraId="33DAF702">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14:paraId="5D455B79">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1、供应商在投标时，提供《禹州市政府采购供应商信用承诺函》（详见招标文件第八章3.5格式），无需再提交上述证明材料。</w:t>
            </w:r>
          </w:p>
          <w:p w14:paraId="17E261EE">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2、采购人有权在签订合同前要求中标供应商提供相关证明材料以核实中标供应商承诺事项的真实性。</w:t>
            </w:r>
          </w:p>
          <w:p w14:paraId="277174BE">
            <w:pPr>
              <w:adjustRightInd w:val="0"/>
              <w:spacing w:line="360" w:lineRule="auto"/>
              <w:jc w:val="left"/>
              <w:rPr>
                <w:rFonts w:cs="仿宋_GB2312" w:asciiTheme="minorEastAsia" w:hAnsiTheme="minorEastAsia"/>
                <w:color w:val="FF0000"/>
                <w:szCs w:val="21"/>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14:paraId="7E8F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5FCBD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05B53A0A">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813" w:type="dxa"/>
            <w:vAlign w:val="center"/>
          </w:tcPr>
          <w:p w14:paraId="35A189B1">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14:paraId="7A4A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AD3495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05AFAA2D">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最高限价</w:t>
            </w:r>
          </w:p>
        </w:tc>
        <w:tc>
          <w:tcPr>
            <w:tcW w:w="6813" w:type="dxa"/>
            <w:vAlign w:val="center"/>
          </w:tcPr>
          <w:p w14:paraId="30503812">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1555200.00元</w:t>
            </w:r>
            <w:r>
              <w:rPr>
                <w:rFonts w:hint="eastAsia" w:cs="宋体" w:asciiTheme="minorEastAsia" w:hAnsiTheme="minorEastAsia"/>
                <w:bCs/>
                <w:szCs w:val="21"/>
                <w:lang w:val="zh-CN"/>
              </w:rPr>
              <w:t>，超出最高限价的投标无效。</w:t>
            </w:r>
          </w:p>
        </w:tc>
      </w:tr>
      <w:tr w14:paraId="7BAA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387B1BF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352166A1">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5DBE1D24">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1EA1BBB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612C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CC7FBC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6CACAB89">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14:paraId="45A70648">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198B5BA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083F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751F1B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142C332B">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0CD87F09">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4D28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76C50C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6C732B1A">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813" w:type="dxa"/>
            <w:vAlign w:val="center"/>
          </w:tcPr>
          <w:p w14:paraId="127ECC0B">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14:paraId="0F082180">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14:paraId="082F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B00E5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53E56494">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14:paraId="5C093D12">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7CAB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7FF848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127360F0">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14:paraId="3D12C76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202</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28</w:t>
            </w:r>
            <w:r>
              <w:rPr>
                <w:rFonts w:hint="eastAsia" w:cs="宋体" w:asciiTheme="minorEastAsia" w:hAnsiTheme="minorEastAsia"/>
                <w:bCs/>
                <w:szCs w:val="21"/>
                <w:lang w:val="zh-CN"/>
              </w:rPr>
              <w:t xml:space="preserve">日8：30（北京时间） </w:t>
            </w:r>
          </w:p>
        </w:tc>
      </w:tr>
      <w:tr w14:paraId="144C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472425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1F653E1A">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14:paraId="2F9100D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开标地点：禹州市公共资源交易中心开标二室（</w:t>
            </w:r>
            <w:r>
              <w:rPr>
                <w:rFonts w:hint="eastAsia" w:cs="Arial" w:asciiTheme="minorEastAsia" w:hAnsiTheme="minorEastAsia"/>
                <w:b/>
                <w:szCs w:val="21"/>
              </w:rPr>
              <w:t>本项目采用远程不见面开标，投标人无须到交易中心现场</w:t>
            </w:r>
            <w:r>
              <w:rPr>
                <w:rFonts w:hint="eastAsia" w:cs="Arial" w:asciiTheme="minorEastAsia" w:hAnsiTheme="minorEastAsia"/>
                <w:szCs w:val="21"/>
              </w:rPr>
              <w:t>）</w:t>
            </w:r>
            <w:r>
              <w:rPr>
                <w:rFonts w:hint="eastAsia" w:cs="仿宋_GB2312" w:asciiTheme="minorEastAsia" w:hAnsiTheme="minorEastAsia"/>
                <w:szCs w:val="21"/>
              </w:rPr>
              <w:t>。</w:t>
            </w:r>
          </w:p>
        </w:tc>
      </w:tr>
      <w:tr w14:paraId="1C87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95BDBB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6927DAE4">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14:paraId="794CB4AB">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41516204">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14:paraId="7390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428D403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0C381FAA">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4487B6F1">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14:paraId="75F0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D41868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67FCACDE">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50F13D4F">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14:paraId="439080D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14:paraId="31FE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0C0D0A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1D00FC7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14:paraId="3CDF201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32F3B55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14:paraId="631B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917792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2B46F1B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14:paraId="061769B4">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p w14:paraId="3E1D2864">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14:paraId="040C6B8D">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14:paraId="47E7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676C9D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70A8242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14:paraId="3794FF2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50BDECDA">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14:paraId="2C117AD5">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14:paraId="0C4C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D2D21BF">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5A1AA5A8">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14:paraId="7A705FF7">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14:paraId="625FA18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777D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C37483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14:paraId="343420ED">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14:paraId="030416AE">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14:paraId="46D8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2A30A6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02C2A1BA">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760E7425">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本项目属于专门面向</w:t>
            </w:r>
            <w:r>
              <w:rPr>
                <w:rFonts w:hint="eastAsia" w:cs="仿宋_GB2312" w:asciiTheme="minorEastAsia" w:hAnsiTheme="minorEastAsia"/>
                <w:szCs w:val="21"/>
                <w:lang w:val="en-US" w:eastAsia="zh-CN"/>
              </w:rPr>
              <w:t>中小</w:t>
            </w:r>
            <w:r>
              <w:rPr>
                <w:rFonts w:hint="eastAsia" w:cs="仿宋_GB2312" w:asciiTheme="minorEastAsia" w:hAnsiTheme="minorEastAsia"/>
                <w:szCs w:val="21"/>
                <w:lang w:val="zh-CN"/>
              </w:rPr>
              <w:t>企业采购的项目（不再执行价格评审优惠的扶持政策）。</w:t>
            </w:r>
          </w:p>
          <w:p w14:paraId="1C731788">
            <w:pPr>
              <w:autoSpaceDE w:val="0"/>
              <w:autoSpaceDN w:val="0"/>
              <w:adjustRightInd w:val="0"/>
              <w:spacing w:line="360" w:lineRule="auto"/>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2、</w:t>
            </w:r>
            <w:r>
              <w:rPr>
                <w:rFonts w:hint="eastAsia"/>
              </w:rPr>
              <w:t>本次</w:t>
            </w:r>
            <w:r>
              <w:t>采购标的对应的中小企业划分标准所属行业</w:t>
            </w:r>
            <w:r>
              <w:rPr>
                <w:rFonts w:hint="eastAsia"/>
              </w:rPr>
              <w:t>：</w:t>
            </w:r>
            <w:r>
              <w:rPr>
                <w:rFonts w:hint="eastAsia"/>
                <w:lang w:val="en-US" w:eastAsia="zh-CN"/>
              </w:rPr>
              <w:t>物业管理</w:t>
            </w:r>
          </w:p>
          <w:p w14:paraId="680ABCA9">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14:paraId="29A2E7DA">
            <w:pPr>
              <w:autoSpaceDE w:val="0"/>
              <w:autoSpaceDN w:val="0"/>
              <w:adjustRightInd w:val="0"/>
              <w:spacing w:line="360" w:lineRule="auto"/>
              <w:contextualSpacing/>
              <w:rPr>
                <w:rFonts w:ascii="ˎ̥" w:hAnsi="ˎ̥"/>
              </w:rPr>
            </w:pPr>
            <w:r>
              <w:rPr>
                <w:rFonts w:hint="eastAsia" w:ascii="ˎ̥" w:hAnsi="ˎ̥"/>
                <w:lang w:val="en-US" w:eastAsia="zh-CN"/>
              </w:rPr>
              <w:t>4</w:t>
            </w:r>
            <w:r>
              <w:rPr>
                <w:rFonts w:hint="eastAsia" w:ascii="ˎ̥" w:hAnsi="ˎ̥"/>
              </w:rPr>
              <w:t>、提供由省级以上监狱管理局、戒毒管理局（含新疆生产建设兵团）出具的属于监狱企业证明文件的，视同为小型和微型企业。</w:t>
            </w:r>
          </w:p>
          <w:p w14:paraId="7C17CD0E">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5</w:t>
            </w:r>
            <w:r>
              <w:rPr>
                <w:rFonts w:hint="eastAsia" w:ascii="ˎ̥" w:hAnsi="ˎ̥"/>
              </w:rPr>
              <w:t>、符合享受政府采购支持政策的残疾人福利性单位条件且提供《残疾人福利性单位声明函》的，视同为小型和微型企业。</w:t>
            </w:r>
          </w:p>
        </w:tc>
      </w:tr>
      <w:tr w14:paraId="3F4E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2DAF4F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14:paraId="206C598C">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shd w:val="clear" w:color="auto" w:fill="auto"/>
            <w:vAlign w:val="center"/>
          </w:tcPr>
          <w:p w14:paraId="321511C3">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无</w:t>
            </w:r>
          </w:p>
          <w:p w14:paraId="701DF452">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3AE8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615321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14:paraId="0A4AA19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shd w:val="clear" w:color="auto" w:fill="auto"/>
            <w:vAlign w:val="center"/>
          </w:tcPr>
          <w:p w14:paraId="30A0C32B">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无</w:t>
            </w:r>
          </w:p>
          <w:p w14:paraId="1A03CE64">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439FBDA0">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2B6F0338">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359E144C">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448CC62D">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7BD8F773">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6E29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DD1654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3E9CE9C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123B9B72">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14:paraId="6564B78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w:t>
            </w:r>
            <w:r>
              <w:rPr>
                <w:rFonts w:hint="eastAsia" w:ascii="ˎ̥" w:hAnsi="ˎ̥"/>
              </w:rPr>
              <w:t>履约保证金的数额为合同金额的%（不超过政府采购合同金额的10%）</w:t>
            </w:r>
            <w:r>
              <w:rPr>
                <w:rFonts w:hint="eastAsia" w:cs="宋体" w:asciiTheme="minorEastAsia" w:hAnsiTheme="minorEastAsia"/>
                <w:bCs/>
                <w:szCs w:val="21"/>
                <w:lang w:val="zh-CN"/>
              </w:rPr>
              <w:t>。</w:t>
            </w:r>
            <w:r>
              <w:rPr>
                <w:rFonts w:hint="eastAsia" w:cs="宋体" w:asciiTheme="minorEastAsia" w:hAnsiTheme="minorEastAsia"/>
                <w:szCs w:val="21"/>
              </w:rPr>
              <w:t>中标人以支票、汇票、本票或者金融机构、担保机构出具的保函等非现金形式向采购人提交。</w:t>
            </w:r>
          </w:p>
        </w:tc>
      </w:tr>
      <w:tr w14:paraId="67B0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14:paraId="58B3D87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14:paraId="5D20E9C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6AC3D994">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559A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7BCAAC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14:paraId="3654A18F">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21CB6F22">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14:paraId="68B9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095FBD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14:paraId="61D1B15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53E91C7D">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14:paraId="3A59C8E1">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14:paraId="7296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C46156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14:paraId="636D939C">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477055BB">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30FBF47B">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052ADB53">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14:paraId="08D5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4E45AE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color w:val="FF0000"/>
                <w:szCs w:val="21"/>
              </w:rPr>
              <w:t>30</w:t>
            </w:r>
          </w:p>
        </w:tc>
        <w:tc>
          <w:tcPr>
            <w:tcW w:w="2268" w:type="dxa"/>
            <w:vAlign w:val="center"/>
          </w:tcPr>
          <w:p w14:paraId="16579E17">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color w:val="FF0000"/>
                <w:szCs w:val="21"/>
              </w:rPr>
              <w:t>投标人资格核验</w:t>
            </w:r>
          </w:p>
        </w:tc>
        <w:tc>
          <w:tcPr>
            <w:tcW w:w="6813" w:type="dxa"/>
            <w:vAlign w:val="center"/>
          </w:tcPr>
          <w:p w14:paraId="04668EC4">
            <w:pPr>
              <w:autoSpaceDE w:val="0"/>
              <w:autoSpaceDN w:val="0"/>
              <w:adjustRightInd w:val="0"/>
              <w:spacing w:line="360" w:lineRule="auto"/>
              <w:ind w:right="-11"/>
              <w:rPr>
                <w:rFonts w:ascii="ˎ̥" w:hAnsi="ˎ̥"/>
                <w:color w:val="FF0000"/>
              </w:rPr>
            </w:pPr>
            <w:r>
              <w:rPr>
                <w:rFonts w:hint="eastAsia" w:ascii="ˎ̥" w:hAnsi="ˎ̥"/>
                <w:color w:val="FF0000"/>
              </w:rPr>
              <w:t>供应商在中标后，应将由《禹州市政府采购供应商信用承诺函》替代的证明材料提交采购人核验，经核验无误后，禹州市政府采购中心发出中标通知书。</w:t>
            </w:r>
          </w:p>
          <w:p w14:paraId="63C08D1D">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019F3AFB">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14:paraId="31A524CC">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14:paraId="68509F4D">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14:paraId="0957214D">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14:paraId="6AE8437F">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14:paraId="48B8D276">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14:paraId="23D37278">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3E1BAB79">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14:paraId="341DEA9E">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w:t>
            </w:r>
            <w:r>
              <w:rPr>
                <w:rFonts w:hint="eastAsia" w:asciiTheme="minorEastAsia" w:hAnsiTheme="minorEastAsia"/>
                <w:b/>
                <w:bCs/>
                <w:szCs w:val="21"/>
                <w:lang w:val="en-US" w:eastAsia="zh-CN"/>
              </w:rPr>
              <w:t>3</w:t>
            </w:r>
            <w:r>
              <w:rPr>
                <w:rFonts w:hint="eastAsia" w:asciiTheme="minorEastAsia" w:hAnsiTheme="minorEastAsia"/>
                <w:b/>
                <w:bCs/>
                <w:szCs w:val="21"/>
              </w:rPr>
              <w:t>年度经审计的财务报告</w:t>
            </w:r>
            <w:r>
              <w:rPr>
                <w:rFonts w:hint="eastAsia" w:asciiTheme="minorEastAsia" w:hAnsiTheme="minorEastAsia"/>
                <w:bCs/>
                <w:szCs w:val="21"/>
              </w:rPr>
              <w:t>，包括资产负债表、利润表、现金流量表、所有者权益变动表及其附注；</w:t>
            </w:r>
          </w:p>
          <w:p w14:paraId="59AD04D4">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505CE1BE">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31AFB183">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1B3EB113">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14:paraId="0158700A">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w:t>
            </w:r>
            <w:r>
              <w:rPr>
                <w:rFonts w:hint="eastAsia" w:asciiTheme="minorEastAsia" w:hAnsiTheme="minorEastAsia"/>
                <w:b/>
                <w:bCs/>
                <w:szCs w:val="21"/>
                <w:lang w:val="en-US" w:eastAsia="zh-CN"/>
              </w:rPr>
              <w:t>3</w:t>
            </w:r>
            <w:r>
              <w:rPr>
                <w:rFonts w:hint="eastAsia" w:asciiTheme="minorEastAsia" w:hAnsiTheme="minorEastAsia"/>
                <w:b/>
                <w:bCs/>
                <w:szCs w:val="21"/>
              </w:rPr>
              <w:t>年度经审计的财务报告</w:t>
            </w:r>
            <w:r>
              <w:rPr>
                <w:rFonts w:hint="eastAsia" w:asciiTheme="minorEastAsia" w:hAnsiTheme="minorEastAsia"/>
                <w:bCs/>
                <w:szCs w:val="21"/>
              </w:rPr>
              <w:t>，包括资产负债表、利润表、现金流量表、所有者权益变动表及其附注；</w:t>
            </w:r>
          </w:p>
          <w:p w14:paraId="27F4A824">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4699BD8B">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45A0BD39">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43573B2B">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02D3E237">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参加本次政府采购项目投标截止时间前一年内任意一个月缴纳税收凭据。（依法免税的投标人，应提供相应文件证明依法免税）</w:t>
            </w:r>
          </w:p>
          <w:p w14:paraId="6DF3CC36">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77BD327C">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参加本次政府采购项目投标截止时间前一年内任意一个月缴纳社会保险凭据。（依法不需要缴纳社会保障资金的投标人，应提供相应文件证明依法不需要缴纳社会保障资金）</w:t>
            </w:r>
          </w:p>
          <w:p w14:paraId="15060FB8">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14:paraId="768D4841">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14:paraId="44D06AEA">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14:paraId="45C24344">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1～2其中之一即可。</w:t>
            </w:r>
          </w:p>
          <w:p w14:paraId="09F5F725">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10D0C9CC">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14:paraId="62CD5F9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w:t>
            </w:r>
            <w:r>
              <w:rPr>
                <w:rFonts w:hint="eastAsia" w:cs="仿宋_GB2312" w:asciiTheme="minorEastAsia" w:hAnsiTheme="minorEastAsia"/>
                <w:b/>
                <w:szCs w:val="21"/>
                <w:shd w:val="clear" w:color="auto" w:fill="FFFFFF"/>
              </w:rPr>
              <w:t>税收</w:t>
            </w:r>
            <w:r>
              <w:rPr>
                <w:rFonts w:cs="仿宋_GB2312" w:asciiTheme="minorEastAsia" w:hAnsiTheme="minorEastAsia"/>
                <w:b/>
                <w:szCs w:val="21"/>
                <w:shd w:val="clear" w:color="auto" w:fill="FFFFFF"/>
              </w:rPr>
              <w:t>违法黑名单的投标人；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14:paraId="56AFA1C6">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77DC1B94">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51014550">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7FBA2844">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1E218B0C">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2、截止时间：同投标截止时间；</w:t>
            </w:r>
          </w:p>
          <w:p w14:paraId="462D7BA6">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14:paraId="48D95D9E">
      <w:pPr>
        <w:tabs>
          <w:tab w:val="left" w:pos="1260"/>
        </w:tabs>
        <w:autoSpaceDE w:val="0"/>
        <w:autoSpaceDN w:val="0"/>
        <w:adjustRightInd w:val="0"/>
        <w:spacing w:line="360" w:lineRule="auto"/>
        <w:ind w:firstLine="2570" w:firstLineChars="8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14:paraId="30658781">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14:paraId="20F87AE9">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14:paraId="333AC858">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14:paraId="178C0161">
      <w:pPr>
        <w:pStyle w:val="42"/>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14:paraId="1B54D8DF">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14:paraId="3001DC58">
      <w:pPr>
        <w:pStyle w:val="42"/>
        <w:autoSpaceDE w:val="0"/>
        <w:autoSpaceDN w:val="0"/>
        <w:spacing w:line="360" w:lineRule="auto"/>
        <w:ind w:left="780" w:firstLine="0" w:firstLineChars="0"/>
        <w:contextualSpacing/>
        <w:rPr>
          <w:rFonts w:cs="宋体" w:asciiTheme="minorEastAsia" w:hAnsiTheme="minorEastAsia"/>
          <w:kern w:val="0"/>
          <w:szCs w:val="21"/>
        </w:rPr>
      </w:pPr>
    </w:p>
    <w:p w14:paraId="21ECE8B3">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14:paraId="551E334A">
      <w:pPr>
        <w:pStyle w:val="42"/>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14:paraId="3D0B8C37">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14:paraId="3F2E3EFE">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14:paraId="30A07A95">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14:paraId="62E770BE">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14:paraId="315D36BA">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14:paraId="52ADACC7">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5A0358D8">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72504C52">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14:paraId="2FCE0A6B">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14:paraId="34C632FA">
      <w:pPr>
        <w:pStyle w:val="42"/>
        <w:numPr>
          <w:ilvl w:val="1"/>
          <w:numId w:val="8"/>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14:paraId="0F0D4518">
      <w:pPr>
        <w:pStyle w:val="42"/>
        <w:autoSpaceDE w:val="0"/>
        <w:autoSpaceDN w:val="0"/>
        <w:spacing w:line="360" w:lineRule="auto"/>
        <w:ind w:left="964" w:firstLine="0" w:firstLineChars="0"/>
        <w:contextualSpacing/>
        <w:rPr>
          <w:rFonts w:cs="宋体" w:asciiTheme="minorEastAsia" w:hAnsiTheme="minorEastAsia"/>
          <w:kern w:val="0"/>
          <w:szCs w:val="21"/>
        </w:rPr>
      </w:pPr>
    </w:p>
    <w:p w14:paraId="6F16A3DA">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14:paraId="1E08FA9A">
      <w:pPr>
        <w:pStyle w:val="42"/>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14:paraId="740BD663">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14:paraId="03E37D46">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78EEE819">
      <w:pPr>
        <w:pStyle w:val="42"/>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0"/>
          <w:rFonts w:cs="宋体" w:asciiTheme="minorEastAsia" w:hAnsiTheme="minorEastAsia"/>
          <w:color w:val="auto"/>
          <w:kern w:val="0"/>
          <w:szCs w:val="21"/>
        </w:rPr>
        <w:t>https://chinanpo.mca.gov.cn</w:t>
      </w:r>
      <w:r>
        <w:rPr>
          <w:rStyle w:val="30"/>
          <w:rFonts w:cs="宋体" w:asciiTheme="minorEastAsia" w:hAnsiTheme="minorEastAsia"/>
          <w:color w:val="auto"/>
          <w:kern w:val="0"/>
          <w:szCs w:val="21"/>
        </w:rPr>
        <w:fldChar w:fldCharType="end"/>
      </w:r>
      <w:r>
        <w:rPr>
          <w:rFonts w:hint="eastAsia" w:cs="宋体" w:asciiTheme="minorEastAsia" w:hAnsiTheme="minorEastAsia"/>
          <w:kern w:val="0"/>
          <w:szCs w:val="21"/>
        </w:rPr>
        <w:t>）；</w:t>
      </w:r>
    </w:p>
    <w:p w14:paraId="75655366">
      <w:pPr>
        <w:pStyle w:val="42"/>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14:paraId="781866EA">
      <w:pPr>
        <w:pStyle w:val="42"/>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14:paraId="4D94B6D5">
      <w:pPr>
        <w:pStyle w:val="42"/>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14:paraId="2F1612A0">
      <w:pPr>
        <w:pStyle w:val="42"/>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14:paraId="388E2886">
      <w:pPr>
        <w:pStyle w:val="42"/>
        <w:numPr>
          <w:ilvl w:val="1"/>
          <w:numId w:val="8"/>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14:paraId="04C4B3BA">
      <w:pPr>
        <w:pStyle w:val="42"/>
        <w:numPr>
          <w:ilvl w:val="1"/>
          <w:numId w:val="8"/>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2F5FE957">
      <w:pPr>
        <w:pStyle w:val="42"/>
        <w:numPr>
          <w:ilvl w:val="1"/>
          <w:numId w:val="8"/>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18DD4731">
      <w:pPr>
        <w:pStyle w:val="42"/>
        <w:numPr>
          <w:ilvl w:val="0"/>
          <w:numId w:val="1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14:paraId="38B21F29">
      <w:pPr>
        <w:pStyle w:val="42"/>
        <w:numPr>
          <w:ilvl w:val="0"/>
          <w:numId w:val="1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46C1D59A">
      <w:pPr>
        <w:pStyle w:val="42"/>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14:paraId="3E4E1F9E">
      <w:pPr>
        <w:pStyle w:val="42"/>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0B2803E0">
      <w:pPr>
        <w:pStyle w:val="42"/>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14:paraId="4AF8C13C">
      <w:pPr>
        <w:pStyle w:val="42"/>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6B7D564D">
      <w:pPr>
        <w:pStyle w:val="42"/>
        <w:autoSpaceDE w:val="0"/>
        <w:autoSpaceDN w:val="0"/>
        <w:spacing w:line="360" w:lineRule="auto"/>
        <w:ind w:left="964" w:firstLine="0" w:firstLineChars="0"/>
        <w:contextualSpacing/>
        <w:rPr>
          <w:rFonts w:cs="宋体" w:asciiTheme="minorEastAsia" w:hAnsiTheme="minorEastAsia"/>
          <w:kern w:val="0"/>
          <w:szCs w:val="21"/>
        </w:rPr>
      </w:pPr>
    </w:p>
    <w:p w14:paraId="5FCDBADB">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7B7D4CF1">
      <w:pPr>
        <w:pStyle w:val="42"/>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40792AFD">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14:paraId="2496C204">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14:paraId="1ADF2115">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14:paraId="3BF8E2FF">
      <w:pPr>
        <w:pStyle w:val="42"/>
        <w:autoSpaceDE w:val="0"/>
        <w:autoSpaceDN w:val="0"/>
        <w:spacing w:line="360" w:lineRule="auto"/>
        <w:ind w:left="964" w:firstLine="0" w:firstLineChars="0"/>
        <w:contextualSpacing/>
        <w:rPr>
          <w:rFonts w:cs="宋体" w:asciiTheme="minorEastAsia" w:hAnsiTheme="minorEastAsia"/>
          <w:kern w:val="0"/>
          <w:szCs w:val="21"/>
        </w:rPr>
      </w:pPr>
    </w:p>
    <w:p w14:paraId="69A57640">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14:paraId="6B24086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14:paraId="6FF4D369">
      <w:pPr>
        <w:autoSpaceDE w:val="0"/>
        <w:autoSpaceDN w:val="0"/>
        <w:spacing w:line="360" w:lineRule="auto"/>
        <w:ind w:left="964"/>
        <w:contextualSpacing/>
        <w:rPr>
          <w:rFonts w:cs="宋体" w:asciiTheme="minorEastAsia" w:hAnsiTheme="minorEastAsia"/>
          <w:kern w:val="0"/>
          <w:szCs w:val="21"/>
        </w:rPr>
      </w:pPr>
    </w:p>
    <w:p w14:paraId="0CCB1905">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14:paraId="49778EE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3582FAA">
      <w:pPr>
        <w:autoSpaceDE w:val="0"/>
        <w:autoSpaceDN w:val="0"/>
        <w:spacing w:line="360" w:lineRule="auto"/>
        <w:ind w:left="964"/>
        <w:contextualSpacing/>
        <w:rPr>
          <w:rFonts w:cs="宋体" w:asciiTheme="minorEastAsia" w:hAnsiTheme="minorEastAsia"/>
          <w:kern w:val="0"/>
          <w:szCs w:val="21"/>
        </w:rPr>
      </w:pPr>
    </w:p>
    <w:p w14:paraId="275D88F2">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14:paraId="189DC60B">
      <w:pPr>
        <w:pStyle w:val="42"/>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14:paraId="4D0CEECE">
      <w:pPr>
        <w:pStyle w:val="42"/>
        <w:autoSpaceDE w:val="0"/>
        <w:autoSpaceDN w:val="0"/>
        <w:spacing w:line="360" w:lineRule="auto"/>
        <w:ind w:left="964" w:firstLine="0" w:firstLineChars="0"/>
        <w:contextualSpacing/>
        <w:rPr>
          <w:rFonts w:cs="宋体" w:asciiTheme="minorEastAsia" w:hAnsiTheme="minorEastAsia"/>
          <w:kern w:val="0"/>
          <w:szCs w:val="21"/>
        </w:rPr>
      </w:pPr>
    </w:p>
    <w:p w14:paraId="639DBB16">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14:paraId="0949972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14:paraId="062794C8">
      <w:pPr>
        <w:autoSpaceDE w:val="0"/>
        <w:autoSpaceDN w:val="0"/>
        <w:spacing w:line="360" w:lineRule="auto"/>
        <w:contextualSpacing/>
        <w:rPr>
          <w:rFonts w:cs="宋体" w:asciiTheme="minorEastAsia" w:hAnsiTheme="minorEastAsia"/>
          <w:kern w:val="0"/>
          <w:szCs w:val="21"/>
        </w:rPr>
      </w:pPr>
    </w:p>
    <w:p w14:paraId="35E3BBFB">
      <w:pPr>
        <w:autoSpaceDE w:val="0"/>
        <w:autoSpaceDN w:val="0"/>
        <w:spacing w:line="360" w:lineRule="auto"/>
        <w:contextualSpacing/>
        <w:rPr>
          <w:rFonts w:cs="宋体" w:asciiTheme="minorEastAsia" w:hAnsiTheme="minorEastAsia"/>
          <w:kern w:val="0"/>
          <w:szCs w:val="21"/>
        </w:rPr>
      </w:pPr>
    </w:p>
    <w:p w14:paraId="7EB8468E">
      <w:pPr>
        <w:tabs>
          <w:tab w:val="left" w:pos="1260"/>
        </w:tabs>
        <w:autoSpaceDE w:val="0"/>
        <w:autoSpaceDN w:val="0"/>
        <w:spacing w:line="360" w:lineRule="auto"/>
        <w:contextualSpacing/>
        <w:jc w:val="center"/>
        <w:rPr>
          <w:rFonts w:hint="eastAsia" w:cs="宋体" w:asciiTheme="minorEastAsia" w:hAnsiTheme="minorEastAsia"/>
          <w:b/>
          <w:kern w:val="0"/>
          <w:szCs w:val="21"/>
        </w:rPr>
      </w:pPr>
    </w:p>
    <w:p w14:paraId="638FBF25">
      <w:pPr>
        <w:tabs>
          <w:tab w:val="left" w:pos="1260"/>
        </w:tabs>
        <w:autoSpaceDE w:val="0"/>
        <w:autoSpaceDN w:val="0"/>
        <w:spacing w:line="360" w:lineRule="auto"/>
        <w:contextualSpacing/>
        <w:jc w:val="center"/>
        <w:rPr>
          <w:rFonts w:hint="eastAsia" w:cs="宋体" w:asciiTheme="minorEastAsia" w:hAnsiTheme="minorEastAsia"/>
          <w:b/>
          <w:kern w:val="0"/>
          <w:szCs w:val="21"/>
        </w:rPr>
      </w:pPr>
    </w:p>
    <w:p w14:paraId="657C2927">
      <w:pPr>
        <w:tabs>
          <w:tab w:val="left" w:pos="1260"/>
        </w:tabs>
        <w:autoSpaceDE w:val="0"/>
        <w:autoSpaceDN w:val="0"/>
        <w:spacing w:line="360" w:lineRule="auto"/>
        <w:contextualSpacing/>
        <w:jc w:val="center"/>
        <w:rPr>
          <w:rFonts w:hint="eastAsia" w:cs="宋体" w:asciiTheme="minorEastAsia" w:hAnsiTheme="minorEastAsia"/>
          <w:b/>
          <w:kern w:val="0"/>
          <w:szCs w:val="21"/>
        </w:rPr>
      </w:pPr>
    </w:p>
    <w:p w14:paraId="5B19BB3C">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14:paraId="152D1857">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14:paraId="1676EAD5">
      <w:pPr>
        <w:pStyle w:val="42"/>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14:paraId="7E15277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14:paraId="26B04D8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14:paraId="3E4C53D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14:paraId="0C56A71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14:paraId="5BDBFD2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0261544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14:paraId="1FDE073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0ED9A0C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14:paraId="0D01F42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14:paraId="1B053682">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470CEF0B">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3C50B795">
      <w:pPr>
        <w:pStyle w:val="42"/>
        <w:autoSpaceDE w:val="0"/>
        <w:autoSpaceDN w:val="0"/>
        <w:spacing w:line="360" w:lineRule="auto"/>
        <w:ind w:left="964" w:firstLine="0" w:firstLineChars="0"/>
        <w:contextualSpacing/>
        <w:rPr>
          <w:rFonts w:cs="宋体" w:asciiTheme="minorEastAsia" w:hAnsiTheme="minorEastAsia"/>
          <w:kern w:val="0"/>
          <w:szCs w:val="21"/>
        </w:rPr>
      </w:pPr>
    </w:p>
    <w:p w14:paraId="07346093">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14:paraId="4B1AE322">
      <w:pPr>
        <w:pStyle w:val="42"/>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14:paraId="129C9406">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14:paraId="4428D667">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14:paraId="31D1EA42">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34D0B1B0">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14:paraId="0BE62F5B">
      <w:pPr>
        <w:autoSpaceDE w:val="0"/>
        <w:autoSpaceDN w:val="0"/>
        <w:spacing w:line="360" w:lineRule="auto"/>
        <w:ind w:left="420"/>
        <w:contextualSpacing/>
        <w:rPr>
          <w:rFonts w:cs="宋体" w:asciiTheme="minorEastAsia" w:hAnsiTheme="minorEastAsia"/>
          <w:kern w:val="0"/>
          <w:szCs w:val="21"/>
        </w:rPr>
      </w:pPr>
    </w:p>
    <w:p w14:paraId="3E6327D1">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14:paraId="0F4352BF">
      <w:pPr>
        <w:pStyle w:val="42"/>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14:paraId="65DCFA25">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14:paraId="3490A00F">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14:paraId="31745E0E">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14:paraId="3C14C713">
      <w:pPr>
        <w:autoSpaceDE w:val="0"/>
        <w:autoSpaceDN w:val="0"/>
        <w:spacing w:line="360" w:lineRule="auto"/>
        <w:contextualSpacing/>
        <w:rPr>
          <w:rFonts w:cs="宋体" w:asciiTheme="minorEastAsia" w:hAnsiTheme="minorEastAsia"/>
          <w:kern w:val="0"/>
          <w:szCs w:val="21"/>
        </w:rPr>
      </w:pPr>
    </w:p>
    <w:p w14:paraId="14A7B34F">
      <w:pPr>
        <w:autoSpaceDE w:val="0"/>
        <w:autoSpaceDN w:val="0"/>
        <w:spacing w:line="360" w:lineRule="auto"/>
        <w:contextualSpacing/>
        <w:rPr>
          <w:rFonts w:cs="宋体" w:asciiTheme="minorEastAsia" w:hAnsiTheme="minorEastAsia"/>
          <w:kern w:val="0"/>
          <w:szCs w:val="21"/>
        </w:rPr>
      </w:pPr>
    </w:p>
    <w:p w14:paraId="1F457160">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14:paraId="2D1D0A47">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14:paraId="54796A6A">
      <w:pPr>
        <w:pStyle w:val="42"/>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14:paraId="5C215A24">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14:paraId="6F63361B">
      <w:pPr>
        <w:pStyle w:val="42"/>
        <w:autoSpaceDE w:val="0"/>
        <w:autoSpaceDN w:val="0"/>
        <w:spacing w:line="360" w:lineRule="auto"/>
        <w:ind w:left="964" w:firstLine="0" w:firstLineChars="0"/>
        <w:contextualSpacing/>
        <w:rPr>
          <w:rFonts w:cs="宋体" w:asciiTheme="minorEastAsia" w:hAnsiTheme="minorEastAsia"/>
          <w:kern w:val="0"/>
          <w:szCs w:val="21"/>
        </w:rPr>
      </w:pPr>
    </w:p>
    <w:p w14:paraId="3F2FD9E6">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14:paraId="73507F90">
      <w:pPr>
        <w:pStyle w:val="42"/>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14:paraId="2FE1CBA5">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14:paraId="3FD498B2">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14:paraId="4EC8A76E">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14:paraId="35612CD9">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14:paraId="3C5B952E">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14:paraId="10FFBA45">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14:paraId="6A7935B9">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14:paraId="399D151A">
      <w:pPr>
        <w:autoSpaceDE w:val="0"/>
        <w:autoSpaceDN w:val="0"/>
        <w:spacing w:line="360" w:lineRule="auto"/>
        <w:ind w:left="420"/>
        <w:contextualSpacing/>
        <w:rPr>
          <w:rFonts w:cs="宋体" w:asciiTheme="minorEastAsia" w:hAnsiTheme="minorEastAsia"/>
          <w:kern w:val="0"/>
          <w:szCs w:val="21"/>
        </w:rPr>
      </w:pPr>
    </w:p>
    <w:p w14:paraId="62863C94">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14:paraId="768AFC75">
      <w:pPr>
        <w:pStyle w:val="42"/>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16B0577C">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14:paraId="1B83BBFF">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14:paraId="03A639D3">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14:paraId="59E228BE">
      <w:pPr>
        <w:pStyle w:val="42"/>
        <w:autoSpaceDE w:val="0"/>
        <w:autoSpaceDN w:val="0"/>
        <w:spacing w:line="360" w:lineRule="auto"/>
        <w:ind w:left="964" w:firstLine="0" w:firstLineChars="0"/>
        <w:contextualSpacing/>
        <w:rPr>
          <w:rFonts w:cs="宋体" w:asciiTheme="minorEastAsia" w:hAnsiTheme="minorEastAsia"/>
          <w:kern w:val="0"/>
          <w:szCs w:val="21"/>
        </w:rPr>
      </w:pPr>
    </w:p>
    <w:p w14:paraId="2C3DBA1F">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14:paraId="04121391">
      <w:pPr>
        <w:pStyle w:val="42"/>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14:paraId="479E9290">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14:paraId="1C738AEB">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14:paraId="44349BD3">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0B6EF80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840" w:leftChars="0" w:right="0" w:rightChars="0" w:hanging="840" w:hangingChars="400"/>
        <w:jc w:val="both"/>
        <w:textAlignment w:val="auto"/>
        <w:rPr>
          <w:rFonts w:hint="eastAsia" w:cs="宋体" w:asciiTheme="minorEastAsia" w:hAnsiTheme="minorEastAsia" w:eastAsiaTheme="minorEastAsia"/>
          <w:color w:val="FF0000"/>
          <w:kern w:val="0"/>
          <w:sz w:val="21"/>
          <w:szCs w:val="21"/>
          <w:lang w:val="en-US" w:eastAsia="zh-CN" w:bidi="ar-SA"/>
        </w:rPr>
      </w:pPr>
      <w:r>
        <w:rPr>
          <w:rFonts w:hint="eastAsia" w:cs="宋体" w:asciiTheme="minorEastAsia" w:hAnsiTheme="minorEastAsia" w:eastAsiaTheme="minorEastAsia"/>
          <w:color w:val="FF0000"/>
          <w:kern w:val="0"/>
          <w:sz w:val="21"/>
          <w:szCs w:val="21"/>
          <w:lang w:val="en-US" w:eastAsia="zh-CN" w:bidi="ar-SA"/>
        </w:rPr>
        <w:t>15.5    投标人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6442801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cs="宋体" w:asciiTheme="minorEastAsia" w:hAnsiTheme="minorEastAsia"/>
          <w:kern w:val="0"/>
          <w:szCs w:val="21"/>
        </w:rPr>
      </w:pPr>
      <w:r>
        <w:rPr>
          <w:rFonts w:hint="eastAsia" w:cs="宋体" w:asciiTheme="minorEastAsia" w:hAnsiTheme="minorEastAsia" w:eastAsiaTheme="minorEastAsia"/>
          <w:color w:val="FF0000"/>
          <w:kern w:val="0"/>
          <w:sz w:val="21"/>
          <w:szCs w:val="21"/>
          <w:lang w:val="en-US" w:eastAsia="zh-CN" w:bidi="ar-SA"/>
        </w:rPr>
        <w:t>15.6     电子响应文件制作技术咨询：0374-2961598。</w:t>
      </w:r>
    </w:p>
    <w:p w14:paraId="40F98800">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14:paraId="2CC009D0">
      <w:pPr>
        <w:pStyle w:val="42"/>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14:paraId="0CABACD8">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招标文件未提供标准格式的投标人可自行拟定。</w:t>
      </w:r>
    </w:p>
    <w:p w14:paraId="2E8AB338">
      <w:pPr>
        <w:autoSpaceDE w:val="0"/>
        <w:autoSpaceDN w:val="0"/>
        <w:spacing w:line="360" w:lineRule="auto"/>
        <w:ind w:left="420"/>
        <w:contextualSpacing/>
        <w:rPr>
          <w:rFonts w:cs="宋体" w:asciiTheme="minorEastAsia" w:hAnsiTheme="minorEastAsia"/>
          <w:kern w:val="0"/>
          <w:szCs w:val="21"/>
        </w:rPr>
      </w:pPr>
    </w:p>
    <w:p w14:paraId="3D8904AB">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14:paraId="0989D474">
      <w:pPr>
        <w:pStyle w:val="42"/>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14:paraId="11FF4220">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14:paraId="5705B75A">
      <w:pPr>
        <w:pStyle w:val="42"/>
        <w:autoSpaceDE w:val="0"/>
        <w:autoSpaceDN w:val="0"/>
        <w:spacing w:line="360" w:lineRule="auto"/>
        <w:ind w:left="964" w:firstLine="0" w:firstLineChars="0"/>
        <w:contextualSpacing/>
        <w:rPr>
          <w:rFonts w:cs="宋体" w:asciiTheme="minorEastAsia" w:hAnsiTheme="minorEastAsia"/>
          <w:kern w:val="0"/>
          <w:szCs w:val="21"/>
        </w:rPr>
      </w:pPr>
    </w:p>
    <w:p w14:paraId="6094E855">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14:paraId="4CFD46CE">
      <w:pPr>
        <w:pStyle w:val="42"/>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14:paraId="2E918311">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14:paraId="72379A9B">
      <w:pPr>
        <w:tabs>
          <w:tab w:val="left" w:pos="1260"/>
        </w:tabs>
        <w:autoSpaceDE w:val="0"/>
        <w:autoSpaceDN w:val="0"/>
        <w:spacing w:line="360" w:lineRule="auto"/>
        <w:contextualSpacing/>
        <w:rPr>
          <w:rFonts w:cs="仿宋_GB2312" w:asciiTheme="minorEastAsia" w:hAnsiTheme="minorEastAsia"/>
          <w:szCs w:val="21"/>
          <w:lang w:val="zh-CN"/>
        </w:rPr>
      </w:pPr>
    </w:p>
    <w:p w14:paraId="5E7B62AF">
      <w:pPr>
        <w:tabs>
          <w:tab w:val="left" w:pos="1260"/>
        </w:tabs>
        <w:autoSpaceDE w:val="0"/>
        <w:autoSpaceDN w:val="0"/>
        <w:spacing w:line="360" w:lineRule="auto"/>
        <w:contextualSpacing/>
        <w:rPr>
          <w:rFonts w:cs="仿宋_GB2312" w:asciiTheme="minorEastAsia" w:hAnsiTheme="minorEastAsia"/>
          <w:szCs w:val="21"/>
          <w:lang w:val="zh-CN"/>
        </w:rPr>
      </w:pPr>
    </w:p>
    <w:p w14:paraId="52266F2C">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14:paraId="19D0A2DA">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14:paraId="43E534AB">
      <w:pPr>
        <w:pStyle w:val="42"/>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hint="eastAsia" w:ascii="宋体" w:hAnsi="宋体" w:eastAsia="宋体" w:cs="宋体"/>
          <w:b w:val="0"/>
          <w:bCs w:val="0"/>
          <w:i w:val="0"/>
          <w:iCs w:val="0"/>
          <w:color w:val="FF0000"/>
          <w:spacing w:val="0"/>
          <w:w w:val="100"/>
          <w:sz w:val="21"/>
          <w:szCs w:val="21"/>
          <w:vertAlign w:val="baseline"/>
        </w:rPr>
        <w:t>后缀格式为.XCSTF</w:t>
      </w:r>
      <w:r>
        <w:rPr>
          <w:rFonts w:hint="eastAsia" w:cs="宋体" w:asciiTheme="minorEastAsia" w:hAnsiTheme="minorEastAsia"/>
          <w:szCs w:val="21"/>
        </w:rPr>
        <w:t>）</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14:paraId="132EB738">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7DF78F15">
      <w:pPr>
        <w:pStyle w:val="42"/>
        <w:autoSpaceDE w:val="0"/>
        <w:autoSpaceDN w:val="0"/>
        <w:spacing w:line="360" w:lineRule="auto"/>
        <w:ind w:left="964" w:firstLine="0" w:firstLineChars="0"/>
        <w:contextualSpacing/>
        <w:rPr>
          <w:rFonts w:cs="宋体" w:asciiTheme="minorEastAsia" w:hAnsiTheme="minorEastAsia"/>
          <w:kern w:val="0"/>
          <w:szCs w:val="21"/>
        </w:rPr>
      </w:pPr>
    </w:p>
    <w:p w14:paraId="5A25A5A0">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14:paraId="082EE25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投标截止时间之后上传的投标文件，招标人将拒绝接收。</w:t>
      </w:r>
    </w:p>
    <w:p w14:paraId="4CCA6446">
      <w:pPr>
        <w:autoSpaceDE w:val="0"/>
        <w:autoSpaceDN w:val="0"/>
        <w:spacing w:line="360" w:lineRule="auto"/>
        <w:ind w:left="964"/>
        <w:contextualSpacing/>
        <w:rPr>
          <w:rFonts w:cs="宋体" w:asciiTheme="minorEastAsia" w:hAnsiTheme="minorEastAsia"/>
          <w:kern w:val="0"/>
          <w:szCs w:val="21"/>
        </w:rPr>
      </w:pPr>
    </w:p>
    <w:p w14:paraId="37CAACE9">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14:paraId="542C3C8F">
      <w:pPr>
        <w:pStyle w:val="42"/>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投标人在投标截止时间前，对投标文件进行补充、修改或者撤回的，须书面通知招标人。</w:t>
      </w:r>
    </w:p>
    <w:p w14:paraId="1F09ED89">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14:paraId="3F04EDFC">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74C03089">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投标人在提交投标文件后，可以撤回其投标，但投标人必须在规定的投标截止时间前以书面形式告知招标人。</w:t>
      </w:r>
    </w:p>
    <w:p w14:paraId="15773A20">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14:paraId="77428CDA">
      <w:pPr>
        <w:autoSpaceDE w:val="0"/>
        <w:autoSpaceDN w:val="0"/>
        <w:spacing w:line="360" w:lineRule="auto"/>
        <w:ind w:left="420"/>
        <w:contextualSpacing/>
        <w:rPr>
          <w:rFonts w:cs="宋体" w:asciiTheme="minorEastAsia" w:hAnsiTheme="minorEastAsia"/>
          <w:kern w:val="0"/>
          <w:szCs w:val="21"/>
        </w:rPr>
      </w:pPr>
    </w:p>
    <w:p w14:paraId="2CF34F5F">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14:paraId="02F3E134">
      <w:pPr>
        <w:autoSpaceDE w:val="0"/>
        <w:autoSpaceDN w:val="0"/>
        <w:spacing w:line="360" w:lineRule="auto"/>
        <w:contextualSpacing/>
        <w:rPr>
          <w:rFonts w:cs="宋体" w:asciiTheme="minorEastAsia" w:hAnsiTheme="minorEastAsia"/>
          <w:kern w:val="0"/>
          <w:szCs w:val="21"/>
        </w:rPr>
      </w:pPr>
    </w:p>
    <w:p w14:paraId="01D39EEE">
      <w:pPr>
        <w:autoSpaceDE w:val="0"/>
        <w:autoSpaceDN w:val="0"/>
        <w:spacing w:line="360" w:lineRule="auto"/>
        <w:contextualSpacing/>
        <w:rPr>
          <w:rFonts w:cs="宋体" w:asciiTheme="minorEastAsia" w:hAnsiTheme="minorEastAsia"/>
          <w:kern w:val="0"/>
          <w:szCs w:val="21"/>
        </w:rPr>
      </w:pPr>
    </w:p>
    <w:p w14:paraId="49EB058A">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14:paraId="44A28D91">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14:paraId="34B4486C">
      <w:pPr>
        <w:pStyle w:val="42"/>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招标人将按招标文件规定的时间和地点组织远程不见面开标。开标由代理机构主持，投标人无须到现场。评标委员会成员不得参加开标活动。</w:t>
      </w:r>
    </w:p>
    <w:p w14:paraId="30C053BE">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14:paraId="0C799C35">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开标时，由代理机构开通远程不见面开标大厅及开启“文字互动”等功能；投标人、代理机构进行电子投标文件的解密。解密后</w:t>
      </w:r>
      <w:r>
        <w:rPr>
          <w:rFonts w:hint="eastAsia" w:asciiTheme="minorEastAsia" w:hAnsiTheme="minorEastAsia"/>
          <w:szCs w:val="21"/>
        </w:rPr>
        <w:t>投标人选择功能栏“开标记录”按钮可查看</w:t>
      </w:r>
      <w:r>
        <w:rPr>
          <w:rFonts w:hint="eastAsia" w:cs="宋体" w:asciiTheme="minorEastAsia" w:hAnsiTheme="minorEastAsia"/>
          <w:kern w:val="0"/>
          <w:szCs w:val="21"/>
        </w:rPr>
        <w:t>投标人名称、投标价格、修改和撤回投标的通知（如有的话）和招标文件规定的需要宣布的其他内容。</w:t>
      </w:r>
    </w:p>
    <w:p w14:paraId="3730BA47">
      <w:pPr>
        <w:pStyle w:val="42"/>
        <w:numPr>
          <w:ilvl w:val="1"/>
          <w:numId w:val="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14:paraId="244211F1">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14:paraId="19BD7A0E">
      <w:pPr>
        <w:pStyle w:val="42"/>
        <w:numPr>
          <w:ilvl w:val="1"/>
          <w:numId w:val="19"/>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投标人解密：投标人使用本单位CA数字证书远程进行解密。</w:t>
      </w:r>
    </w:p>
    <w:p w14:paraId="1F15E6A0">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3DC05907">
      <w:pPr>
        <w:pStyle w:val="42"/>
        <w:numPr>
          <w:ilvl w:val="1"/>
          <w:numId w:val="2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因投标人原因电子投标文件解密失败的，其投标将被拒绝。</w:t>
      </w:r>
    </w:p>
    <w:p w14:paraId="06E5449F">
      <w:pPr>
        <w:pStyle w:val="42"/>
        <w:numPr>
          <w:ilvl w:val="1"/>
          <w:numId w:val="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14:paraId="07D0F611">
      <w:pPr>
        <w:pStyle w:val="42"/>
        <w:numPr>
          <w:ilvl w:val="1"/>
          <w:numId w:val="2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《开标记录表》经投标人进行电子签章、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投标人未电子签章的，视同认可开标结果。</w:t>
      </w:r>
    </w:p>
    <w:p w14:paraId="553EE79A">
      <w:pPr>
        <w:pStyle w:val="42"/>
        <w:numPr>
          <w:ilvl w:val="1"/>
          <w:numId w:val="2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7401DD73">
      <w:pPr>
        <w:pStyle w:val="42"/>
        <w:numPr>
          <w:ilvl w:val="1"/>
          <w:numId w:val="2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项目远程不见面开标活动结束时，投标人应在《开标记录表》上进行电子签章。投标人未签章的，视同认可开标结果。</w:t>
      </w:r>
    </w:p>
    <w:p w14:paraId="2545E44D">
      <w:pPr>
        <w:pStyle w:val="42"/>
        <w:autoSpaceDE w:val="0"/>
        <w:autoSpaceDN w:val="0"/>
        <w:spacing w:line="360" w:lineRule="auto"/>
        <w:ind w:left="964" w:firstLine="0" w:firstLineChars="0"/>
        <w:contextualSpacing/>
        <w:rPr>
          <w:rFonts w:cs="宋体" w:asciiTheme="minorEastAsia" w:hAnsiTheme="minorEastAsia"/>
          <w:kern w:val="0"/>
          <w:szCs w:val="21"/>
        </w:rPr>
      </w:pPr>
    </w:p>
    <w:p w14:paraId="27EBA567">
      <w:pPr>
        <w:pStyle w:val="4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14:paraId="6FD7920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14:paraId="491789A3">
      <w:pPr>
        <w:autoSpaceDE w:val="0"/>
        <w:autoSpaceDN w:val="0"/>
        <w:spacing w:line="360" w:lineRule="auto"/>
        <w:ind w:left="964"/>
        <w:contextualSpacing/>
        <w:rPr>
          <w:rFonts w:cs="宋体" w:asciiTheme="minorEastAsia" w:hAnsiTheme="minorEastAsia"/>
          <w:kern w:val="0"/>
          <w:szCs w:val="21"/>
        </w:rPr>
      </w:pPr>
    </w:p>
    <w:p w14:paraId="7BA11890">
      <w:pPr>
        <w:pStyle w:val="4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14:paraId="19159668">
      <w:pPr>
        <w:pStyle w:val="42"/>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14:paraId="40212ED8">
      <w:pPr>
        <w:pStyle w:val="42"/>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14:paraId="22B99C3B">
      <w:pPr>
        <w:pStyle w:val="42"/>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14:paraId="7B78FB46">
      <w:pPr>
        <w:pStyle w:val="42"/>
        <w:numPr>
          <w:ilvl w:val="0"/>
          <w:numId w:val="2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14:paraId="5B5A9B14">
      <w:pPr>
        <w:pStyle w:val="42"/>
        <w:numPr>
          <w:ilvl w:val="0"/>
          <w:numId w:val="2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14:paraId="26CF8A40">
      <w:pPr>
        <w:pStyle w:val="42"/>
        <w:numPr>
          <w:ilvl w:val="0"/>
          <w:numId w:val="2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14:paraId="2C3A56F1">
      <w:pPr>
        <w:pStyle w:val="42"/>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14:paraId="6C788E35">
      <w:pPr>
        <w:pStyle w:val="42"/>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14:paraId="6EAAD867">
      <w:pPr>
        <w:pStyle w:val="42"/>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14:paraId="464F14AE">
      <w:pPr>
        <w:pStyle w:val="42"/>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14:paraId="184030F7">
      <w:pPr>
        <w:pStyle w:val="42"/>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14:paraId="5963A8A4">
      <w:pPr>
        <w:pStyle w:val="42"/>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14:paraId="563E4C34">
      <w:pPr>
        <w:pStyle w:val="42"/>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14:paraId="4683F0E5">
      <w:pPr>
        <w:pStyle w:val="42"/>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14:paraId="4A143C80">
      <w:pPr>
        <w:pStyle w:val="42"/>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14:paraId="72EA0917">
      <w:pPr>
        <w:autoSpaceDE w:val="0"/>
        <w:autoSpaceDN w:val="0"/>
        <w:spacing w:line="360" w:lineRule="auto"/>
        <w:ind w:left="420"/>
        <w:contextualSpacing/>
        <w:rPr>
          <w:rFonts w:cs="宋体" w:asciiTheme="minorEastAsia" w:hAnsiTheme="minorEastAsia"/>
          <w:kern w:val="0"/>
          <w:szCs w:val="21"/>
        </w:rPr>
      </w:pPr>
    </w:p>
    <w:p w14:paraId="64FB1288">
      <w:pPr>
        <w:pStyle w:val="42"/>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14:paraId="416E073A">
      <w:pPr>
        <w:pStyle w:val="42"/>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14:paraId="633654CB">
      <w:pPr>
        <w:pStyle w:val="42"/>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14:paraId="418EA1C3">
      <w:pPr>
        <w:pStyle w:val="42"/>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14:paraId="4E2D76FE">
      <w:pPr>
        <w:pStyle w:val="42"/>
        <w:autoSpaceDE w:val="0"/>
        <w:autoSpaceDN w:val="0"/>
        <w:spacing w:line="360" w:lineRule="auto"/>
        <w:ind w:left="964" w:firstLine="0" w:firstLineChars="0"/>
        <w:contextualSpacing/>
        <w:rPr>
          <w:rFonts w:cs="宋体" w:asciiTheme="minorEastAsia" w:hAnsiTheme="minorEastAsia"/>
          <w:kern w:val="0"/>
          <w:szCs w:val="21"/>
        </w:rPr>
      </w:pPr>
    </w:p>
    <w:p w14:paraId="668C29A2">
      <w:pPr>
        <w:pStyle w:val="42"/>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14:paraId="329BF5DD">
      <w:pPr>
        <w:pStyle w:val="42"/>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14:paraId="63EC659E">
      <w:pPr>
        <w:pStyle w:val="42"/>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36E0D9B">
      <w:pPr>
        <w:pStyle w:val="42"/>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14:paraId="08A1C7B8">
      <w:pPr>
        <w:pStyle w:val="42"/>
        <w:autoSpaceDE w:val="0"/>
        <w:autoSpaceDN w:val="0"/>
        <w:spacing w:line="360" w:lineRule="auto"/>
        <w:ind w:left="964" w:firstLine="0" w:firstLineChars="0"/>
        <w:contextualSpacing/>
        <w:rPr>
          <w:rFonts w:cs="宋体" w:asciiTheme="minorEastAsia" w:hAnsiTheme="minorEastAsia"/>
          <w:kern w:val="0"/>
          <w:szCs w:val="21"/>
        </w:rPr>
      </w:pPr>
    </w:p>
    <w:p w14:paraId="3313713A">
      <w:pPr>
        <w:pStyle w:val="42"/>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14:paraId="4805CD5D">
      <w:pPr>
        <w:pStyle w:val="42"/>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14:paraId="192F3500">
      <w:pPr>
        <w:pStyle w:val="42"/>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67E875FD">
      <w:pPr>
        <w:pStyle w:val="42"/>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24EB74A7">
      <w:pPr>
        <w:pStyle w:val="42"/>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14:paraId="58E4376B">
      <w:pPr>
        <w:autoSpaceDE w:val="0"/>
        <w:autoSpaceDN w:val="0"/>
        <w:spacing w:line="360" w:lineRule="auto"/>
        <w:ind w:left="964"/>
        <w:contextualSpacing/>
        <w:rPr>
          <w:rFonts w:cs="宋体" w:asciiTheme="minorEastAsia" w:hAnsiTheme="minorEastAsia"/>
          <w:kern w:val="0"/>
          <w:szCs w:val="21"/>
        </w:rPr>
      </w:pPr>
    </w:p>
    <w:p w14:paraId="1C70E0BF">
      <w:pPr>
        <w:pStyle w:val="42"/>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14:paraId="7D52A200">
      <w:pPr>
        <w:pStyle w:val="42"/>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14:paraId="0FC8439A">
      <w:pPr>
        <w:pStyle w:val="42"/>
        <w:numPr>
          <w:ilvl w:val="0"/>
          <w:numId w:val="35"/>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未按照招标文件的规定提交《禹州市政府采购供应商信用承诺函》的；</w:t>
      </w:r>
    </w:p>
    <w:p w14:paraId="76D14427">
      <w:pPr>
        <w:pStyle w:val="42"/>
        <w:numPr>
          <w:ilvl w:val="0"/>
          <w:numId w:val="35"/>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未按照招标文件的规定提交投标承诺函的；</w:t>
      </w:r>
    </w:p>
    <w:p w14:paraId="0C36C798">
      <w:pPr>
        <w:pStyle w:val="42"/>
        <w:numPr>
          <w:ilvl w:val="0"/>
          <w:numId w:val="35"/>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投标文件未按招标文件要求签署、盖章的；</w:t>
      </w:r>
    </w:p>
    <w:p w14:paraId="73D1C2B4">
      <w:pPr>
        <w:pStyle w:val="42"/>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14:paraId="328952E0">
      <w:pPr>
        <w:pStyle w:val="42"/>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14:paraId="0EDAC67B">
      <w:pPr>
        <w:pStyle w:val="42"/>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4E7A36CD">
      <w:pPr>
        <w:pStyle w:val="42"/>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不同供应商的电子投标文件上传计算机的网卡MAC地址、CPU序列号和硬盘序列号等硬件信息相同的；</w:t>
      </w:r>
    </w:p>
    <w:p w14:paraId="4FAB679E">
      <w:pPr>
        <w:pStyle w:val="42"/>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不同供应商的投标文件由同一电子设备编制、打印加密或者上传；</w:t>
      </w:r>
    </w:p>
    <w:p w14:paraId="108A0AEB">
      <w:pPr>
        <w:pStyle w:val="42"/>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不同供应商的投标文件由同一电子设备打印、复印；</w:t>
      </w:r>
    </w:p>
    <w:p w14:paraId="35EEA056">
      <w:pPr>
        <w:pStyle w:val="42"/>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不同供应商的投标文件由同一人送达或者分发，或者不同供应商联系人为同一人或不同联系人的联系电话一致的；</w:t>
      </w:r>
    </w:p>
    <w:p w14:paraId="31252233">
      <w:pPr>
        <w:pStyle w:val="42"/>
        <w:numPr>
          <w:ilvl w:val="0"/>
          <w:numId w:val="4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不同供应商的投标文件的内容存在两处以上细节错误一致；</w:t>
      </w:r>
    </w:p>
    <w:p w14:paraId="4453A324">
      <w:pPr>
        <w:pStyle w:val="42"/>
        <w:numPr>
          <w:ilvl w:val="0"/>
          <w:numId w:val="4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2636741E">
      <w:pPr>
        <w:pStyle w:val="42"/>
        <w:numPr>
          <w:ilvl w:val="0"/>
          <w:numId w:val="4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不同供应商投标文件中法定代表人或者负责人签字出自同一人之手；</w:t>
      </w:r>
    </w:p>
    <w:p w14:paraId="3AC7894F">
      <w:pPr>
        <w:pStyle w:val="42"/>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14:paraId="6ADBC1DE">
      <w:pPr>
        <w:pStyle w:val="42"/>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14:paraId="68416FCD">
      <w:pPr>
        <w:pStyle w:val="42"/>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14:paraId="445730F5">
      <w:pPr>
        <w:pStyle w:val="42"/>
        <w:numPr>
          <w:ilvl w:val="0"/>
          <w:numId w:val="4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14:paraId="7294F89E">
      <w:pPr>
        <w:pStyle w:val="42"/>
        <w:numPr>
          <w:ilvl w:val="0"/>
          <w:numId w:val="4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14:paraId="08E204DD">
      <w:pPr>
        <w:pStyle w:val="42"/>
        <w:numPr>
          <w:ilvl w:val="0"/>
          <w:numId w:val="4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14:paraId="5AA12C84">
      <w:pPr>
        <w:pStyle w:val="42"/>
        <w:numPr>
          <w:ilvl w:val="0"/>
          <w:numId w:val="5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14:paraId="16A184BF">
      <w:pPr>
        <w:pStyle w:val="42"/>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489D17EC">
      <w:pPr>
        <w:pStyle w:val="42"/>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14:paraId="5D8293F7">
      <w:pPr>
        <w:pStyle w:val="42"/>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5763B782">
      <w:pPr>
        <w:pStyle w:val="42"/>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14:paraId="06ADCEA6">
      <w:pPr>
        <w:pStyle w:val="42"/>
        <w:autoSpaceDE w:val="0"/>
        <w:autoSpaceDN w:val="0"/>
        <w:spacing w:line="360" w:lineRule="auto"/>
        <w:ind w:left="964" w:firstLine="0" w:firstLineChars="0"/>
        <w:contextualSpacing/>
        <w:rPr>
          <w:rFonts w:cs="宋体" w:asciiTheme="minorEastAsia" w:hAnsiTheme="minorEastAsia"/>
          <w:kern w:val="0"/>
          <w:szCs w:val="21"/>
        </w:rPr>
      </w:pPr>
    </w:p>
    <w:p w14:paraId="41105D47">
      <w:pPr>
        <w:pStyle w:val="42"/>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14:paraId="31747494">
      <w:pPr>
        <w:pStyle w:val="42"/>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9CA3F1E">
      <w:pPr>
        <w:pStyle w:val="42"/>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E416D35">
      <w:pPr>
        <w:pStyle w:val="42"/>
        <w:autoSpaceDE w:val="0"/>
        <w:autoSpaceDN w:val="0"/>
        <w:spacing w:line="360" w:lineRule="auto"/>
        <w:ind w:left="964" w:firstLine="0" w:firstLineChars="0"/>
        <w:contextualSpacing/>
        <w:rPr>
          <w:rFonts w:cs="宋体" w:asciiTheme="minorEastAsia" w:hAnsiTheme="minorEastAsia"/>
          <w:kern w:val="0"/>
          <w:szCs w:val="21"/>
        </w:rPr>
      </w:pPr>
    </w:p>
    <w:p w14:paraId="50106615">
      <w:pPr>
        <w:pStyle w:val="42"/>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14:paraId="2BD357D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14:paraId="57108771">
      <w:pPr>
        <w:autoSpaceDE w:val="0"/>
        <w:autoSpaceDN w:val="0"/>
        <w:spacing w:line="360" w:lineRule="auto"/>
        <w:ind w:left="964"/>
        <w:contextualSpacing/>
        <w:rPr>
          <w:rFonts w:cs="宋体" w:asciiTheme="minorEastAsia" w:hAnsiTheme="minorEastAsia"/>
          <w:kern w:val="0"/>
          <w:szCs w:val="21"/>
        </w:rPr>
      </w:pPr>
    </w:p>
    <w:p w14:paraId="09691254">
      <w:pPr>
        <w:pStyle w:val="42"/>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14:paraId="05D31B88">
      <w:pPr>
        <w:pStyle w:val="42"/>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14:paraId="7F296381">
      <w:pPr>
        <w:pStyle w:val="42"/>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14:paraId="0A22362B">
      <w:pPr>
        <w:pStyle w:val="42"/>
        <w:numPr>
          <w:ilvl w:val="0"/>
          <w:numId w:val="59"/>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14:paraId="03B45668">
      <w:pPr>
        <w:pStyle w:val="42"/>
        <w:numPr>
          <w:ilvl w:val="0"/>
          <w:numId w:val="59"/>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14:paraId="0414FC69">
      <w:pPr>
        <w:pStyle w:val="42"/>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14:paraId="42BFDF6E">
      <w:pPr>
        <w:pStyle w:val="42"/>
        <w:numPr>
          <w:ilvl w:val="0"/>
          <w:numId w:val="6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14:paraId="753D3EEE">
      <w:pPr>
        <w:pStyle w:val="42"/>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14:paraId="1901D5C2">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14:paraId="78D5CEF9">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14:paraId="1C8751E6">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14:paraId="4448FFEC">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14:paraId="1B016D17">
      <w:pPr>
        <w:pStyle w:val="42"/>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14:paraId="5AA8E801">
      <w:pPr>
        <w:pStyle w:val="42"/>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14:paraId="6CA533D6">
      <w:pPr>
        <w:pStyle w:val="42"/>
        <w:numPr>
          <w:ilvl w:val="1"/>
          <w:numId w:val="6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14:paraId="349DEBB7">
      <w:pPr>
        <w:pStyle w:val="42"/>
        <w:autoSpaceDE w:val="0"/>
        <w:autoSpaceDN w:val="0"/>
        <w:spacing w:line="360" w:lineRule="auto"/>
        <w:ind w:left="964" w:firstLine="0" w:firstLineChars="0"/>
        <w:contextualSpacing/>
        <w:rPr>
          <w:rFonts w:cs="宋体" w:asciiTheme="minorEastAsia" w:hAnsiTheme="minorEastAsia"/>
          <w:kern w:val="0"/>
          <w:szCs w:val="21"/>
        </w:rPr>
      </w:pPr>
    </w:p>
    <w:p w14:paraId="4DC0CEE3">
      <w:pPr>
        <w:pStyle w:val="42"/>
        <w:numPr>
          <w:ilvl w:val="0"/>
          <w:numId w:val="6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14:paraId="29290C94">
      <w:pPr>
        <w:pStyle w:val="42"/>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14:paraId="080F9CE9">
      <w:pPr>
        <w:pStyle w:val="42"/>
        <w:numPr>
          <w:ilvl w:val="0"/>
          <w:numId w:val="6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4CCDF7">
      <w:pPr>
        <w:pStyle w:val="42"/>
        <w:autoSpaceDE w:val="0"/>
        <w:autoSpaceDN w:val="0"/>
        <w:spacing w:line="360" w:lineRule="auto"/>
        <w:ind w:left="964" w:firstLine="0" w:firstLineChars="0"/>
        <w:contextualSpacing/>
        <w:rPr>
          <w:rFonts w:cs="宋体" w:asciiTheme="minorEastAsia" w:hAnsiTheme="minorEastAsia"/>
          <w:kern w:val="0"/>
          <w:szCs w:val="21"/>
        </w:rPr>
      </w:pPr>
    </w:p>
    <w:p w14:paraId="782E399D">
      <w:pPr>
        <w:pStyle w:val="42"/>
        <w:numPr>
          <w:ilvl w:val="0"/>
          <w:numId w:val="6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14:paraId="4D165982">
      <w:pPr>
        <w:pStyle w:val="42"/>
        <w:numPr>
          <w:ilvl w:val="0"/>
          <w:numId w:val="6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14:paraId="2406BAA0">
      <w:pPr>
        <w:pStyle w:val="42"/>
        <w:numPr>
          <w:ilvl w:val="0"/>
          <w:numId w:val="6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14:paraId="6151AA7E">
      <w:pPr>
        <w:pStyle w:val="42"/>
        <w:numPr>
          <w:ilvl w:val="0"/>
          <w:numId w:val="6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14:paraId="2801E75C">
      <w:pPr>
        <w:pStyle w:val="42"/>
        <w:numPr>
          <w:ilvl w:val="0"/>
          <w:numId w:val="6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14:paraId="737AA6FE">
      <w:pPr>
        <w:pStyle w:val="42"/>
        <w:numPr>
          <w:ilvl w:val="0"/>
          <w:numId w:val="6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14:paraId="226EE13F">
      <w:pPr>
        <w:pStyle w:val="42"/>
        <w:numPr>
          <w:ilvl w:val="0"/>
          <w:numId w:val="6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14:paraId="2723C3D3">
      <w:pPr>
        <w:pStyle w:val="42"/>
        <w:numPr>
          <w:ilvl w:val="0"/>
          <w:numId w:val="6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14:paraId="0F49E755">
      <w:pPr>
        <w:pStyle w:val="42"/>
        <w:numPr>
          <w:ilvl w:val="0"/>
          <w:numId w:val="6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14:paraId="40ABE0C5">
      <w:pPr>
        <w:pStyle w:val="42"/>
        <w:autoSpaceDE w:val="0"/>
        <w:autoSpaceDN w:val="0"/>
        <w:spacing w:line="360" w:lineRule="auto"/>
        <w:ind w:left="1384" w:firstLine="0" w:firstLineChars="0"/>
        <w:contextualSpacing/>
        <w:rPr>
          <w:rFonts w:cs="宋体" w:asciiTheme="minorEastAsia" w:hAnsiTheme="minorEastAsia"/>
          <w:kern w:val="0"/>
          <w:szCs w:val="21"/>
        </w:rPr>
      </w:pPr>
    </w:p>
    <w:p w14:paraId="494454C7">
      <w:pPr>
        <w:autoSpaceDE w:val="0"/>
        <w:autoSpaceDN w:val="0"/>
        <w:spacing w:line="360" w:lineRule="auto"/>
        <w:ind w:left="964"/>
        <w:contextualSpacing/>
        <w:rPr>
          <w:rFonts w:cs="宋体" w:asciiTheme="minorEastAsia" w:hAnsiTheme="minorEastAsia"/>
          <w:kern w:val="0"/>
          <w:szCs w:val="21"/>
        </w:rPr>
      </w:pPr>
    </w:p>
    <w:p w14:paraId="708A14F6">
      <w:pPr>
        <w:pStyle w:val="42"/>
        <w:numPr>
          <w:ilvl w:val="0"/>
          <w:numId w:val="6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14:paraId="1755F12B">
      <w:pPr>
        <w:pStyle w:val="42"/>
        <w:numPr>
          <w:ilvl w:val="0"/>
          <w:numId w:val="67"/>
        </w:numPr>
        <w:autoSpaceDE w:val="0"/>
        <w:autoSpaceDN w:val="0"/>
        <w:spacing w:line="360" w:lineRule="auto"/>
        <w:ind w:left="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14:paraId="7BBCFC27">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35.2    采购人、采购代理机构应当采取必要措施，保证评标在严格保密的情况下进行。有关人员对评标情况以及在评标过程中获悉的国家秘密、商业秘密负有保密责任。</w:t>
      </w:r>
    </w:p>
    <w:p w14:paraId="4F32DBE6">
      <w:pPr>
        <w:tabs>
          <w:tab w:val="left" w:pos="1260"/>
        </w:tabs>
        <w:autoSpaceDE w:val="0"/>
        <w:autoSpaceDN w:val="0"/>
        <w:spacing w:line="360" w:lineRule="auto"/>
        <w:contextualSpacing/>
        <w:rPr>
          <w:rFonts w:cs="仿宋_GB2312" w:asciiTheme="minorEastAsia" w:hAnsiTheme="minorEastAsia"/>
          <w:szCs w:val="21"/>
          <w:lang w:val="zh-CN"/>
        </w:rPr>
      </w:pPr>
    </w:p>
    <w:p w14:paraId="2736919A">
      <w:pPr>
        <w:tabs>
          <w:tab w:val="left" w:pos="1260"/>
        </w:tabs>
        <w:autoSpaceDE w:val="0"/>
        <w:autoSpaceDN w:val="0"/>
        <w:spacing w:line="360" w:lineRule="auto"/>
        <w:contextualSpacing/>
        <w:jc w:val="center"/>
        <w:rPr>
          <w:rFonts w:hint="eastAsia" w:cs="宋体" w:asciiTheme="minorEastAsia" w:hAnsiTheme="minorEastAsia"/>
          <w:b/>
          <w:kern w:val="0"/>
          <w:szCs w:val="21"/>
        </w:rPr>
      </w:pPr>
    </w:p>
    <w:p w14:paraId="2A2325C8">
      <w:pPr>
        <w:tabs>
          <w:tab w:val="left" w:pos="1260"/>
        </w:tabs>
        <w:autoSpaceDE w:val="0"/>
        <w:autoSpaceDN w:val="0"/>
        <w:spacing w:line="360" w:lineRule="auto"/>
        <w:contextualSpacing/>
        <w:jc w:val="center"/>
        <w:rPr>
          <w:rFonts w:hint="eastAsia" w:cs="宋体" w:asciiTheme="minorEastAsia" w:hAnsiTheme="minorEastAsia"/>
          <w:b/>
          <w:kern w:val="0"/>
          <w:szCs w:val="21"/>
        </w:rPr>
      </w:pPr>
    </w:p>
    <w:p w14:paraId="4F0BCF8A">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14:paraId="1D6A858C">
      <w:pPr>
        <w:pStyle w:val="42"/>
        <w:numPr>
          <w:ilvl w:val="0"/>
          <w:numId w:val="6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14:paraId="795C8EEA">
      <w:pPr>
        <w:pStyle w:val="42"/>
        <w:numPr>
          <w:ilvl w:val="0"/>
          <w:numId w:val="6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p>
    <w:p w14:paraId="2B8741D4">
      <w:pPr>
        <w:pStyle w:val="42"/>
        <w:numPr>
          <w:ilvl w:val="0"/>
          <w:numId w:val="6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采购人在收到评标报告1个工作日内未按评标报告推荐的中标候选人顺序确定中标人，又不能说明合法理由的，视同按评标报告推荐的顺序确定排名第一的中标候选人为中标人。</w:t>
      </w:r>
    </w:p>
    <w:p w14:paraId="59E89E90">
      <w:pPr>
        <w:pStyle w:val="42"/>
        <w:numPr>
          <w:ilvl w:val="0"/>
          <w:numId w:val="6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14:paraId="1580DC7F">
      <w:pPr>
        <w:pStyle w:val="42"/>
        <w:numPr>
          <w:ilvl w:val="0"/>
          <w:numId w:val="6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采购人确认中标人后，1个工作日公告中标结果的同时，禹州市政府采购中心向中标人发出中标通知书。</w:t>
      </w:r>
    </w:p>
    <w:p w14:paraId="42382EB6">
      <w:pPr>
        <w:pStyle w:val="42"/>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14:paraId="1D61BB87">
      <w:pPr>
        <w:pStyle w:val="42"/>
        <w:numPr>
          <w:ilvl w:val="0"/>
          <w:numId w:val="7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14:paraId="179F8806">
      <w:pPr>
        <w:pStyle w:val="42"/>
        <w:numPr>
          <w:ilvl w:val="0"/>
          <w:numId w:val="6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14:paraId="0BDDF6AF">
      <w:pPr>
        <w:pStyle w:val="42"/>
        <w:numPr>
          <w:ilvl w:val="0"/>
          <w:numId w:val="7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投标人应及时联系招标公告中集采机构联系人查看。如未提出视为全面接受。</w:t>
      </w:r>
    </w:p>
    <w:p w14:paraId="32D42D11">
      <w:pPr>
        <w:pStyle w:val="42"/>
        <w:numPr>
          <w:ilvl w:val="0"/>
          <w:numId w:val="73"/>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w:t>
      </w:r>
    </w:p>
    <w:p w14:paraId="0A57412A">
      <w:pPr>
        <w:pStyle w:val="42"/>
        <w:numPr>
          <w:ilvl w:val="0"/>
          <w:numId w:val="73"/>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对采购过程提出质疑的，为各采购程序环节结束之日起七个工作日内，投标人通过《全国公共资源交易平台（河南省·许昌市）》一次性提出；</w:t>
      </w:r>
    </w:p>
    <w:p w14:paraId="445855CD">
      <w:pPr>
        <w:pStyle w:val="42"/>
        <w:numPr>
          <w:ilvl w:val="0"/>
          <w:numId w:val="73"/>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对中标结果提出质疑的，为中标结果公告期限届满之日起七个工作日内，投标人通过《全国公共资源交易平台（河南省·许昌市）》一次性提出。</w:t>
      </w:r>
    </w:p>
    <w:p w14:paraId="6467752A">
      <w:pPr>
        <w:autoSpaceDE w:val="0"/>
        <w:autoSpaceDN w:val="0"/>
        <w:spacing w:line="360" w:lineRule="auto"/>
        <w:ind w:left="1365" w:hanging="1365" w:hangingChars="650"/>
        <w:contextualSpacing/>
        <w:rPr>
          <w:rFonts w:cs="宋体" w:asciiTheme="minorEastAsia" w:hAnsiTheme="minorEastAsia"/>
          <w:kern w:val="0"/>
          <w:szCs w:val="21"/>
        </w:rPr>
      </w:pPr>
      <w:r>
        <w:rPr>
          <w:rFonts w:hint="eastAsia" w:cs="宋体" w:asciiTheme="minorEastAsia" w:hAnsiTheme="minorEastAsia"/>
          <w:kern w:val="0"/>
          <w:szCs w:val="21"/>
        </w:rPr>
        <w:t xml:space="preserve">38.2         </w:t>
      </w:r>
      <w:r>
        <w:rPr>
          <w:rFonts w:cs="宋体" w:asciiTheme="minorEastAsia" w:hAnsiTheme="minorEastAsia"/>
          <w:kern w:val="0"/>
          <w:szCs w:val="21"/>
        </w:rPr>
        <w:t>采购人、采购代理机构认为供应商质疑不成立，或者成立但未对中标结果构成影响的，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继续开展采购活动；认为供应商质疑成立且影响或者可能影响中标结果的，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01E4642C">
      <w:pPr>
        <w:pStyle w:val="42"/>
        <w:numPr>
          <w:ilvl w:val="0"/>
          <w:numId w:val="74"/>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14:paraId="3D87AF9B">
      <w:pPr>
        <w:pStyle w:val="42"/>
        <w:numPr>
          <w:ilvl w:val="0"/>
          <w:numId w:val="74"/>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14:paraId="6A0D2B2D">
      <w:pPr>
        <w:autoSpaceDE w:val="0"/>
        <w:autoSpaceDN w:val="0"/>
        <w:spacing w:line="360" w:lineRule="auto"/>
        <w:ind w:left="964"/>
        <w:contextualSpacing/>
        <w:rPr>
          <w:rFonts w:cs="宋体" w:asciiTheme="minorEastAsia" w:hAnsiTheme="minorEastAsia"/>
          <w:kern w:val="0"/>
          <w:szCs w:val="21"/>
        </w:rPr>
      </w:pPr>
    </w:p>
    <w:p w14:paraId="4F4B6F58">
      <w:pPr>
        <w:pStyle w:val="42"/>
        <w:numPr>
          <w:ilvl w:val="0"/>
          <w:numId w:val="7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14:paraId="39ADD95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采购人应当自中标通知书发出之日起2日内，按照招标文件和中标人投标文件的规定，与中标人签订书面合同。所签订的合同不得对招标文件确定的事项和中标人投标文件作实质性修改。</w:t>
      </w:r>
    </w:p>
    <w:p w14:paraId="125B6FA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4466BAE1">
      <w:pPr>
        <w:autoSpaceDE w:val="0"/>
        <w:autoSpaceDN w:val="0"/>
        <w:spacing w:line="360" w:lineRule="auto"/>
        <w:ind w:left="964"/>
        <w:contextualSpacing/>
        <w:rPr>
          <w:rFonts w:cs="宋体" w:asciiTheme="minorEastAsia" w:hAnsiTheme="minorEastAsia"/>
          <w:kern w:val="0"/>
          <w:szCs w:val="21"/>
        </w:rPr>
      </w:pPr>
    </w:p>
    <w:p w14:paraId="387B5AE8">
      <w:pPr>
        <w:pStyle w:val="42"/>
        <w:numPr>
          <w:ilvl w:val="0"/>
          <w:numId w:val="7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14:paraId="39752069">
      <w:pPr>
        <w:autoSpaceDE w:val="0"/>
        <w:autoSpaceDN w:val="0"/>
        <w:spacing w:line="360" w:lineRule="auto"/>
        <w:ind w:left="964"/>
        <w:contextualSpacing/>
        <w:jc w:val="left"/>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14:paraId="398F7DFD">
      <w:pPr>
        <w:autoSpaceDE w:val="0"/>
        <w:autoSpaceDN w:val="0"/>
        <w:spacing w:line="360" w:lineRule="auto"/>
        <w:ind w:left="964"/>
        <w:contextualSpacing/>
        <w:jc w:val="left"/>
        <w:rPr>
          <w:rFonts w:hint="eastAsia" w:cs="宋体" w:asciiTheme="minorEastAsia" w:hAnsiTheme="minorEastAsia" w:eastAsiaTheme="minorEastAsia"/>
          <w:kern w:val="0"/>
          <w:szCs w:val="21"/>
          <w:lang w:eastAsia="zh-CN"/>
        </w:rPr>
      </w:pPr>
    </w:p>
    <w:p w14:paraId="3734034A">
      <w:pPr>
        <w:pStyle w:val="42"/>
        <w:numPr>
          <w:ilvl w:val="0"/>
          <w:numId w:val="75"/>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42"/>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 xml:space="preserve">41.1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outlineLvl w:val="3"/>
        <w:rPr>
          <w:rFonts w:cs="宋体" w:asciiTheme="minorEastAsia" w:hAnsiTheme="minorEastAsia"/>
          <w:color w:val="FF99FF"/>
          <w:kern w:val="0"/>
          <w:szCs w:val="21"/>
        </w:rPr>
      </w:pPr>
      <w:r>
        <w:rPr>
          <w:rFonts w:hint="eastAsia" w:cs="宋体" w:asciiTheme="minorEastAsia" w:hAnsiTheme="minorEastAsia"/>
          <w:kern w:val="0"/>
          <w:szCs w:val="21"/>
          <w:lang w:val="en-US" w:eastAsia="zh-CN"/>
        </w:rPr>
        <w:t>41</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41.3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0"/>
        </w:numPr>
        <w:autoSpaceDE w:val="0"/>
        <w:autoSpaceDN w:val="0"/>
        <w:spacing w:line="360" w:lineRule="auto"/>
        <w:ind w:leftChars="0"/>
        <w:contextualSpacing/>
        <w:outlineLvl w:val="2"/>
        <w:rPr>
          <w:rFonts w:cs="宋体" w:asciiTheme="minorEastAsia" w:hAnsiTheme="minorEastAsia"/>
          <w:b/>
          <w:kern w:val="0"/>
          <w:szCs w:val="21"/>
        </w:rPr>
      </w:pPr>
      <w:r>
        <w:rPr>
          <w:rFonts w:hint="eastAsia" w:cs="宋体" w:asciiTheme="minorEastAsia" w:hAnsiTheme="minorEastAsia"/>
          <w:b/>
          <w:kern w:val="0"/>
          <w:szCs w:val="21"/>
          <w:lang w:val="en-US" w:eastAsia="zh-CN"/>
        </w:rPr>
        <w:t xml:space="preserve">43  </w:t>
      </w: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76"/>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43.1 </w:t>
      </w: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43.2 </w:t>
      </w: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43.3 </w:t>
      </w:r>
      <w:r>
        <w:rPr>
          <w:rFonts w:hint="eastAsia" w:cs="宋体" w:asciiTheme="minorEastAsia" w:hAnsiTheme="minorEastAsia"/>
          <w:kern w:val="0"/>
          <w:szCs w:val="21"/>
        </w:rPr>
        <w:t>助手团队</w:t>
      </w:r>
    </w:p>
    <w:tbl>
      <w:tblPr>
        <w:tblStyle w:val="26"/>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cstheme="minorEastAsia"/>
                <w:sz w:val="21"/>
                <w:szCs w:val="21"/>
                <w:lang w:val="en-US" w:eastAsia="zh-CN"/>
              </w:rPr>
              <w:t>州</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309B755F">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38DCA5A">
      <w:pPr>
        <w:autoSpaceDE w:val="0"/>
        <w:autoSpaceDN w:val="0"/>
        <w:spacing w:line="360" w:lineRule="auto"/>
        <w:contextualSpacing/>
        <w:jc w:val="left"/>
        <w:rPr>
          <w:rFonts w:cs="宋体" w:asciiTheme="majorEastAsia" w:hAnsiTheme="majorEastAsia" w:eastAsiaTheme="majorEastAsia"/>
          <w:b/>
          <w:kern w:val="0"/>
          <w:sz w:val="32"/>
          <w:szCs w:val="32"/>
        </w:rPr>
      </w:pPr>
    </w:p>
    <w:p w14:paraId="376ECFFF">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3CF966BA">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03CF21A7">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2BD12104">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2338C9C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302EAC5C">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07A8AF48">
      <w:pPr>
        <w:autoSpaceDE w:val="0"/>
        <w:autoSpaceDN w:val="0"/>
        <w:spacing w:line="360" w:lineRule="auto"/>
        <w:ind w:firstLine="1285" w:firstLineChars="400"/>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4A6C9DE7">
      <w:pPr>
        <w:jc w:val="center"/>
        <w:rPr>
          <w:rFonts w:cs="宋体" w:asciiTheme="majorEastAsia" w:hAnsiTheme="majorEastAsia" w:eastAsiaTheme="majorEastAsia"/>
          <w:b/>
          <w:kern w:val="0"/>
          <w:sz w:val="36"/>
          <w:szCs w:val="36"/>
        </w:rPr>
      </w:pPr>
    </w:p>
    <w:p w14:paraId="0976A6B9">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22D62AC0">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14:paraId="1B5E47A1">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65C2325A">
      <w:pPr>
        <w:pStyle w:val="16"/>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79791B7E">
      <w:pPr>
        <w:topLinePunct/>
        <w:spacing w:line="360" w:lineRule="auto"/>
        <w:ind w:firstLine="420" w:firstLineChars="200"/>
        <w:contextualSpacing/>
        <w:rPr>
          <w:rFonts w:ascii="ˎ̥" w:hAnsi="ˎ̥"/>
        </w:rPr>
      </w:pPr>
      <w:r>
        <w:rPr>
          <w:rFonts w:hint="eastAsia" w:ascii="ˎ̥" w:hAnsi="ˎ̥"/>
        </w:rPr>
        <w:t>（一）</w:t>
      </w:r>
      <w:r>
        <w:rPr>
          <w:rFonts w:hint="eastAsia" w:cs="仿宋_GB2312" w:asciiTheme="minorEastAsia" w:hAnsiTheme="minorEastAsia"/>
          <w:szCs w:val="21"/>
          <w:lang w:val="zh-CN"/>
        </w:rPr>
        <w:t>专门面向中小企业预留采购份额（本项目专门面向</w:t>
      </w:r>
      <w:r>
        <w:rPr>
          <w:rFonts w:hint="eastAsia" w:cs="仿宋_GB2312" w:asciiTheme="minorEastAsia" w:hAnsiTheme="minorEastAsia"/>
          <w:szCs w:val="21"/>
          <w:lang w:val="en-US" w:eastAsia="zh-CN"/>
        </w:rPr>
        <w:t>中小</w:t>
      </w:r>
      <w:r>
        <w:rPr>
          <w:rFonts w:hint="eastAsia" w:cs="仿宋_GB2312" w:asciiTheme="minorEastAsia" w:hAnsiTheme="minorEastAsia"/>
          <w:szCs w:val="21"/>
          <w:lang w:val="zh-CN"/>
        </w:rPr>
        <w:t>企业采购）</w:t>
      </w:r>
    </w:p>
    <w:p w14:paraId="20D3A9E0">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14:paraId="335C306B">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w:t>
      </w:r>
      <w:r>
        <w:rPr>
          <w:rFonts w:hint="eastAsia" w:ascii="ˎ̥" w:hAnsi="ˎ̥"/>
        </w:rPr>
        <w:t>、</w:t>
      </w:r>
      <w:r>
        <w:rPr>
          <w:rFonts w:hint="eastAsia" w:ascii="ˎ̥" w:hAnsi="ˎ̥"/>
          <w:color w:val="FF0000"/>
        </w:rPr>
        <w:t>《关于进一步加大政府采购支持中小企业力度的通知》（财库〔2022〕19号）</w:t>
      </w:r>
      <w:r>
        <w:rPr>
          <w:rFonts w:hint="eastAsia" w:cs="仿宋_GB2312" w:asciiTheme="minorEastAsia" w:hAnsiTheme="minorEastAsia"/>
          <w:szCs w:val="21"/>
          <w:lang w:val="zh-CN"/>
        </w:rPr>
        <w:t>规定，对符合该办法规定的小型和微型企业报价给予</w:t>
      </w:r>
      <w:r>
        <w:rPr>
          <w:rFonts w:hint="eastAsia" w:cs="仿宋_GB2312" w:asciiTheme="minorEastAsia" w:hAnsiTheme="minorEastAsia"/>
          <w:color w:val="FF0000"/>
          <w:szCs w:val="21"/>
          <w:lang w:val="zh-CN"/>
        </w:rPr>
        <w:t>20%</w:t>
      </w:r>
      <w:r>
        <w:rPr>
          <w:rFonts w:hint="eastAsia" w:cs="仿宋_GB2312" w:asciiTheme="minorEastAsia" w:hAnsiTheme="minorEastAsia"/>
          <w:szCs w:val="21"/>
          <w:lang w:val="zh-CN"/>
        </w:rPr>
        <w:t>的扣除，用扣除后的价格参与评审。</w:t>
      </w:r>
    </w:p>
    <w:p w14:paraId="40AF556B">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19872129">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14:paraId="1A76F617">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6</w:t>
      </w:r>
      <w:r>
        <w:rPr>
          <w:rFonts w:ascii="ˎ̥" w:hAnsi="ˎ̥"/>
        </w:rPr>
        <w:t>%的扣除，用扣除后的价格参加评审。组成联合体或者接受分包的小微企业与联合体内其他企业、分包企业之间存在直接控股、管理关系的，不享受价格扣除优惠政策。</w:t>
      </w:r>
    </w:p>
    <w:p w14:paraId="62E95F12">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14:paraId="646E2D13">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6E048D77">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4DB9F39E">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4BD9A349">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14:paraId="2C7B5CE1">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6308C923">
      <w:pPr>
        <w:pStyle w:val="1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68836411">
      <w:pPr>
        <w:topLinePunct/>
        <w:spacing w:line="360" w:lineRule="auto"/>
        <w:ind w:firstLine="420" w:firstLineChars="200"/>
        <w:contextualSpacing/>
        <w:rPr>
          <w:rFonts w:cs="仿宋_GB2312" w:asciiTheme="minorEastAsia" w:hAnsiTheme="minorEastAsia"/>
          <w:szCs w:val="21"/>
          <w:lang w:val="zh-CN"/>
        </w:rPr>
      </w:pPr>
    </w:p>
    <w:p w14:paraId="66ACB01B">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14:paraId="537CC855">
      <w:pPr>
        <w:pStyle w:val="16"/>
        <w:spacing w:line="360" w:lineRule="auto"/>
        <w:contextualSpacing/>
        <w:rPr>
          <w:rFonts w:cs="宋体" w:asciiTheme="majorEastAsia" w:hAnsiTheme="majorEastAsia" w:eastAsiaTheme="majorEastAsia"/>
          <w:b/>
          <w:kern w:val="0"/>
          <w:sz w:val="36"/>
          <w:szCs w:val="36"/>
        </w:rPr>
      </w:pPr>
    </w:p>
    <w:p w14:paraId="6D304CE5">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7D46E25">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14:paraId="14ECB54B">
      <w:pPr>
        <w:pStyle w:val="16"/>
        <w:spacing w:line="360" w:lineRule="auto"/>
        <w:contextualSpacing/>
        <w:rPr>
          <w:rFonts w:cs="仿宋_GB2312" w:asciiTheme="minorEastAsia" w:hAnsiTheme="minorEastAsia"/>
          <w:lang w:val="zh-CN"/>
        </w:rPr>
      </w:pPr>
    </w:p>
    <w:p w14:paraId="24CF711E">
      <w:pPr>
        <w:pStyle w:val="16"/>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62F19CEC">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14:paraId="4B4A534A">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14:paraId="4CFD3FB0">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190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9382D49">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432DC55D">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736977A3">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332A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BB54CE">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6A99BCAC">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20B38A2D">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14:paraId="1865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75" w:type="dxa"/>
            <w:vAlign w:val="center"/>
          </w:tcPr>
          <w:p w14:paraId="4CC1F636">
            <w:pPr>
              <w:spacing w:line="360" w:lineRule="auto"/>
              <w:jc w:val="center"/>
              <w:rPr>
                <w:rFonts w:asciiTheme="minorEastAsia" w:hAnsiTheme="minorEastAsia"/>
                <w:b/>
                <w:szCs w:val="21"/>
              </w:rPr>
            </w:pPr>
            <w:r>
              <w:rPr>
                <w:rFonts w:hint="eastAsia" w:asciiTheme="minorEastAsia" w:hAnsiTheme="minorEastAsia"/>
                <w:b/>
                <w:szCs w:val="21"/>
              </w:rPr>
              <w:t>2</w:t>
            </w:r>
          </w:p>
        </w:tc>
        <w:tc>
          <w:tcPr>
            <w:tcW w:w="2410" w:type="dxa"/>
            <w:vAlign w:val="center"/>
          </w:tcPr>
          <w:p w14:paraId="459BF4C6">
            <w:pPr>
              <w:spacing w:line="360" w:lineRule="auto"/>
              <w:jc w:val="center"/>
              <w:rPr>
                <w:rFonts w:hint="default" w:asciiTheme="minorEastAsia" w:hAnsiTheme="minorEastAsia" w:eastAsiaTheme="minorEastAsia"/>
                <w:b/>
                <w:szCs w:val="21"/>
                <w:lang w:val="en-US" w:eastAsia="zh-CN"/>
              </w:rPr>
            </w:pPr>
            <w:r>
              <w:rPr>
                <w:rFonts w:hint="eastAsia" w:asciiTheme="minorEastAsia" w:hAnsiTheme="minorEastAsia"/>
                <w:b/>
                <w:szCs w:val="21"/>
              </w:rPr>
              <w:t>中小企业</w:t>
            </w:r>
            <w:r>
              <w:rPr>
                <w:rFonts w:hint="eastAsia" w:asciiTheme="minorEastAsia" w:hAnsiTheme="minorEastAsia"/>
                <w:b/>
                <w:szCs w:val="21"/>
                <w:lang w:val="en-US" w:eastAsia="zh-CN"/>
              </w:rPr>
              <w:t>声明函</w:t>
            </w:r>
          </w:p>
        </w:tc>
        <w:tc>
          <w:tcPr>
            <w:tcW w:w="5954" w:type="dxa"/>
            <w:vAlign w:val="center"/>
          </w:tcPr>
          <w:p w14:paraId="52614E46">
            <w:pPr>
              <w:spacing w:line="360" w:lineRule="auto"/>
              <w:jc w:val="left"/>
              <w:rPr>
                <w:rFonts w:asciiTheme="minorEastAsia" w:hAnsiTheme="minorEastAsia"/>
                <w:bCs/>
                <w:szCs w:val="21"/>
              </w:rPr>
            </w:pPr>
            <w:r>
              <w:rPr>
                <w:rFonts w:hint="eastAsia" w:asciiTheme="minorEastAsia" w:hAnsiTheme="minorEastAsia"/>
                <w:bCs/>
                <w:szCs w:val="21"/>
              </w:rPr>
              <w:t>（1）中小企业出具《中小企业声明函》</w:t>
            </w:r>
          </w:p>
          <w:p w14:paraId="1D310438">
            <w:pPr>
              <w:spacing w:line="360" w:lineRule="auto"/>
              <w:jc w:val="left"/>
              <w:rPr>
                <w:rFonts w:ascii="宋体" w:hAnsi="宋体" w:cs="微软雅黑"/>
                <w:bCs/>
                <w:szCs w:val="21"/>
              </w:rPr>
            </w:pPr>
            <w:r>
              <w:rPr>
                <w:rFonts w:hint="eastAsia" w:asciiTheme="minorEastAsia" w:hAnsiTheme="minorEastAsia"/>
                <w:bCs/>
                <w:szCs w:val="21"/>
              </w:rPr>
              <w:t>（2）残疾人福利性单位出具《残疾人福利企业声明函》</w:t>
            </w:r>
          </w:p>
        </w:tc>
      </w:tr>
      <w:tr w14:paraId="7401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4EF677">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14:paraId="0F157AE8">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禹州</w:t>
            </w:r>
            <w:r>
              <w:rPr>
                <w:rFonts w:asciiTheme="minorEastAsia" w:hAnsiTheme="minorEastAsia"/>
                <w:b/>
                <w:color w:val="FF0000"/>
                <w:szCs w:val="21"/>
              </w:rPr>
              <w:t>市政府采购</w:t>
            </w:r>
          </w:p>
          <w:p w14:paraId="5ACD3170">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14:paraId="66315F2D">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按照招标文件第八章3.5格式填写</w:t>
            </w:r>
          </w:p>
        </w:tc>
      </w:tr>
      <w:tr w14:paraId="1679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DE73C6D">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14:paraId="2C24DD0E">
            <w:pPr>
              <w:spacing w:line="360" w:lineRule="auto"/>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14:paraId="31E30F03">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14:paraId="5736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86DD918">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14:paraId="7FC48AEE">
            <w:pPr>
              <w:spacing w:line="360" w:lineRule="auto"/>
              <w:jc w:val="center"/>
              <w:rPr>
                <w:rFonts w:asciiTheme="minorEastAsia" w:hAnsiTheme="minorEastAsia"/>
                <w:szCs w:val="21"/>
              </w:rPr>
            </w:pPr>
            <w:r>
              <w:rPr>
                <w:rFonts w:hint="eastAsia" w:asciiTheme="minorEastAsia" w:hAnsiTheme="minorEastAsia"/>
                <w:b/>
                <w:szCs w:val="21"/>
              </w:rPr>
              <w:t>投标承诺函</w:t>
            </w:r>
          </w:p>
        </w:tc>
        <w:tc>
          <w:tcPr>
            <w:tcW w:w="5954" w:type="dxa"/>
            <w:vAlign w:val="center"/>
          </w:tcPr>
          <w:p w14:paraId="539C1AF6">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14:paraId="39D7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0695C60">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14:paraId="1B8F9858">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C1E8BD5">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14:paraId="3C09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5FE0332">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14:paraId="6CB8A8D3">
            <w:pPr>
              <w:spacing w:line="360" w:lineRule="auto"/>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5954" w:type="dxa"/>
          </w:tcPr>
          <w:p w14:paraId="5286294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14:paraId="42D37268">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14:paraId="3D45AF50">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3F49FE2B">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①企业（银行、保险、石油石化、电力、电信等行业除外）、事业单位和社会团体投标人以法人身份参加投标的，法定代表人应与实际提交的“营业执照等证明文件”载明的一致。</w:t>
            </w:r>
          </w:p>
          <w:p w14:paraId="423A45AB">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58570E13">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投标人为自然人的，无需填写法定代表人授权书。</w:t>
            </w:r>
          </w:p>
        </w:tc>
      </w:tr>
      <w:tr w14:paraId="5F5E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308B7B8">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14:paraId="734DCE6E">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2E28E33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14:paraId="727CE5D6">
            <w:pPr>
              <w:spacing w:line="360" w:lineRule="auto"/>
              <w:rPr>
                <w:rFonts w:cs="仿宋_GB2312" w:asciiTheme="minorEastAsia" w:hAnsiTheme="minorEastAsia"/>
                <w:szCs w:val="21"/>
                <w:lang w:val="zh-CN"/>
              </w:rPr>
            </w:pPr>
          </w:p>
        </w:tc>
      </w:tr>
      <w:tr w14:paraId="456E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AE33583">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14:paraId="42E8B0D5">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14:paraId="34D0AB7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14:paraId="6C6D3100">
            <w:pPr>
              <w:spacing w:line="360" w:lineRule="auto"/>
              <w:rPr>
                <w:rFonts w:asciiTheme="minorEastAsia" w:hAnsiTheme="minorEastAsia"/>
                <w:bCs/>
                <w:szCs w:val="21"/>
              </w:rPr>
            </w:pPr>
          </w:p>
        </w:tc>
      </w:tr>
    </w:tbl>
    <w:p w14:paraId="5D426807">
      <w:pPr>
        <w:pStyle w:val="16"/>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14:paraId="57FF5A73">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14:paraId="2F706CCE">
      <w:pPr>
        <w:pStyle w:val="16"/>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14:paraId="3C5E69CC">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14:paraId="2D4A6909">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14:paraId="342ABB67">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14:paraId="456C019B">
      <w:pPr>
        <w:pStyle w:val="1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14:paraId="7C2F5EB3">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14:paraId="176770EE">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14:paraId="19E88BB5">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6B9078BE">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14:paraId="4EB0F3C1">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14:paraId="1F463E6A">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14:paraId="6A0E2753">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14:paraId="63942E07">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36C96D1E">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14:paraId="26A613E2">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14:paraId="38B4E811">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14:paraId="6051B001">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14:paraId="1EAF4021">
      <w:pPr>
        <w:pStyle w:val="1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14:paraId="1FFFF3E8">
      <w:pPr>
        <w:pStyle w:val="1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14:paraId="4EC9C2EE">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14:paraId="348E7818">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（4）信息产品要求</w:t>
      </w:r>
    </w:p>
    <w:p w14:paraId="30A4B02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14:paraId="71665A26">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14:paraId="6A91CBA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16FD05A8">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14:paraId="238800E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14:paraId="29018A2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14:paraId="0174E1C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14:paraId="401668D2">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14:paraId="3BCA3C4F">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14:paraId="2E040A10">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14:paraId="18678775">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FE7C72">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14:paraId="33BE1F24">
      <w:pPr>
        <w:pStyle w:val="16"/>
        <w:spacing w:line="360" w:lineRule="auto"/>
        <w:ind w:firstLine="422" w:firstLineChars="200"/>
        <w:contextualSpacing/>
        <w:rPr>
          <w:rFonts w:hint="eastAsia" w:cs="仿宋_GB2312" w:asciiTheme="minorEastAsia" w:hAnsiTheme="minorEastAsia" w:eastAsiaTheme="minorEastAsia"/>
          <w:b/>
          <w:sz w:val="21"/>
          <w:szCs w:val="21"/>
          <w:lang w:val="en-US" w:eastAsia="zh-CN"/>
        </w:rPr>
      </w:pPr>
      <w:r>
        <w:rPr>
          <w:rFonts w:hint="eastAsia" w:cs="仿宋_GB2312" w:asciiTheme="minorEastAsia" w:hAnsiTheme="minorEastAsia" w:eastAsiaTheme="minorEastAsia"/>
          <w:b/>
          <w:sz w:val="21"/>
          <w:szCs w:val="21"/>
          <w:lang w:val="zh-CN"/>
        </w:rPr>
        <w:t>（6）评标标准</w:t>
      </w:r>
    </w:p>
    <w:tbl>
      <w:tblPr>
        <w:tblStyle w:val="2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407"/>
        <w:gridCol w:w="992"/>
      </w:tblGrid>
      <w:tr w14:paraId="63F1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1BB42337">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分值构成</w:t>
            </w:r>
          </w:p>
          <w:p w14:paraId="49AF95D8">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7399" w:type="dxa"/>
            <w:gridSpan w:val="2"/>
            <w:tcBorders>
              <w:top w:val="single" w:color="auto" w:sz="4" w:space="0"/>
              <w:left w:val="single" w:color="auto" w:sz="4" w:space="0"/>
              <w:bottom w:val="single" w:color="auto" w:sz="4" w:space="0"/>
              <w:right w:val="single" w:color="auto" w:sz="4" w:space="0"/>
            </w:tcBorders>
            <w:noWrap/>
            <w:vAlign w:val="center"/>
          </w:tcPr>
          <w:p w14:paraId="3EB87D69">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价格分值：</w:t>
            </w: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p w14:paraId="7D824DB4">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商务部分：</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0分</w:t>
            </w:r>
          </w:p>
          <w:p w14:paraId="57901CFC">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技术部分：4</w:t>
            </w:r>
            <w:r>
              <w:rPr>
                <w:rFonts w:hint="eastAsia" w:cs="仿宋_GB2312" w:asciiTheme="minorEastAsia" w:hAnsiTheme="minorEastAsia"/>
                <w:szCs w:val="21"/>
                <w:lang w:val="en-US" w:eastAsia="zh-CN"/>
              </w:rPr>
              <w:t>0</w:t>
            </w:r>
            <w:r>
              <w:rPr>
                <w:rFonts w:hint="eastAsia" w:cs="仿宋_GB2312" w:asciiTheme="minorEastAsia" w:hAnsiTheme="minorEastAsia"/>
                <w:szCs w:val="21"/>
                <w:lang w:val="zh-CN"/>
              </w:rPr>
              <w:t>分</w:t>
            </w:r>
          </w:p>
        </w:tc>
      </w:tr>
      <w:tr w14:paraId="7719C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14:paraId="12DAEEF9">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一、价格部分（满分</w:t>
            </w: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tc>
      </w:tr>
      <w:tr w14:paraId="5E54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53C169D3">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14:paraId="199168D6">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14:paraId="2ED68303">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14:paraId="22DC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7BA8E37E">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w:t>
            </w:r>
          </w:p>
          <w:p w14:paraId="2B809CBA">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6407" w:type="dxa"/>
            <w:tcBorders>
              <w:top w:val="single" w:color="auto" w:sz="4" w:space="0"/>
              <w:left w:val="single" w:color="auto" w:sz="4" w:space="0"/>
              <w:bottom w:val="single" w:color="auto" w:sz="4" w:space="0"/>
              <w:right w:val="single" w:color="auto" w:sz="4" w:space="0"/>
            </w:tcBorders>
            <w:noWrap/>
            <w:vAlign w:val="center"/>
          </w:tcPr>
          <w:p w14:paraId="6C9DD75B">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评标基准价：满足招标文件要求的有效投标报价中，最低的投标报价为评标基准价。</w:t>
            </w:r>
          </w:p>
          <w:p w14:paraId="30C361A0">
            <w:pPr>
              <w:tabs>
                <w:tab w:val="left" w:pos="1260"/>
              </w:tabs>
              <w:autoSpaceDE w:val="0"/>
              <w:autoSpaceDN w:val="0"/>
              <w:spacing w:line="360" w:lineRule="auto"/>
              <w:ind w:firstLine="420" w:firstLineChars="200"/>
              <w:contextualSpacing/>
              <w:rPr>
                <w:rFonts w:hint="eastAsia" w:ascii="宋体" w:hAnsi="宋体" w:cs="仿宋_GB2312"/>
                <w:szCs w:val="21"/>
                <w:lang w:val="en-US" w:eastAsia="zh-CN"/>
              </w:rPr>
            </w:pPr>
            <w:r>
              <w:rPr>
                <w:rFonts w:hint="eastAsia" w:ascii="宋体" w:hAnsi="宋体" w:cs="仿宋_GB2312"/>
                <w:szCs w:val="21"/>
                <w:lang w:val="zh-CN"/>
              </w:rPr>
              <w:t>投标报价得分=（评标基准价/投标报价）×</w:t>
            </w:r>
            <w:r>
              <w:rPr>
                <w:rFonts w:hint="eastAsia" w:ascii="宋体" w:hAnsi="宋体" w:cs="仿宋_GB2312"/>
                <w:szCs w:val="21"/>
                <w:lang w:val="en-US" w:eastAsia="zh-CN"/>
              </w:rPr>
              <w:t>30</w:t>
            </w:r>
          </w:p>
          <w:p w14:paraId="13EFF123">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计算按四舍五入法则。保留小数点后两位。</w:t>
            </w:r>
          </w:p>
          <w:p w14:paraId="1031FBB5">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ascii="宋体" w:hAnsi="宋体" w:eastAsia="宋体" w:cs="仿宋_GB2312"/>
                <w:kern w:val="2"/>
                <w:sz w:val="21"/>
                <w:szCs w:val="21"/>
                <w:lang w:val="zh-CN" w:eastAsia="zh-CN" w:bidi="ar-SA"/>
              </w:rPr>
              <w:t>注:当投标人的报价明显低于常规报价，评标委员会认为该投标人的最低投标报价或者某些小项报价明显不合理或者明显低于其他通过符合性审查投标人的报价，有可能影响产品质量或者不能诚信履约的</w:t>
            </w:r>
            <w:r>
              <w:rPr>
                <w:rFonts w:hint="eastAsia" w:ascii="宋体" w:hAnsi="宋体" w:eastAsia="宋体" w:cs="仿宋_GB2312"/>
                <w:kern w:val="2"/>
                <w:sz w:val="21"/>
                <w:szCs w:val="21"/>
                <w:lang w:val="en-US" w:eastAsia="zh-CN" w:bidi="ar-SA"/>
              </w:rPr>
              <w:t>,</w:t>
            </w:r>
            <w:r>
              <w:rPr>
                <w:rFonts w:hint="eastAsia" w:ascii="宋体" w:hAnsi="宋体" w:eastAsia="宋体" w:cs="仿宋_GB2312"/>
                <w:kern w:val="2"/>
                <w:sz w:val="21"/>
                <w:szCs w:val="21"/>
                <w:lang w:val="zh-CN" w:eastAsia="zh-CN" w:bidi="ar-SA"/>
              </w:rPr>
              <w:t>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92" w:type="dxa"/>
            <w:tcBorders>
              <w:top w:val="single" w:color="auto" w:sz="4" w:space="0"/>
              <w:left w:val="single" w:color="auto" w:sz="4" w:space="0"/>
              <w:bottom w:val="single" w:color="auto" w:sz="4" w:space="0"/>
              <w:right w:val="single" w:color="auto" w:sz="4" w:space="0"/>
            </w:tcBorders>
            <w:noWrap/>
            <w:vAlign w:val="center"/>
          </w:tcPr>
          <w:p w14:paraId="19F8B0EB">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tc>
      </w:tr>
      <w:tr w14:paraId="206A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14:paraId="01DC3F3F">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二、商务部分（满分</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0分）</w:t>
            </w:r>
          </w:p>
        </w:tc>
      </w:tr>
      <w:tr w14:paraId="31C3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5BCCD443">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14:paraId="5B2375F4">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ab/>
            </w:r>
            <w:r>
              <w:rPr>
                <w:rFonts w:hint="eastAsia" w:cs="仿宋_GB2312" w:asciiTheme="minorEastAsia" w:hAnsiTheme="minorEastAsia"/>
                <w:szCs w:val="21"/>
                <w:lang w:val="zh-CN"/>
              </w:rPr>
              <w:tab/>
            </w:r>
            <w:r>
              <w:rPr>
                <w:rFonts w:hint="eastAsia" w:cs="仿宋_GB2312" w:asciiTheme="minorEastAsia" w:hAnsiTheme="minorEastAsia"/>
                <w:szCs w:val="21"/>
                <w:lang w:val="zh-CN"/>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14:paraId="0534E9D9">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14:paraId="7591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580C71DF">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eastAsia="zh-CN"/>
              </w:rPr>
              <w:t>类似业绩</w:t>
            </w:r>
          </w:p>
        </w:tc>
        <w:tc>
          <w:tcPr>
            <w:tcW w:w="6407" w:type="dxa"/>
            <w:tcBorders>
              <w:top w:val="single" w:color="auto" w:sz="4" w:space="0"/>
              <w:left w:val="single" w:color="auto" w:sz="4" w:space="0"/>
              <w:bottom w:val="single" w:color="auto" w:sz="4" w:space="0"/>
              <w:right w:val="single" w:color="auto" w:sz="4" w:space="0"/>
            </w:tcBorders>
            <w:noWrap/>
            <w:vAlign w:val="center"/>
          </w:tcPr>
          <w:p w14:paraId="397667DF">
            <w:pPr>
              <w:tabs>
                <w:tab w:val="left" w:pos="1260"/>
              </w:tabs>
              <w:autoSpaceDE w:val="0"/>
              <w:autoSpaceDN w:val="0"/>
              <w:spacing w:line="360" w:lineRule="auto"/>
              <w:ind w:firstLine="420" w:firstLineChars="200"/>
              <w:contextualSpacing/>
              <w:rPr>
                <w:rFonts w:hint="eastAsia" w:ascii="宋体" w:hAnsi="宋体" w:cs="仿宋_GB2312"/>
                <w:szCs w:val="21"/>
                <w:lang w:val="zh-CN" w:eastAsia="zh-CN"/>
              </w:rPr>
            </w:pPr>
            <w:r>
              <w:rPr>
                <w:rFonts w:hint="eastAsia" w:ascii="宋体" w:hAnsi="宋体" w:cs="仿宋_GB2312"/>
                <w:szCs w:val="21"/>
                <w:lang w:val="en-US" w:eastAsia="zh-CN"/>
              </w:rPr>
              <w:t>投标人提供</w:t>
            </w:r>
            <w:r>
              <w:rPr>
                <w:rFonts w:hint="eastAsia" w:ascii="宋体" w:hAnsi="宋体" w:cs="仿宋_GB2312"/>
                <w:szCs w:val="21"/>
                <w:lang w:val="zh-CN" w:eastAsia="zh-CN"/>
              </w:rPr>
              <w:t>20</w:t>
            </w:r>
            <w:r>
              <w:rPr>
                <w:rFonts w:hint="eastAsia" w:ascii="宋体" w:hAnsi="宋体" w:cs="仿宋_GB2312"/>
                <w:szCs w:val="21"/>
                <w:lang w:val="en-US" w:eastAsia="zh-CN"/>
              </w:rPr>
              <w:t>22</w:t>
            </w:r>
            <w:r>
              <w:rPr>
                <w:rFonts w:hint="eastAsia" w:ascii="宋体" w:hAnsi="宋体" w:cs="仿宋_GB2312"/>
                <w:szCs w:val="21"/>
                <w:lang w:val="zh-CN" w:eastAsia="zh-CN"/>
              </w:rPr>
              <w:t>年</w:t>
            </w:r>
            <w:r>
              <w:rPr>
                <w:rFonts w:hint="eastAsia" w:ascii="宋体" w:hAnsi="宋体" w:cs="仿宋_GB2312"/>
                <w:szCs w:val="21"/>
                <w:lang w:val="en-US" w:eastAsia="zh-CN"/>
              </w:rPr>
              <w:t>1</w:t>
            </w:r>
            <w:r>
              <w:rPr>
                <w:rFonts w:hint="eastAsia" w:ascii="宋体" w:hAnsi="宋体" w:cs="仿宋_GB2312"/>
                <w:szCs w:val="21"/>
                <w:lang w:val="zh-CN" w:eastAsia="zh-CN"/>
              </w:rPr>
              <w:t>月1日以来</w:t>
            </w:r>
            <w:r>
              <w:rPr>
                <w:rFonts w:hint="eastAsia" w:ascii="宋体" w:hAnsi="宋体" w:cs="仿宋_GB2312"/>
                <w:szCs w:val="21"/>
                <w:lang w:val="en-US" w:eastAsia="zh-CN"/>
              </w:rPr>
              <w:t>同</w:t>
            </w:r>
            <w:r>
              <w:rPr>
                <w:rFonts w:hint="eastAsia" w:ascii="宋体" w:hAnsi="宋体" w:cs="仿宋_GB2312"/>
                <w:szCs w:val="21"/>
                <w:lang w:val="zh-CN" w:eastAsia="zh-CN"/>
              </w:rPr>
              <w:t>类项目业绩每</w:t>
            </w:r>
            <w:r>
              <w:rPr>
                <w:rFonts w:hint="eastAsia" w:ascii="宋体" w:hAnsi="宋体" w:cs="仿宋_GB2312"/>
                <w:szCs w:val="21"/>
                <w:lang w:val="en-US" w:eastAsia="zh-CN"/>
              </w:rPr>
              <w:t>有</w:t>
            </w:r>
            <w:r>
              <w:rPr>
                <w:rFonts w:hint="eastAsia" w:ascii="宋体" w:hAnsi="宋体" w:cs="仿宋_GB2312"/>
                <w:szCs w:val="21"/>
                <w:lang w:val="zh-CN" w:eastAsia="zh-CN"/>
              </w:rPr>
              <w:t>一项得</w:t>
            </w:r>
            <w:r>
              <w:rPr>
                <w:rFonts w:hint="eastAsia" w:ascii="宋体" w:hAnsi="宋体" w:cs="仿宋_GB2312"/>
                <w:szCs w:val="21"/>
                <w:lang w:val="en-US" w:eastAsia="zh-CN"/>
              </w:rPr>
              <w:t>5</w:t>
            </w:r>
            <w:r>
              <w:rPr>
                <w:rFonts w:hint="eastAsia" w:ascii="宋体" w:hAnsi="宋体" w:cs="仿宋_GB2312"/>
                <w:szCs w:val="21"/>
                <w:lang w:val="zh-CN" w:eastAsia="zh-CN"/>
              </w:rPr>
              <w:t>分，最高得</w:t>
            </w:r>
            <w:r>
              <w:rPr>
                <w:rFonts w:hint="eastAsia" w:ascii="宋体" w:hAnsi="宋体" w:cs="仿宋_GB2312"/>
                <w:szCs w:val="21"/>
                <w:lang w:val="en-US" w:eastAsia="zh-CN"/>
              </w:rPr>
              <w:t>15</w:t>
            </w:r>
            <w:r>
              <w:rPr>
                <w:rFonts w:hint="eastAsia" w:ascii="宋体" w:hAnsi="宋体" w:cs="仿宋_GB2312"/>
                <w:szCs w:val="21"/>
                <w:lang w:val="zh-CN" w:eastAsia="zh-CN"/>
              </w:rPr>
              <w:t>分。</w:t>
            </w:r>
          </w:p>
          <w:p w14:paraId="3C08ABB2">
            <w:pPr>
              <w:tabs>
                <w:tab w:val="left" w:pos="1260"/>
              </w:tabs>
              <w:autoSpaceDE w:val="0"/>
              <w:autoSpaceDN w:val="0"/>
              <w:spacing w:line="360" w:lineRule="auto"/>
              <w:ind w:firstLine="420" w:firstLineChars="200"/>
              <w:contextualSpacing/>
              <w:rPr>
                <w:rFonts w:hint="eastAsia" w:ascii="宋体" w:hAnsi="宋体" w:cs="仿宋_GB2312"/>
                <w:szCs w:val="21"/>
                <w:lang w:val="en-US" w:eastAsia="zh-CN"/>
              </w:rPr>
            </w:pPr>
            <w:r>
              <w:rPr>
                <w:rFonts w:hint="eastAsia" w:ascii="宋体" w:hAnsi="宋体" w:cs="仿宋_GB2312"/>
                <w:szCs w:val="21"/>
                <w:lang w:val="en-US" w:eastAsia="zh-CN"/>
              </w:rPr>
              <w:t>注：（1）</w:t>
            </w:r>
            <w:r>
              <w:rPr>
                <w:rFonts w:hint="eastAsia" w:ascii="宋体" w:hAnsi="宋体" w:cs="仿宋_GB2312"/>
                <w:szCs w:val="21"/>
                <w:lang w:val="zh-CN" w:eastAsia="zh-CN"/>
              </w:rPr>
              <w:t>“</w:t>
            </w:r>
            <w:r>
              <w:rPr>
                <w:rFonts w:hint="eastAsia" w:ascii="宋体" w:hAnsi="宋体" w:cs="仿宋_GB2312"/>
                <w:szCs w:val="21"/>
                <w:lang w:val="en-US" w:eastAsia="zh-CN"/>
              </w:rPr>
              <w:t>同类项目”是指投标人以往承担过的项目标的或服务内容、服务标准与本次招标的标的或服务内容、服务标准同类。</w:t>
            </w:r>
          </w:p>
          <w:p w14:paraId="02CA3D96">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ascii="宋体" w:hAnsi="宋体" w:cs="仿宋_GB2312"/>
                <w:szCs w:val="21"/>
                <w:lang w:val="en-US" w:eastAsia="zh-CN"/>
              </w:rPr>
              <w:t>（2）</w:t>
            </w:r>
            <w:r>
              <w:rPr>
                <w:rFonts w:hint="eastAsia" w:ascii="宋体" w:hAnsi="宋体" w:cs="仿宋_GB2312"/>
                <w:szCs w:val="21"/>
                <w:lang w:val="zh-CN" w:eastAsia="zh-CN"/>
              </w:rPr>
              <w:t>以中标通知书或合同书为准，标书中附扫描件。</w:t>
            </w:r>
            <w:r>
              <w:rPr>
                <w:rFonts w:hint="eastAsia" w:ascii="宋体" w:hAnsi="宋体" w:cs="仿宋_GB2312"/>
                <w:szCs w:val="21"/>
                <w:lang w:val="en-US" w:eastAsia="zh-CN"/>
              </w:rPr>
              <w:t>提供合同的，合同内容必须包含合同首页、金额所在页、签订时间、双方签字盖章页。</w:t>
            </w:r>
          </w:p>
        </w:tc>
        <w:tc>
          <w:tcPr>
            <w:tcW w:w="992" w:type="dxa"/>
            <w:tcBorders>
              <w:top w:val="single" w:color="auto" w:sz="4" w:space="0"/>
              <w:left w:val="single" w:color="auto" w:sz="4" w:space="0"/>
              <w:bottom w:val="single" w:color="auto" w:sz="4" w:space="0"/>
              <w:right w:val="single" w:color="auto" w:sz="4" w:space="0"/>
            </w:tcBorders>
            <w:noWrap/>
            <w:vAlign w:val="center"/>
          </w:tcPr>
          <w:p w14:paraId="436574FA">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15</w:t>
            </w:r>
            <w:r>
              <w:rPr>
                <w:rFonts w:hint="eastAsia" w:cs="仿宋_GB2312" w:asciiTheme="minorEastAsia" w:hAnsiTheme="minorEastAsia"/>
                <w:szCs w:val="21"/>
                <w:lang w:val="zh-CN"/>
              </w:rPr>
              <w:t>分</w:t>
            </w:r>
          </w:p>
        </w:tc>
      </w:tr>
      <w:tr w14:paraId="5B8D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0FA395A3">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综合实力</w:t>
            </w:r>
          </w:p>
        </w:tc>
        <w:tc>
          <w:tcPr>
            <w:tcW w:w="6407" w:type="dxa"/>
            <w:tcBorders>
              <w:top w:val="single" w:color="auto" w:sz="4" w:space="0"/>
              <w:left w:val="nil"/>
              <w:bottom w:val="single" w:color="auto" w:sz="4" w:space="0"/>
              <w:right w:val="single" w:color="auto" w:sz="4" w:space="0"/>
            </w:tcBorders>
            <w:noWrap/>
            <w:vAlign w:val="center"/>
          </w:tcPr>
          <w:p w14:paraId="11C24319">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en-US" w:eastAsia="zh-CN"/>
              </w:rPr>
              <w:t>1</w:t>
            </w:r>
            <w:r>
              <w:rPr>
                <w:rFonts w:hint="eastAsia" w:ascii="宋体" w:hAnsi="宋体" w:cs="仿宋_GB2312"/>
                <w:szCs w:val="21"/>
                <w:lang w:val="zh-CN"/>
              </w:rPr>
              <w:t>、20</w:t>
            </w:r>
            <w:r>
              <w:rPr>
                <w:rFonts w:hint="eastAsia" w:ascii="宋体" w:hAnsi="宋体" w:cs="仿宋_GB2312"/>
                <w:szCs w:val="21"/>
                <w:lang w:val="en-US" w:eastAsia="zh-CN"/>
              </w:rPr>
              <w:t>22</w:t>
            </w:r>
            <w:r>
              <w:rPr>
                <w:rFonts w:hint="eastAsia" w:ascii="宋体" w:hAnsi="宋体" w:cs="仿宋_GB2312"/>
                <w:szCs w:val="21"/>
                <w:lang w:val="zh-CN"/>
              </w:rPr>
              <w:t>年1月1日以来服务的物业管理项目荣获县市级优秀荣誉称号的每个得1分，荣获地市级及以上优秀荣誉称号的每个得2分，本项最多得</w:t>
            </w:r>
            <w:r>
              <w:rPr>
                <w:rFonts w:hint="eastAsia" w:ascii="宋体" w:hAnsi="宋体" w:cs="仿宋_GB2312"/>
                <w:szCs w:val="21"/>
                <w:lang w:val="en-US" w:eastAsia="zh-CN"/>
              </w:rPr>
              <w:t>6</w:t>
            </w:r>
            <w:r>
              <w:rPr>
                <w:rFonts w:hint="eastAsia" w:ascii="宋体" w:hAnsi="宋体" w:cs="仿宋_GB2312"/>
                <w:szCs w:val="21"/>
                <w:lang w:val="zh-CN"/>
              </w:rPr>
              <w:t>分（标书附相关资料</w:t>
            </w:r>
            <w:r>
              <w:rPr>
                <w:rFonts w:hint="eastAsia" w:ascii="宋体" w:hAnsi="宋体" w:cs="仿宋_GB2312"/>
                <w:szCs w:val="21"/>
                <w:lang w:val="en-US" w:eastAsia="zh-CN"/>
              </w:rPr>
              <w:t>扫描</w:t>
            </w:r>
            <w:r>
              <w:rPr>
                <w:rFonts w:hint="eastAsia" w:ascii="宋体" w:hAnsi="宋体" w:cs="仿宋_GB2312"/>
                <w:szCs w:val="21"/>
                <w:lang w:val="zh-CN"/>
              </w:rPr>
              <w:t>件）</w:t>
            </w:r>
          </w:p>
          <w:p w14:paraId="4C35B7BB">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ascii="宋体" w:hAnsi="宋体" w:cs="仿宋_GB2312"/>
                <w:szCs w:val="21"/>
                <w:lang w:val="en-US" w:eastAsia="zh-CN"/>
              </w:rPr>
              <w:t>3、2022年1月1日以来投标人荣获县市级“先进单位”荣誉称号的得2分，地市级及以上“先进企业”荣誉称号的得4分，本项最多得6分。</w:t>
            </w:r>
            <w:r>
              <w:rPr>
                <w:rFonts w:hint="eastAsia" w:ascii="宋体" w:hAnsi="宋体" w:cs="仿宋_GB2312"/>
                <w:szCs w:val="21"/>
                <w:lang w:val="zh-CN"/>
              </w:rPr>
              <w:t>（标书附相关资料原件</w:t>
            </w:r>
            <w:r>
              <w:rPr>
                <w:rFonts w:hint="eastAsia" w:ascii="宋体" w:hAnsi="宋体" w:cs="仿宋_GB2312"/>
                <w:szCs w:val="21"/>
                <w:lang w:val="en-US" w:eastAsia="zh-CN"/>
              </w:rPr>
              <w:t>扫描件</w:t>
            </w:r>
            <w:r>
              <w:rPr>
                <w:rFonts w:hint="eastAsia" w:ascii="宋体" w:hAnsi="宋体" w:cs="仿宋_GB2312"/>
                <w:szCs w:val="21"/>
                <w:lang w:val="zh-CN"/>
              </w:rPr>
              <w:t>）</w:t>
            </w:r>
          </w:p>
        </w:tc>
        <w:tc>
          <w:tcPr>
            <w:tcW w:w="992" w:type="dxa"/>
            <w:tcBorders>
              <w:top w:val="single" w:color="auto" w:sz="4" w:space="0"/>
              <w:left w:val="single" w:color="auto" w:sz="4" w:space="0"/>
              <w:bottom w:val="single" w:color="auto" w:sz="4" w:space="0"/>
              <w:right w:val="single" w:color="auto" w:sz="4" w:space="0"/>
            </w:tcBorders>
            <w:noWrap/>
            <w:vAlign w:val="center"/>
          </w:tcPr>
          <w:p w14:paraId="41CE0E42">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12分</w:t>
            </w:r>
          </w:p>
        </w:tc>
      </w:tr>
      <w:tr w14:paraId="21C9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4E713356">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人员配备</w:t>
            </w:r>
          </w:p>
        </w:tc>
        <w:tc>
          <w:tcPr>
            <w:tcW w:w="6407" w:type="dxa"/>
            <w:tcBorders>
              <w:top w:val="single" w:color="auto" w:sz="4" w:space="0"/>
              <w:left w:val="nil"/>
              <w:bottom w:val="single" w:color="auto" w:sz="4" w:space="0"/>
              <w:right w:val="single" w:color="auto" w:sz="4" w:space="0"/>
            </w:tcBorders>
            <w:noWrap/>
            <w:vAlign w:val="center"/>
          </w:tcPr>
          <w:p w14:paraId="0E355DE7">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ascii="宋体" w:hAnsi="宋体" w:cs="仿宋_GB2312"/>
                <w:szCs w:val="21"/>
                <w:lang w:val="en-US" w:eastAsia="zh-CN"/>
              </w:rPr>
              <w:t>拟派</w:t>
            </w:r>
            <w:r>
              <w:rPr>
                <w:rFonts w:hint="eastAsia" w:ascii="宋体" w:hAnsi="宋体" w:cs="仿宋_GB2312"/>
                <w:szCs w:val="21"/>
                <w:lang w:val="zh-CN"/>
              </w:rPr>
              <w:t>项目负责人具有大专及以上学历的得</w:t>
            </w:r>
            <w:r>
              <w:rPr>
                <w:rFonts w:hint="eastAsia" w:ascii="宋体" w:hAnsi="宋体" w:cs="仿宋_GB2312"/>
                <w:szCs w:val="21"/>
                <w:lang w:val="en-US" w:eastAsia="zh-CN"/>
              </w:rPr>
              <w:t>3</w:t>
            </w:r>
            <w:r>
              <w:rPr>
                <w:rFonts w:hint="eastAsia" w:ascii="宋体" w:hAnsi="宋体" w:cs="仿宋_GB2312"/>
                <w:szCs w:val="21"/>
                <w:lang w:val="zh-CN"/>
              </w:rPr>
              <w:t>分。（需提供学历证书及学信网下载的“教育部学历证明电子信息备案表”）（标书附相关资料原件</w:t>
            </w:r>
            <w:r>
              <w:rPr>
                <w:rFonts w:hint="eastAsia" w:ascii="宋体" w:hAnsi="宋体" w:cs="仿宋_GB2312"/>
                <w:szCs w:val="21"/>
                <w:lang w:val="en-US" w:eastAsia="zh-CN"/>
              </w:rPr>
              <w:t>扫描</w:t>
            </w:r>
            <w:r>
              <w:rPr>
                <w:rFonts w:hint="eastAsia" w:ascii="宋体" w:hAnsi="宋体" w:cs="仿宋_GB2312"/>
                <w:szCs w:val="21"/>
                <w:lang w:val="zh-CN"/>
              </w:rPr>
              <w:t>件）</w:t>
            </w:r>
          </w:p>
        </w:tc>
        <w:tc>
          <w:tcPr>
            <w:tcW w:w="992" w:type="dxa"/>
            <w:tcBorders>
              <w:top w:val="single" w:color="auto" w:sz="4" w:space="0"/>
              <w:left w:val="single" w:color="auto" w:sz="4" w:space="0"/>
              <w:bottom w:val="single" w:color="auto" w:sz="4" w:space="0"/>
              <w:right w:val="single" w:color="auto" w:sz="4" w:space="0"/>
            </w:tcBorders>
            <w:noWrap/>
            <w:vAlign w:val="center"/>
          </w:tcPr>
          <w:p w14:paraId="02B4E927">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3分</w:t>
            </w:r>
          </w:p>
        </w:tc>
      </w:tr>
      <w:tr w14:paraId="0362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14:paraId="044DC3B1">
            <w:pPr>
              <w:tabs>
                <w:tab w:val="left" w:pos="1260"/>
              </w:tabs>
              <w:autoSpaceDE w:val="0"/>
              <w:autoSpaceDN w:val="0"/>
              <w:spacing w:line="360" w:lineRule="auto"/>
              <w:ind w:firstLine="1890" w:firstLineChars="9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三、技术部分（满分4</w:t>
            </w:r>
            <w:r>
              <w:rPr>
                <w:rFonts w:hint="eastAsia" w:cs="仿宋_GB2312" w:asciiTheme="minorEastAsia" w:hAnsiTheme="minorEastAsia"/>
                <w:szCs w:val="21"/>
                <w:lang w:val="en-US" w:eastAsia="zh-CN"/>
              </w:rPr>
              <w:t>0</w:t>
            </w:r>
            <w:r>
              <w:rPr>
                <w:rFonts w:hint="eastAsia" w:cs="仿宋_GB2312" w:asciiTheme="minorEastAsia" w:hAnsiTheme="minorEastAsia"/>
                <w:szCs w:val="21"/>
                <w:lang w:val="zh-CN"/>
              </w:rPr>
              <w:t>分）</w:t>
            </w:r>
          </w:p>
        </w:tc>
      </w:tr>
      <w:tr w14:paraId="2DF10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126B316E">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14:paraId="72D0DF97">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14:paraId="67BBB622">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14:paraId="5CF6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68" w:type="dxa"/>
            <w:tcBorders>
              <w:top w:val="single" w:color="auto" w:sz="4" w:space="0"/>
              <w:left w:val="single" w:color="auto" w:sz="4" w:space="0"/>
              <w:right w:val="single" w:color="auto" w:sz="4" w:space="0"/>
            </w:tcBorders>
            <w:shd w:val="clear" w:color="auto" w:fill="auto"/>
            <w:noWrap/>
            <w:vAlign w:val="center"/>
          </w:tcPr>
          <w:p w14:paraId="1D893876">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技术方案</w:t>
            </w:r>
          </w:p>
        </w:tc>
        <w:tc>
          <w:tcPr>
            <w:tcW w:w="6407" w:type="dxa"/>
            <w:tcBorders>
              <w:top w:val="nil"/>
              <w:left w:val="nil"/>
              <w:bottom w:val="single" w:color="auto" w:sz="4" w:space="0"/>
              <w:right w:val="single" w:color="auto" w:sz="4" w:space="0"/>
            </w:tcBorders>
            <w:noWrap/>
            <w:vAlign w:val="center"/>
          </w:tcPr>
          <w:p w14:paraId="426EF719">
            <w:pPr>
              <w:tabs>
                <w:tab w:val="left" w:pos="1260"/>
              </w:tabs>
              <w:autoSpaceDE w:val="0"/>
              <w:autoSpaceDN w:val="0"/>
              <w:spacing w:line="360" w:lineRule="auto"/>
              <w:ind w:firstLine="420" w:firstLineChars="200"/>
              <w:contextualSpacing/>
              <w:rPr>
                <w:rFonts w:hint="eastAsia" w:ascii="宋体" w:hAnsi="宋体" w:cs="仿宋_GB2312"/>
                <w:szCs w:val="21"/>
                <w:lang w:val="en-US" w:eastAsia="zh-CN"/>
              </w:rPr>
            </w:pPr>
            <w:r>
              <w:rPr>
                <w:rFonts w:hint="eastAsia" w:ascii="宋体" w:hAnsi="宋体" w:cs="仿宋_GB2312"/>
                <w:szCs w:val="21"/>
                <w:lang w:val="en-US" w:eastAsia="zh-CN"/>
              </w:rPr>
              <w:t>1.投标人提供针对本项目服务的工作实施方案，包括①人员招聘定岗②作业方式③作业频次④作业程序。每项内容全面详细可行的得 6 分，不缺项且仅做简单描述得3分，缺项或不提供不得分。</w:t>
            </w:r>
          </w:p>
          <w:p w14:paraId="4D4549E0">
            <w:pPr>
              <w:tabs>
                <w:tab w:val="left" w:pos="1260"/>
              </w:tabs>
              <w:autoSpaceDE w:val="0"/>
              <w:autoSpaceDN w:val="0"/>
              <w:spacing w:line="360" w:lineRule="auto"/>
              <w:ind w:firstLine="420" w:firstLineChars="200"/>
              <w:contextualSpacing/>
              <w:rPr>
                <w:rFonts w:hint="eastAsia" w:ascii="宋体" w:hAnsi="宋体" w:cs="仿宋_GB2312"/>
                <w:szCs w:val="21"/>
                <w:lang w:val="en-US" w:eastAsia="zh-CN"/>
              </w:rPr>
            </w:pPr>
            <w:r>
              <w:rPr>
                <w:rFonts w:hint="eastAsia" w:ascii="宋体" w:hAnsi="宋体" w:cs="仿宋_GB2312"/>
                <w:szCs w:val="21"/>
                <w:lang w:val="en-US" w:eastAsia="zh-CN"/>
              </w:rPr>
              <w:t>2.投标人针对本项目服务的日常管理制度，包括①劳务人员安排②劳务人员调配③劳务人员交接④岗位职责⑤操作流程。每项内容全面详细可行的得 6 分，不缺项且仅做简单描述得3分，缺项或不提供不得分。</w:t>
            </w:r>
          </w:p>
          <w:p w14:paraId="325FC8C8">
            <w:pPr>
              <w:tabs>
                <w:tab w:val="left" w:pos="1260"/>
              </w:tabs>
              <w:autoSpaceDE w:val="0"/>
              <w:autoSpaceDN w:val="0"/>
              <w:spacing w:line="360" w:lineRule="auto"/>
              <w:ind w:firstLine="420" w:firstLineChars="200"/>
              <w:contextualSpacing/>
              <w:rPr>
                <w:rFonts w:hint="eastAsia" w:ascii="宋体" w:hAnsi="宋体" w:cs="仿宋_GB2312"/>
                <w:szCs w:val="21"/>
                <w:lang w:val="en-US" w:eastAsia="zh-CN"/>
              </w:rPr>
            </w:pPr>
            <w:r>
              <w:rPr>
                <w:rFonts w:hint="eastAsia" w:ascii="宋体" w:hAnsi="宋体" w:cs="仿宋_GB2312"/>
                <w:szCs w:val="21"/>
                <w:lang w:val="en-US" w:eastAsia="zh-CN"/>
              </w:rPr>
              <w:t>3.投标人提供针对本项目服务的拟派人员管理方案，包括①工具及耗材管理②人员配备③管理制度。每项内容全面详细可行的得 6 分，不缺项且仅做简单描述得3分，缺项或不提供不得分。</w:t>
            </w:r>
          </w:p>
          <w:p w14:paraId="5A58508E">
            <w:pPr>
              <w:tabs>
                <w:tab w:val="left" w:pos="1260"/>
              </w:tabs>
              <w:autoSpaceDE w:val="0"/>
              <w:autoSpaceDN w:val="0"/>
              <w:spacing w:line="360" w:lineRule="auto"/>
              <w:ind w:firstLine="420" w:firstLineChars="200"/>
              <w:contextualSpacing/>
              <w:rPr>
                <w:rFonts w:hint="eastAsia" w:ascii="宋体" w:hAnsi="宋体" w:cs="仿宋_GB2312"/>
                <w:szCs w:val="21"/>
                <w:lang w:val="en-US" w:eastAsia="zh-CN"/>
              </w:rPr>
            </w:pPr>
            <w:r>
              <w:rPr>
                <w:rFonts w:hint="eastAsia" w:ascii="宋体" w:hAnsi="宋体" w:cs="仿宋_GB2312"/>
                <w:szCs w:val="21"/>
                <w:lang w:val="en-US" w:eastAsia="zh-CN"/>
              </w:rPr>
              <w:t>4.投标人提供针对本项目服务的人员培训方案，包括①劳务人员岗位标准②专业知识技能③沟通与管理技能④礼节礼貌⑤培训效果评估。每项内容全面详细可行的得</w:t>
            </w:r>
            <w:r>
              <w:rPr>
                <w:rFonts w:hint="eastAsia" w:ascii="宋体" w:hAnsi="宋体" w:cs="仿宋_GB2312"/>
                <w:szCs w:val="21"/>
                <w:highlight w:val="none"/>
                <w:lang w:val="en-US" w:eastAsia="zh-CN"/>
              </w:rPr>
              <w:t xml:space="preserve"> 5 </w:t>
            </w:r>
            <w:r>
              <w:rPr>
                <w:rFonts w:hint="eastAsia" w:ascii="宋体" w:hAnsi="宋体" w:cs="仿宋_GB2312"/>
                <w:szCs w:val="21"/>
                <w:lang w:val="en-US" w:eastAsia="zh-CN"/>
              </w:rPr>
              <w:t>分，不缺项且仅做简单描述得3分，缺项或不提供不得分。</w:t>
            </w:r>
          </w:p>
          <w:p w14:paraId="3DD5D1A3">
            <w:pPr>
              <w:tabs>
                <w:tab w:val="left" w:pos="1260"/>
              </w:tabs>
              <w:autoSpaceDE w:val="0"/>
              <w:autoSpaceDN w:val="0"/>
              <w:spacing w:line="360" w:lineRule="auto"/>
              <w:ind w:firstLine="420" w:firstLineChars="200"/>
              <w:contextualSpacing/>
              <w:rPr>
                <w:rFonts w:hint="eastAsia" w:ascii="宋体" w:hAnsi="宋体" w:cs="仿宋_GB2312"/>
                <w:szCs w:val="21"/>
                <w:lang w:val="en-US" w:eastAsia="zh-CN"/>
              </w:rPr>
            </w:pPr>
            <w:r>
              <w:rPr>
                <w:rFonts w:hint="eastAsia" w:ascii="宋体" w:hAnsi="宋体" w:cs="仿宋_GB2312"/>
                <w:szCs w:val="21"/>
                <w:lang w:val="en-US" w:eastAsia="zh-CN"/>
              </w:rPr>
              <w:t>5.投标人提供针对本项目服务质量保证措施方案，包括①人员素质保障②环境质量管理③设施设备质量④便民服务质量。每项内容全面详细可行的得 6 分，不缺项且仅做简单描述得3分，缺项或不提供不得分。</w:t>
            </w:r>
          </w:p>
          <w:p w14:paraId="49FC27E7">
            <w:pPr>
              <w:tabs>
                <w:tab w:val="left" w:pos="1260"/>
              </w:tabs>
              <w:autoSpaceDE w:val="0"/>
              <w:autoSpaceDN w:val="0"/>
              <w:spacing w:line="360" w:lineRule="auto"/>
              <w:ind w:firstLine="420" w:firstLineChars="200"/>
              <w:contextualSpacing/>
              <w:rPr>
                <w:rFonts w:hint="eastAsia" w:ascii="宋体" w:hAnsi="宋体" w:cs="仿宋_GB2312"/>
                <w:szCs w:val="21"/>
                <w:lang w:val="en-US" w:eastAsia="zh-CN"/>
              </w:rPr>
            </w:pPr>
            <w:r>
              <w:rPr>
                <w:rFonts w:hint="eastAsia" w:ascii="宋体" w:hAnsi="宋体" w:cs="仿宋_GB2312"/>
                <w:szCs w:val="21"/>
                <w:lang w:val="en-US" w:eastAsia="zh-CN"/>
              </w:rPr>
              <w:t>6、投标人提供针对本项目服务的应急预案，包括①预警和监测②应急响应流程③应急服务响应时间④风险和识别评估⑤服务过程中遇到恶劣天气⑥紧急事故处理预案解决办法。每项内容全面详细可行的得 6 分，不缺项且仅做简单描述得3分，缺项或不提供不得分。</w:t>
            </w:r>
          </w:p>
          <w:p w14:paraId="2B472B5F">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ascii="宋体" w:hAnsi="宋体" w:cs="仿宋_GB2312"/>
                <w:szCs w:val="21"/>
                <w:lang w:val="en-US" w:eastAsia="zh-CN"/>
              </w:rPr>
              <w:t>7、投标人提供针对本项目服务的监督及客户反馈机制，包括①反馈信息的收集②反馈信息的核实③反馈信息解决办法。每项内容全面详细可行的得 5 分，不缺项且仅做简单描述得3分，缺项或不提供不得分。</w:t>
            </w:r>
          </w:p>
        </w:tc>
        <w:tc>
          <w:tcPr>
            <w:tcW w:w="992" w:type="dxa"/>
            <w:tcBorders>
              <w:top w:val="single" w:color="auto" w:sz="4" w:space="0"/>
              <w:left w:val="single" w:color="auto" w:sz="4" w:space="0"/>
              <w:bottom w:val="single" w:color="auto" w:sz="4" w:space="0"/>
              <w:right w:val="single" w:color="auto" w:sz="4" w:space="0"/>
            </w:tcBorders>
            <w:noWrap/>
            <w:vAlign w:val="center"/>
          </w:tcPr>
          <w:p w14:paraId="6B40AAC4">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40分</w:t>
            </w:r>
          </w:p>
        </w:tc>
      </w:tr>
    </w:tbl>
    <w:p w14:paraId="0CBE37B2">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p>
    <w:p w14:paraId="6AE69B69">
      <w:pPr>
        <w:pStyle w:val="16"/>
        <w:spacing w:line="360" w:lineRule="auto"/>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14:paraId="171DDD19">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14:paraId="40D8AD6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14:paraId="278C6138">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14:paraId="7EB5B93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14:paraId="27735B74">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CBF2C5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14:paraId="7B676B87">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188CAFDB">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14:paraId="0A9208A7">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1ACF6469">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14:paraId="62FB0C89">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1CB7F422">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55FE289F">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6ACBAA36">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0C6B1E39">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3098269E">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2E773048">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2DB0943D">
      <w:pPr>
        <w:pStyle w:val="2"/>
        <w:rPr>
          <w:rFonts w:cs="宋体" w:asciiTheme="majorEastAsia" w:hAnsiTheme="majorEastAsia" w:eastAsiaTheme="majorEastAsia"/>
          <w:b/>
          <w:kern w:val="0"/>
          <w:sz w:val="32"/>
          <w:szCs w:val="32"/>
        </w:rPr>
      </w:pPr>
    </w:p>
    <w:p w14:paraId="1C002F93">
      <w:pPr>
        <w:pStyle w:val="3"/>
        <w:rPr>
          <w:rFonts w:cs="宋体" w:asciiTheme="majorEastAsia" w:hAnsiTheme="majorEastAsia" w:eastAsiaTheme="majorEastAsia"/>
          <w:b/>
          <w:kern w:val="0"/>
          <w:sz w:val="32"/>
          <w:szCs w:val="32"/>
        </w:rPr>
      </w:pPr>
    </w:p>
    <w:p w14:paraId="28A16AA6">
      <w:pPr>
        <w:pStyle w:val="4"/>
        <w:rPr>
          <w:rFonts w:cs="宋体" w:asciiTheme="majorEastAsia" w:hAnsiTheme="majorEastAsia" w:eastAsiaTheme="majorEastAsia"/>
          <w:b/>
          <w:kern w:val="0"/>
          <w:sz w:val="32"/>
          <w:szCs w:val="32"/>
        </w:rPr>
      </w:pPr>
    </w:p>
    <w:p w14:paraId="174D1A98">
      <w:pPr>
        <w:pStyle w:val="4"/>
        <w:rPr>
          <w:rFonts w:cs="宋体" w:asciiTheme="majorEastAsia" w:hAnsiTheme="majorEastAsia" w:eastAsiaTheme="majorEastAsia"/>
          <w:b/>
          <w:kern w:val="0"/>
          <w:sz w:val="32"/>
          <w:szCs w:val="32"/>
        </w:rPr>
      </w:pPr>
    </w:p>
    <w:p w14:paraId="32465C67">
      <w:pPr>
        <w:pStyle w:val="4"/>
        <w:rPr>
          <w:rFonts w:cs="宋体" w:asciiTheme="majorEastAsia" w:hAnsiTheme="majorEastAsia" w:eastAsiaTheme="majorEastAsia"/>
          <w:b/>
          <w:kern w:val="0"/>
          <w:sz w:val="32"/>
          <w:szCs w:val="32"/>
        </w:rPr>
      </w:pPr>
    </w:p>
    <w:p w14:paraId="251AE828">
      <w:pPr>
        <w:pStyle w:val="4"/>
        <w:rPr>
          <w:rFonts w:cs="宋体" w:asciiTheme="majorEastAsia" w:hAnsiTheme="majorEastAsia" w:eastAsiaTheme="majorEastAsia"/>
          <w:b/>
          <w:kern w:val="0"/>
          <w:sz w:val="32"/>
          <w:szCs w:val="32"/>
        </w:rPr>
      </w:pPr>
    </w:p>
    <w:p w14:paraId="57AD58A6">
      <w:pPr>
        <w:pStyle w:val="4"/>
        <w:rPr>
          <w:rFonts w:cs="宋体" w:asciiTheme="majorEastAsia" w:hAnsiTheme="majorEastAsia" w:eastAsiaTheme="majorEastAsia"/>
          <w:b/>
          <w:kern w:val="0"/>
          <w:sz w:val="32"/>
          <w:szCs w:val="32"/>
        </w:rPr>
      </w:pPr>
    </w:p>
    <w:p w14:paraId="45D5BDEA">
      <w:pPr>
        <w:pStyle w:val="4"/>
        <w:rPr>
          <w:rFonts w:cs="宋体" w:asciiTheme="majorEastAsia" w:hAnsiTheme="majorEastAsia" w:eastAsiaTheme="majorEastAsia"/>
          <w:b/>
          <w:kern w:val="0"/>
          <w:sz w:val="32"/>
          <w:szCs w:val="32"/>
        </w:rPr>
      </w:pPr>
    </w:p>
    <w:p w14:paraId="6343CEBD">
      <w:pPr>
        <w:pStyle w:val="4"/>
        <w:rPr>
          <w:rFonts w:cs="宋体" w:asciiTheme="majorEastAsia" w:hAnsiTheme="majorEastAsia" w:eastAsiaTheme="majorEastAsia"/>
          <w:b/>
          <w:kern w:val="0"/>
          <w:sz w:val="32"/>
          <w:szCs w:val="32"/>
        </w:rPr>
      </w:pPr>
    </w:p>
    <w:p w14:paraId="72AA1BC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45B424BC">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拟签订的合同文本</w:t>
      </w:r>
    </w:p>
    <w:p w14:paraId="437827C4">
      <w:pPr>
        <w:pStyle w:val="16"/>
        <w:spacing w:line="360" w:lineRule="auto"/>
        <w:contextualSpacing/>
        <w:jc w:val="center"/>
        <w:rPr>
          <w:rFonts w:cs="宋体" w:asciiTheme="majorEastAsia" w:hAnsiTheme="majorEastAsia" w:eastAsiaTheme="majorEastAsia"/>
          <w:b/>
          <w:kern w:val="0"/>
          <w:sz w:val="36"/>
          <w:szCs w:val="36"/>
        </w:rPr>
      </w:pPr>
    </w:p>
    <w:p w14:paraId="12F3116C">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14:paraId="7A206FA5">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14:paraId="7AD019F2">
      <w:pPr>
        <w:pStyle w:val="16"/>
        <w:spacing w:line="360" w:lineRule="auto"/>
        <w:contextualSpacing/>
        <w:jc w:val="center"/>
        <w:rPr>
          <w:rFonts w:cs="宋体" w:asciiTheme="majorEastAsia" w:hAnsiTheme="majorEastAsia" w:eastAsiaTheme="majorEastAsia"/>
          <w:b/>
          <w:kern w:val="0"/>
          <w:sz w:val="36"/>
          <w:szCs w:val="36"/>
        </w:rPr>
      </w:pPr>
    </w:p>
    <w:p w14:paraId="162F90CA">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14:paraId="00E470A1">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14:paraId="3FFC1367">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4C41B726">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14:paraId="61F8B4B6">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14:paraId="63E27602">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14:paraId="43975CCF">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14:paraId="410BCDD7">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14:paraId="4D922249">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14:paraId="15562F4A">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07E562DA">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14:paraId="7ED854C5">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71790E56">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14:paraId="5A983A3F">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4CD98C32">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3910EB1C">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02A4A277">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14:paraId="5A3785E7">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20FC44B3">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14:paraId="0516C201">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14:paraId="7DB0FFD8">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33F6B538">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14:paraId="6033484D">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14:paraId="76542797">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14:paraId="4C897CB9">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14:paraId="41BFE7AE">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14:paraId="6ED1D187">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14:paraId="6721C9D7">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14:paraId="528B11EB">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3C754F5E">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14:paraId="55A173C1">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70BE85F9">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14:paraId="21537113">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292B572B">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5D10508A">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14:paraId="640F6E14">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14:paraId="61CB989B">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14:paraId="5C37C64A">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2F964722">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1BE140E8">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14:paraId="5B7682E4">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4F0CDA4">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7C4AE804">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14:paraId="223E7DB4">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14:paraId="09A796A5">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14:paraId="6C5AA0D1">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14:paraId="05BAA7CA">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14:paraId="181E816D">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14:paraId="2727B02D">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14:paraId="7274294C">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14:paraId="16AA01B2">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6848B631">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21EA0B97">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14:paraId="0461ACB5">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14:paraId="034F15C8">
      <w:pPr>
        <w:pStyle w:val="23"/>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14:paraId="42D41ABF">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14:paraId="5B7BBC37">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14:paraId="3D39206D">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14:paraId="0EE10230">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4F4882C9">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671AFD0F">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14:paraId="14FD3859">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14:paraId="26FF9D22">
      <w:pPr>
        <w:pStyle w:val="16"/>
        <w:spacing w:line="360" w:lineRule="auto"/>
        <w:contextualSpacing/>
        <w:jc w:val="center"/>
        <w:rPr>
          <w:rFonts w:cs="宋体" w:asciiTheme="majorEastAsia" w:hAnsiTheme="majorEastAsia" w:eastAsiaTheme="majorEastAsia"/>
          <w:b/>
          <w:kern w:val="0"/>
          <w:sz w:val="36"/>
          <w:szCs w:val="36"/>
        </w:rPr>
      </w:pPr>
    </w:p>
    <w:p w14:paraId="1FC3205B">
      <w:pPr>
        <w:pStyle w:val="16"/>
        <w:spacing w:line="360" w:lineRule="auto"/>
        <w:contextualSpacing/>
        <w:jc w:val="center"/>
        <w:rPr>
          <w:rFonts w:cs="宋体" w:asciiTheme="majorEastAsia" w:hAnsiTheme="majorEastAsia" w:eastAsiaTheme="majorEastAsia"/>
          <w:b/>
          <w:kern w:val="0"/>
          <w:sz w:val="36"/>
          <w:szCs w:val="36"/>
        </w:rPr>
      </w:pPr>
    </w:p>
    <w:p w14:paraId="4E88E0F4">
      <w:pPr>
        <w:pStyle w:val="16"/>
        <w:spacing w:line="360" w:lineRule="auto"/>
        <w:contextualSpacing/>
        <w:jc w:val="center"/>
        <w:rPr>
          <w:rFonts w:cs="宋体" w:asciiTheme="majorEastAsia" w:hAnsiTheme="majorEastAsia" w:eastAsiaTheme="majorEastAsia"/>
          <w:b/>
          <w:kern w:val="0"/>
          <w:sz w:val="36"/>
          <w:szCs w:val="36"/>
        </w:rPr>
      </w:pPr>
    </w:p>
    <w:p w14:paraId="0B376A66">
      <w:pPr>
        <w:pStyle w:val="16"/>
        <w:spacing w:line="360" w:lineRule="auto"/>
        <w:contextualSpacing/>
        <w:jc w:val="center"/>
        <w:rPr>
          <w:rFonts w:cs="宋体" w:asciiTheme="majorEastAsia" w:hAnsiTheme="majorEastAsia" w:eastAsiaTheme="majorEastAsia"/>
          <w:b/>
          <w:kern w:val="0"/>
          <w:sz w:val="36"/>
          <w:szCs w:val="36"/>
        </w:rPr>
      </w:pPr>
    </w:p>
    <w:p w14:paraId="5BB6A591">
      <w:pPr>
        <w:pStyle w:val="16"/>
        <w:spacing w:line="360" w:lineRule="auto"/>
        <w:contextualSpacing/>
        <w:jc w:val="center"/>
        <w:rPr>
          <w:rFonts w:cs="宋体" w:asciiTheme="majorEastAsia" w:hAnsiTheme="majorEastAsia" w:eastAsiaTheme="majorEastAsia"/>
          <w:b/>
          <w:kern w:val="0"/>
          <w:sz w:val="36"/>
          <w:szCs w:val="36"/>
        </w:rPr>
      </w:pPr>
    </w:p>
    <w:p w14:paraId="54D3D6A3">
      <w:pPr>
        <w:pStyle w:val="16"/>
        <w:spacing w:line="360" w:lineRule="auto"/>
        <w:contextualSpacing/>
        <w:jc w:val="center"/>
        <w:rPr>
          <w:rFonts w:cs="宋体" w:asciiTheme="majorEastAsia" w:hAnsiTheme="majorEastAsia" w:eastAsiaTheme="majorEastAsia"/>
          <w:b/>
          <w:kern w:val="0"/>
          <w:sz w:val="36"/>
          <w:szCs w:val="36"/>
        </w:rPr>
      </w:pPr>
    </w:p>
    <w:p w14:paraId="2F4B4DF8">
      <w:pPr>
        <w:pStyle w:val="16"/>
        <w:spacing w:line="360" w:lineRule="auto"/>
        <w:contextualSpacing/>
        <w:jc w:val="center"/>
        <w:rPr>
          <w:rFonts w:cs="宋体" w:asciiTheme="majorEastAsia" w:hAnsiTheme="majorEastAsia" w:eastAsiaTheme="majorEastAsia"/>
          <w:b/>
          <w:kern w:val="0"/>
          <w:sz w:val="36"/>
          <w:szCs w:val="36"/>
        </w:rPr>
      </w:pPr>
    </w:p>
    <w:p w14:paraId="25D442A8">
      <w:pPr>
        <w:pStyle w:val="16"/>
        <w:spacing w:line="360" w:lineRule="auto"/>
        <w:contextualSpacing/>
        <w:jc w:val="center"/>
        <w:rPr>
          <w:rFonts w:cs="宋体" w:asciiTheme="majorEastAsia" w:hAnsiTheme="majorEastAsia" w:eastAsiaTheme="majorEastAsia"/>
          <w:b/>
          <w:kern w:val="0"/>
          <w:sz w:val="36"/>
          <w:szCs w:val="36"/>
        </w:rPr>
      </w:pPr>
    </w:p>
    <w:p w14:paraId="5751951D">
      <w:pPr>
        <w:pStyle w:val="16"/>
        <w:spacing w:line="360" w:lineRule="auto"/>
        <w:contextualSpacing/>
        <w:jc w:val="center"/>
        <w:rPr>
          <w:rFonts w:cs="宋体" w:asciiTheme="majorEastAsia" w:hAnsiTheme="majorEastAsia" w:eastAsiaTheme="majorEastAsia"/>
          <w:b/>
          <w:kern w:val="0"/>
          <w:sz w:val="36"/>
          <w:szCs w:val="36"/>
        </w:rPr>
      </w:pPr>
    </w:p>
    <w:p w14:paraId="1AC0B6AA">
      <w:pPr>
        <w:pStyle w:val="16"/>
        <w:spacing w:line="360" w:lineRule="auto"/>
        <w:contextualSpacing/>
        <w:jc w:val="center"/>
        <w:rPr>
          <w:rFonts w:cs="宋体" w:asciiTheme="majorEastAsia" w:hAnsiTheme="majorEastAsia" w:eastAsiaTheme="majorEastAsia"/>
          <w:b/>
          <w:kern w:val="0"/>
          <w:sz w:val="36"/>
          <w:szCs w:val="36"/>
        </w:rPr>
      </w:pPr>
    </w:p>
    <w:p w14:paraId="504844C2">
      <w:pPr>
        <w:pStyle w:val="16"/>
        <w:spacing w:line="360" w:lineRule="auto"/>
        <w:contextualSpacing/>
        <w:jc w:val="center"/>
        <w:rPr>
          <w:rFonts w:cs="宋体" w:asciiTheme="majorEastAsia" w:hAnsiTheme="majorEastAsia" w:eastAsiaTheme="majorEastAsia"/>
          <w:b/>
          <w:kern w:val="0"/>
          <w:sz w:val="36"/>
          <w:szCs w:val="36"/>
        </w:rPr>
      </w:pPr>
    </w:p>
    <w:p w14:paraId="4A9E89CD">
      <w:pPr>
        <w:pStyle w:val="16"/>
        <w:spacing w:line="360" w:lineRule="auto"/>
        <w:contextualSpacing/>
        <w:jc w:val="center"/>
        <w:rPr>
          <w:rFonts w:cs="宋体" w:asciiTheme="majorEastAsia" w:hAnsiTheme="majorEastAsia" w:eastAsiaTheme="majorEastAsia"/>
          <w:b/>
          <w:kern w:val="0"/>
          <w:sz w:val="36"/>
          <w:szCs w:val="36"/>
        </w:rPr>
      </w:pPr>
    </w:p>
    <w:p w14:paraId="634D4998">
      <w:pPr>
        <w:pStyle w:val="16"/>
        <w:spacing w:line="360" w:lineRule="auto"/>
        <w:contextualSpacing/>
        <w:rPr>
          <w:rFonts w:cs="宋体" w:asciiTheme="majorEastAsia" w:hAnsiTheme="majorEastAsia" w:eastAsiaTheme="majorEastAsia"/>
          <w:b/>
          <w:kern w:val="0"/>
          <w:sz w:val="36"/>
          <w:szCs w:val="36"/>
        </w:rPr>
      </w:pPr>
    </w:p>
    <w:p w14:paraId="401FFAD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14:paraId="1E4A22C7">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6274126"/>
      <w:bookmarkStart w:id="5" w:name="_Toc174185203"/>
      <w:bookmarkStart w:id="6" w:name="_Toc184023138"/>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00E7B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401FF2A4">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07FBDA40">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29A66856">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5234A02E">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5796A9D8">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320C92CD">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055DA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2BB5015">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14:paraId="2D0BADC6">
            <w:pPr>
              <w:pStyle w:val="16"/>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14:paraId="7E5ACDF0">
            <w:pPr>
              <w:snapToGrid w:val="0"/>
              <w:spacing w:line="400" w:lineRule="exact"/>
              <w:jc w:val="center"/>
              <w:rPr>
                <w:rFonts w:ascii="宋体" w:hAnsi="宋体" w:cs="微软雅黑"/>
                <w:szCs w:val="21"/>
              </w:rPr>
            </w:pPr>
          </w:p>
        </w:tc>
        <w:tc>
          <w:tcPr>
            <w:tcW w:w="1560" w:type="dxa"/>
            <w:vAlign w:val="center"/>
          </w:tcPr>
          <w:p w14:paraId="03181C01">
            <w:pPr>
              <w:snapToGrid w:val="0"/>
              <w:spacing w:line="400" w:lineRule="exact"/>
              <w:rPr>
                <w:rFonts w:ascii="宋体" w:hAnsi="宋体" w:cs="微软雅黑"/>
                <w:szCs w:val="21"/>
              </w:rPr>
            </w:pPr>
          </w:p>
        </w:tc>
        <w:tc>
          <w:tcPr>
            <w:tcW w:w="2018" w:type="dxa"/>
            <w:vAlign w:val="center"/>
          </w:tcPr>
          <w:p w14:paraId="1890C6CD">
            <w:pPr>
              <w:snapToGrid w:val="0"/>
              <w:spacing w:line="400" w:lineRule="exact"/>
              <w:rPr>
                <w:rFonts w:ascii="宋体" w:hAnsi="宋体" w:cs="微软雅黑"/>
                <w:szCs w:val="21"/>
              </w:rPr>
            </w:pPr>
          </w:p>
        </w:tc>
      </w:tr>
      <w:tr w14:paraId="159A4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FE2F024">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14:paraId="18584EAC">
            <w:pPr>
              <w:pStyle w:val="16"/>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14:paraId="0433C647">
            <w:pPr>
              <w:snapToGrid w:val="0"/>
              <w:spacing w:line="400" w:lineRule="exact"/>
              <w:jc w:val="center"/>
              <w:rPr>
                <w:rFonts w:ascii="宋体" w:hAnsi="宋体" w:cs="微软雅黑"/>
                <w:szCs w:val="21"/>
              </w:rPr>
            </w:pPr>
          </w:p>
        </w:tc>
        <w:tc>
          <w:tcPr>
            <w:tcW w:w="1560" w:type="dxa"/>
            <w:vAlign w:val="center"/>
          </w:tcPr>
          <w:p w14:paraId="69C4F1CE">
            <w:pPr>
              <w:snapToGrid w:val="0"/>
              <w:spacing w:line="400" w:lineRule="exact"/>
              <w:rPr>
                <w:rFonts w:ascii="宋体" w:hAnsi="宋体" w:cs="微软雅黑"/>
                <w:szCs w:val="21"/>
              </w:rPr>
            </w:pPr>
          </w:p>
        </w:tc>
        <w:tc>
          <w:tcPr>
            <w:tcW w:w="2018" w:type="dxa"/>
            <w:vAlign w:val="center"/>
          </w:tcPr>
          <w:p w14:paraId="38CEC9CF">
            <w:pPr>
              <w:snapToGrid w:val="0"/>
              <w:spacing w:line="400" w:lineRule="exact"/>
              <w:rPr>
                <w:rFonts w:ascii="宋体" w:hAnsi="宋体" w:cs="微软雅黑"/>
                <w:szCs w:val="21"/>
              </w:rPr>
            </w:pPr>
          </w:p>
        </w:tc>
      </w:tr>
      <w:tr w14:paraId="14E8B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41FFD84">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14:paraId="0C6FA9FC">
            <w:pPr>
              <w:pStyle w:val="16"/>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14:paraId="025AC40A">
            <w:pPr>
              <w:snapToGrid w:val="0"/>
              <w:spacing w:line="400" w:lineRule="exact"/>
              <w:jc w:val="center"/>
              <w:rPr>
                <w:rFonts w:ascii="宋体" w:hAnsi="宋体" w:cs="微软雅黑"/>
                <w:szCs w:val="21"/>
              </w:rPr>
            </w:pPr>
          </w:p>
        </w:tc>
        <w:tc>
          <w:tcPr>
            <w:tcW w:w="1560" w:type="dxa"/>
            <w:vAlign w:val="center"/>
          </w:tcPr>
          <w:p w14:paraId="19EA7B92">
            <w:pPr>
              <w:snapToGrid w:val="0"/>
              <w:spacing w:line="400" w:lineRule="exact"/>
              <w:rPr>
                <w:rFonts w:ascii="宋体" w:hAnsi="宋体" w:cs="微软雅黑"/>
                <w:szCs w:val="21"/>
              </w:rPr>
            </w:pPr>
          </w:p>
        </w:tc>
        <w:tc>
          <w:tcPr>
            <w:tcW w:w="2018" w:type="dxa"/>
            <w:vAlign w:val="center"/>
          </w:tcPr>
          <w:p w14:paraId="39206A2D">
            <w:pPr>
              <w:snapToGrid w:val="0"/>
              <w:spacing w:line="400" w:lineRule="exact"/>
              <w:rPr>
                <w:rFonts w:ascii="宋体" w:hAnsi="宋体" w:cs="微软雅黑"/>
                <w:szCs w:val="21"/>
              </w:rPr>
            </w:pPr>
          </w:p>
        </w:tc>
      </w:tr>
      <w:tr w14:paraId="3CBA3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0D634F5">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14:paraId="6CA6E6AB">
            <w:pPr>
              <w:pStyle w:val="16"/>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14:paraId="34F381E5">
            <w:pPr>
              <w:snapToGrid w:val="0"/>
              <w:spacing w:line="400" w:lineRule="exact"/>
              <w:jc w:val="center"/>
              <w:rPr>
                <w:rFonts w:ascii="宋体" w:hAnsi="宋体" w:cs="微软雅黑"/>
                <w:szCs w:val="21"/>
              </w:rPr>
            </w:pPr>
          </w:p>
        </w:tc>
        <w:tc>
          <w:tcPr>
            <w:tcW w:w="1560" w:type="dxa"/>
            <w:vAlign w:val="center"/>
          </w:tcPr>
          <w:p w14:paraId="17251CEA">
            <w:pPr>
              <w:snapToGrid w:val="0"/>
              <w:spacing w:line="400" w:lineRule="exact"/>
              <w:rPr>
                <w:rFonts w:ascii="宋体" w:hAnsi="宋体" w:cs="微软雅黑"/>
                <w:szCs w:val="21"/>
              </w:rPr>
            </w:pPr>
          </w:p>
        </w:tc>
        <w:tc>
          <w:tcPr>
            <w:tcW w:w="2018" w:type="dxa"/>
            <w:vAlign w:val="center"/>
          </w:tcPr>
          <w:p w14:paraId="63C62E8A">
            <w:pPr>
              <w:snapToGrid w:val="0"/>
              <w:spacing w:line="400" w:lineRule="exact"/>
              <w:rPr>
                <w:rFonts w:ascii="宋体" w:hAnsi="宋体" w:cs="微软雅黑"/>
                <w:szCs w:val="21"/>
              </w:rPr>
            </w:pPr>
          </w:p>
        </w:tc>
      </w:tr>
      <w:tr w14:paraId="6D592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64C8B76">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14:paraId="40E945F1">
            <w:pPr>
              <w:pStyle w:val="16"/>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14:paraId="39F728AE">
            <w:pPr>
              <w:snapToGrid w:val="0"/>
              <w:spacing w:line="400" w:lineRule="exact"/>
              <w:jc w:val="center"/>
              <w:rPr>
                <w:rFonts w:ascii="宋体" w:hAnsi="宋体" w:cs="微软雅黑"/>
                <w:szCs w:val="21"/>
              </w:rPr>
            </w:pPr>
          </w:p>
        </w:tc>
        <w:tc>
          <w:tcPr>
            <w:tcW w:w="1560" w:type="dxa"/>
            <w:vAlign w:val="center"/>
          </w:tcPr>
          <w:p w14:paraId="3B24591A">
            <w:pPr>
              <w:snapToGrid w:val="0"/>
              <w:spacing w:line="400" w:lineRule="exact"/>
              <w:rPr>
                <w:rFonts w:ascii="宋体" w:hAnsi="宋体" w:cs="微软雅黑"/>
                <w:szCs w:val="21"/>
              </w:rPr>
            </w:pPr>
          </w:p>
        </w:tc>
        <w:tc>
          <w:tcPr>
            <w:tcW w:w="2018" w:type="dxa"/>
            <w:vAlign w:val="center"/>
          </w:tcPr>
          <w:p w14:paraId="478B44B1">
            <w:pPr>
              <w:snapToGrid w:val="0"/>
              <w:spacing w:line="400" w:lineRule="exact"/>
              <w:rPr>
                <w:rFonts w:ascii="宋体" w:hAnsi="宋体" w:cs="微软雅黑"/>
                <w:szCs w:val="21"/>
              </w:rPr>
            </w:pPr>
          </w:p>
        </w:tc>
      </w:tr>
      <w:tr w14:paraId="54968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A0A1B29">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14:paraId="64F00BCA">
            <w:pPr>
              <w:pStyle w:val="16"/>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投标承诺函</w:t>
            </w:r>
          </w:p>
        </w:tc>
        <w:tc>
          <w:tcPr>
            <w:tcW w:w="1559" w:type="dxa"/>
            <w:vAlign w:val="center"/>
          </w:tcPr>
          <w:p w14:paraId="0CF3F682">
            <w:pPr>
              <w:snapToGrid w:val="0"/>
              <w:spacing w:line="400" w:lineRule="exact"/>
              <w:jc w:val="center"/>
              <w:rPr>
                <w:rFonts w:ascii="宋体" w:hAnsi="宋体" w:cs="微软雅黑"/>
                <w:szCs w:val="21"/>
              </w:rPr>
            </w:pPr>
          </w:p>
        </w:tc>
        <w:tc>
          <w:tcPr>
            <w:tcW w:w="1560" w:type="dxa"/>
            <w:vAlign w:val="center"/>
          </w:tcPr>
          <w:p w14:paraId="2A6DF5B9">
            <w:pPr>
              <w:snapToGrid w:val="0"/>
              <w:spacing w:line="400" w:lineRule="exact"/>
              <w:rPr>
                <w:rFonts w:ascii="宋体" w:hAnsi="宋体" w:cs="微软雅黑"/>
                <w:szCs w:val="21"/>
              </w:rPr>
            </w:pPr>
          </w:p>
        </w:tc>
        <w:tc>
          <w:tcPr>
            <w:tcW w:w="2018" w:type="dxa"/>
            <w:vAlign w:val="center"/>
          </w:tcPr>
          <w:p w14:paraId="5A03E75A">
            <w:pPr>
              <w:snapToGrid w:val="0"/>
              <w:spacing w:line="400" w:lineRule="exact"/>
              <w:rPr>
                <w:rFonts w:ascii="宋体" w:hAnsi="宋体" w:cs="微软雅黑"/>
                <w:szCs w:val="21"/>
              </w:rPr>
            </w:pPr>
          </w:p>
        </w:tc>
      </w:tr>
      <w:tr w14:paraId="1DF66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603A070">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14:paraId="5808904D">
            <w:pPr>
              <w:pStyle w:val="16"/>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14:paraId="11654BF6">
            <w:pPr>
              <w:jc w:val="center"/>
              <w:rPr>
                <w:szCs w:val="21"/>
              </w:rPr>
            </w:pPr>
          </w:p>
        </w:tc>
        <w:tc>
          <w:tcPr>
            <w:tcW w:w="1560" w:type="dxa"/>
            <w:vAlign w:val="center"/>
          </w:tcPr>
          <w:p w14:paraId="080F1BEB">
            <w:pPr>
              <w:snapToGrid w:val="0"/>
              <w:spacing w:line="400" w:lineRule="exact"/>
              <w:rPr>
                <w:rFonts w:ascii="宋体" w:hAnsi="宋体" w:cs="微软雅黑"/>
                <w:szCs w:val="21"/>
              </w:rPr>
            </w:pPr>
          </w:p>
        </w:tc>
        <w:tc>
          <w:tcPr>
            <w:tcW w:w="2018" w:type="dxa"/>
            <w:vAlign w:val="center"/>
          </w:tcPr>
          <w:p w14:paraId="2762F6D2">
            <w:pPr>
              <w:snapToGrid w:val="0"/>
              <w:spacing w:line="400" w:lineRule="exact"/>
              <w:rPr>
                <w:rFonts w:ascii="宋体" w:hAnsi="宋体" w:cs="微软雅黑"/>
                <w:szCs w:val="21"/>
              </w:rPr>
            </w:pPr>
          </w:p>
        </w:tc>
      </w:tr>
      <w:tr w14:paraId="06833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DFA33DB">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14:paraId="49AB4521">
            <w:pPr>
              <w:pStyle w:val="16"/>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14:paraId="5F3D1BEE">
            <w:pPr>
              <w:jc w:val="center"/>
              <w:rPr>
                <w:szCs w:val="21"/>
              </w:rPr>
            </w:pPr>
          </w:p>
        </w:tc>
        <w:tc>
          <w:tcPr>
            <w:tcW w:w="1560" w:type="dxa"/>
            <w:vAlign w:val="center"/>
          </w:tcPr>
          <w:p w14:paraId="4C58595C">
            <w:pPr>
              <w:snapToGrid w:val="0"/>
              <w:spacing w:line="400" w:lineRule="exact"/>
              <w:rPr>
                <w:rFonts w:ascii="宋体" w:hAnsi="宋体" w:cs="微软雅黑"/>
                <w:szCs w:val="21"/>
              </w:rPr>
            </w:pPr>
          </w:p>
        </w:tc>
        <w:tc>
          <w:tcPr>
            <w:tcW w:w="2018" w:type="dxa"/>
            <w:vAlign w:val="center"/>
          </w:tcPr>
          <w:p w14:paraId="48113912">
            <w:pPr>
              <w:snapToGrid w:val="0"/>
              <w:spacing w:line="400" w:lineRule="exact"/>
              <w:rPr>
                <w:rFonts w:ascii="宋体" w:hAnsi="宋体" w:cs="微软雅黑"/>
                <w:szCs w:val="21"/>
              </w:rPr>
            </w:pPr>
          </w:p>
        </w:tc>
      </w:tr>
      <w:tr w14:paraId="4B9C3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D06DE4A">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14:paraId="666624D1">
            <w:pPr>
              <w:pStyle w:val="16"/>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14:paraId="26103777">
            <w:pPr>
              <w:jc w:val="center"/>
              <w:rPr>
                <w:szCs w:val="21"/>
              </w:rPr>
            </w:pPr>
          </w:p>
        </w:tc>
        <w:tc>
          <w:tcPr>
            <w:tcW w:w="1560" w:type="dxa"/>
            <w:vAlign w:val="center"/>
          </w:tcPr>
          <w:p w14:paraId="3AB2A5C9">
            <w:pPr>
              <w:snapToGrid w:val="0"/>
              <w:spacing w:line="400" w:lineRule="exact"/>
              <w:rPr>
                <w:rFonts w:ascii="宋体" w:hAnsi="宋体" w:cs="微软雅黑"/>
                <w:szCs w:val="21"/>
              </w:rPr>
            </w:pPr>
          </w:p>
        </w:tc>
        <w:tc>
          <w:tcPr>
            <w:tcW w:w="2018" w:type="dxa"/>
            <w:vAlign w:val="center"/>
          </w:tcPr>
          <w:p w14:paraId="4FEEDAD1">
            <w:pPr>
              <w:snapToGrid w:val="0"/>
              <w:spacing w:line="400" w:lineRule="exact"/>
              <w:rPr>
                <w:rFonts w:ascii="宋体" w:hAnsi="宋体" w:cs="微软雅黑"/>
                <w:szCs w:val="21"/>
              </w:rPr>
            </w:pPr>
          </w:p>
        </w:tc>
      </w:tr>
      <w:tr w14:paraId="4B3D3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EA17E2D">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14:paraId="21629ADA">
            <w:pPr>
              <w:pStyle w:val="16"/>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14:paraId="5B0884C7">
            <w:pPr>
              <w:jc w:val="center"/>
              <w:rPr>
                <w:szCs w:val="21"/>
              </w:rPr>
            </w:pPr>
          </w:p>
        </w:tc>
        <w:tc>
          <w:tcPr>
            <w:tcW w:w="1560" w:type="dxa"/>
            <w:vAlign w:val="center"/>
          </w:tcPr>
          <w:p w14:paraId="17983581">
            <w:pPr>
              <w:snapToGrid w:val="0"/>
              <w:spacing w:line="400" w:lineRule="exact"/>
              <w:rPr>
                <w:rFonts w:ascii="宋体" w:hAnsi="宋体" w:cs="微软雅黑"/>
                <w:szCs w:val="21"/>
              </w:rPr>
            </w:pPr>
          </w:p>
        </w:tc>
        <w:tc>
          <w:tcPr>
            <w:tcW w:w="2018" w:type="dxa"/>
            <w:vAlign w:val="center"/>
          </w:tcPr>
          <w:p w14:paraId="6D03B3A3">
            <w:pPr>
              <w:snapToGrid w:val="0"/>
              <w:spacing w:line="400" w:lineRule="exact"/>
              <w:rPr>
                <w:rFonts w:ascii="宋体" w:hAnsi="宋体" w:cs="微软雅黑"/>
                <w:szCs w:val="21"/>
              </w:rPr>
            </w:pPr>
          </w:p>
        </w:tc>
      </w:tr>
      <w:tr w14:paraId="39898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11AE9F3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14:paraId="55136530">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14:paraId="6D2E974F">
            <w:pPr>
              <w:jc w:val="center"/>
              <w:rPr>
                <w:szCs w:val="21"/>
              </w:rPr>
            </w:pPr>
          </w:p>
        </w:tc>
        <w:tc>
          <w:tcPr>
            <w:tcW w:w="1560" w:type="dxa"/>
            <w:tcBorders>
              <w:top w:val="double" w:color="auto" w:sz="4" w:space="0"/>
            </w:tcBorders>
            <w:vAlign w:val="center"/>
          </w:tcPr>
          <w:p w14:paraId="217553C8">
            <w:pPr>
              <w:snapToGrid w:val="0"/>
              <w:spacing w:line="400" w:lineRule="exact"/>
              <w:rPr>
                <w:rFonts w:ascii="宋体" w:hAnsi="宋体" w:cs="微软雅黑"/>
                <w:szCs w:val="21"/>
              </w:rPr>
            </w:pPr>
          </w:p>
        </w:tc>
        <w:tc>
          <w:tcPr>
            <w:tcW w:w="2018" w:type="dxa"/>
            <w:tcBorders>
              <w:top w:val="double" w:color="auto" w:sz="4" w:space="0"/>
            </w:tcBorders>
            <w:vAlign w:val="center"/>
          </w:tcPr>
          <w:p w14:paraId="5CEEB2FD">
            <w:pPr>
              <w:snapToGrid w:val="0"/>
              <w:spacing w:line="400" w:lineRule="exact"/>
              <w:rPr>
                <w:rFonts w:ascii="宋体" w:hAnsi="宋体" w:cs="微软雅黑"/>
                <w:szCs w:val="21"/>
              </w:rPr>
            </w:pPr>
          </w:p>
        </w:tc>
      </w:tr>
      <w:tr w14:paraId="0B7E3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CAB6A9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14:paraId="071D5FDF">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14:paraId="22C502A7">
            <w:pPr>
              <w:jc w:val="center"/>
              <w:rPr>
                <w:szCs w:val="21"/>
              </w:rPr>
            </w:pPr>
          </w:p>
        </w:tc>
        <w:tc>
          <w:tcPr>
            <w:tcW w:w="1560" w:type="dxa"/>
            <w:vAlign w:val="center"/>
          </w:tcPr>
          <w:p w14:paraId="21E9604C">
            <w:pPr>
              <w:snapToGrid w:val="0"/>
              <w:spacing w:line="400" w:lineRule="exact"/>
              <w:rPr>
                <w:rFonts w:ascii="宋体" w:hAnsi="宋体" w:cs="微软雅黑"/>
                <w:szCs w:val="21"/>
              </w:rPr>
            </w:pPr>
          </w:p>
        </w:tc>
        <w:tc>
          <w:tcPr>
            <w:tcW w:w="2018" w:type="dxa"/>
            <w:vAlign w:val="center"/>
          </w:tcPr>
          <w:p w14:paraId="700FDE31">
            <w:pPr>
              <w:snapToGrid w:val="0"/>
              <w:spacing w:line="400" w:lineRule="exact"/>
              <w:rPr>
                <w:rFonts w:ascii="宋体" w:hAnsi="宋体" w:cs="微软雅黑"/>
                <w:szCs w:val="21"/>
              </w:rPr>
            </w:pPr>
          </w:p>
        </w:tc>
      </w:tr>
      <w:tr w14:paraId="1D635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8A9B39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14:paraId="5FF74248">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14:paraId="31AA76FD">
            <w:pPr>
              <w:jc w:val="center"/>
              <w:rPr>
                <w:szCs w:val="21"/>
              </w:rPr>
            </w:pPr>
          </w:p>
        </w:tc>
        <w:tc>
          <w:tcPr>
            <w:tcW w:w="1560" w:type="dxa"/>
            <w:tcBorders>
              <w:top w:val="single" w:color="auto" w:sz="4" w:space="0"/>
            </w:tcBorders>
            <w:vAlign w:val="center"/>
          </w:tcPr>
          <w:p w14:paraId="0F99CF65">
            <w:pPr>
              <w:snapToGrid w:val="0"/>
              <w:spacing w:line="400" w:lineRule="exact"/>
              <w:rPr>
                <w:rFonts w:ascii="宋体" w:hAnsi="宋体" w:cs="微软雅黑"/>
                <w:szCs w:val="21"/>
              </w:rPr>
            </w:pPr>
          </w:p>
        </w:tc>
        <w:tc>
          <w:tcPr>
            <w:tcW w:w="2018" w:type="dxa"/>
            <w:tcBorders>
              <w:top w:val="single" w:color="auto" w:sz="4" w:space="0"/>
            </w:tcBorders>
            <w:vAlign w:val="center"/>
          </w:tcPr>
          <w:p w14:paraId="3D42266A">
            <w:pPr>
              <w:snapToGrid w:val="0"/>
              <w:spacing w:line="400" w:lineRule="exact"/>
              <w:rPr>
                <w:rFonts w:ascii="宋体" w:hAnsi="宋体" w:cs="微软雅黑"/>
                <w:szCs w:val="21"/>
              </w:rPr>
            </w:pPr>
          </w:p>
        </w:tc>
      </w:tr>
      <w:tr w14:paraId="1B887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1BD41F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14:paraId="129C61D7">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14:paraId="7F4D3891">
            <w:pPr>
              <w:jc w:val="center"/>
              <w:rPr>
                <w:szCs w:val="21"/>
              </w:rPr>
            </w:pPr>
          </w:p>
        </w:tc>
        <w:tc>
          <w:tcPr>
            <w:tcW w:w="1560" w:type="dxa"/>
            <w:vAlign w:val="center"/>
          </w:tcPr>
          <w:p w14:paraId="1B2542A4">
            <w:pPr>
              <w:snapToGrid w:val="0"/>
              <w:spacing w:line="400" w:lineRule="exact"/>
              <w:rPr>
                <w:rFonts w:ascii="宋体" w:hAnsi="宋体" w:cs="微软雅黑"/>
                <w:szCs w:val="21"/>
              </w:rPr>
            </w:pPr>
          </w:p>
        </w:tc>
        <w:tc>
          <w:tcPr>
            <w:tcW w:w="2018" w:type="dxa"/>
            <w:vAlign w:val="center"/>
          </w:tcPr>
          <w:p w14:paraId="6DF7F48B">
            <w:pPr>
              <w:snapToGrid w:val="0"/>
              <w:spacing w:line="400" w:lineRule="exact"/>
              <w:rPr>
                <w:rFonts w:ascii="宋体" w:hAnsi="宋体" w:cs="微软雅黑"/>
                <w:szCs w:val="21"/>
              </w:rPr>
            </w:pPr>
          </w:p>
        </w:tc>
      </w:tr>
      <w:tr w14:paraId="1BA23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F9C488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14:paraId="4AF830EE">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14:paraId="0E93D1C1">
            <w:pPr>
              <w:jc w:val="center"/>
              <w:rPr>
                <w:szCs w:val="21"/>
              </w:rPr>
            </w:pPr>
          </w:p>
        </w:tc>
        <w:tc>
          <w:tcPr>
            <w:tcW w:w="1560" w:type="dxa"/>
            <w:vAlign w:val="center"/>
          </w:tcPr>
          <w:p w14:paraId="042CA9B7">
            <w:pPr>
              <w:snapToGrid w:val="0"/>
              <w:spacing w:line="400" w:lineRule="exact"/>
              <w:rPr>
                <w:rFonts w:ascii="宋体" w:hAnsi="宋体" w:cs="微软雅黑"/>
                <w:szCs w:val="21"/>
              </w:rPr>
            </w:pPr>
          </w:p>
        </w:tc>
        <w:tc>
          <w:tcPr>
            <w:tcW w:w="2018" w:type="dxa"/>
            <w:vAlign w:val="center"/>
          </w:tcPr>
          <w:p w14:paraId="0FA30A71">
            <w:pPr>
              <w:snapToGrid w:val="0"/>
              <w:spacing w:line="400" w:lineRule="exact"/>
              <w:rPr>
                <w:rFonts w:ascii="宋体" w:hAnsi="宋体" w:cs="微软雅黑"/>
                <w:szCs w:val="21"/>
              </w:rPr>
            </w:pPr>
          </w:p>
        </w:tc>
      </w:tr>
      <w:tr w14:paraId="2D772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FB6CB9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14:paraId="1DE75E5B">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14:paraId="786C92E4">
            <w:pPr>
              <w:jc w:val="center"/>
              <w:rPr>
                <w:szCs w:val="21"/>
              </w:rPr>
            </w:pPr>
          </w:p>
        </w:tc>
        <w:tc>
          <w:tcPr>
            <w:tcW w:w="1560" w:type="dxa"/>
            <w:vAlign w:val="center"/>
          </w:tcPr>
          <w:p w14:paraId="05C3950E">
            <w:pPr>
              <w:snapToGrid w:val="0"/>
              <w:spacing w:line="400" w:lineRule="exact"/>
              <w:rPr>
                <w:rFonts w:ascii="宋体" w:hAnsi="宋体" w:cs="微软雅黑"/>
                <w:szCs w:val="21"/>
              </w:rPr>
            </w:pPr>
          </w:p>
        </w:tc>
        <w:tc>
          <w:tcPr>
            <w:tcW w:w="2018" w:type="dxa"/>
            <w:vAlign w:val="center"/>
          </w:tcPr>
          <w:p w14:paraId="3A434CCF">
            <w:pPr>
              <w:snapToGrid w:val="0"/>
              <w:spacing w:line="400" w:lineRule="exact"/>
              <w:rPr>
                <w:rFonts w:ascii="宋体" w:hAnsi="宋体" w:cs="微软雅黑"/>
                <w:szCs w:val="21"/>
              </w:rPr>
            </w:pPr>
          </w:p>
        </w:tc>
      </w:tr>
      <w:tr w14:paraId="39A6F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DA1EFB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14:paraId="78E7E11A">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14:paraId="72127DF4">
            <w:pPr>
              <w:jc w:val="center"/>
              <w:rPr>
                <w:szCs w:val="21"/>
              </w:rPr>
            </w:pPr>
          </w:p>
        </w:tc>
        <w:tc>
          <w:tcPr>
            <w:tcW w:w="1560" w:type="dxa"/>
            <w:vAlign w:val="center"/>
          </w:tcPr>
          <w:p w14:paraId="61A7B5CA">
            <w:pPr>
              <w:snapToGrid w:val="0"/>
              <w:spacing w:line="400" w:lineRule="exact"/>
              <w:rPr>
                <w:rFonts w:ascii="宋体" w:hAnsi="宋体" w:cs="微软雅黑"/>
                <w:szCs w:val="21"/>
              </w:rPr>
            </w:pPr>
          </w:p>
        </w:tc>
        <w:tc>
          <w:tcPr>
            <w:tcW w:w="2018" w:type="dxa"/>
            <w:vAlign w:val="center"/>
          </w:tcPr>
          <w:p w14:paraId="4D1B3CA9">
            <w:pPr>
              <w:snapToGrid w:val="0"/>
              <w:spacing w:line="400" w:lineRule="exact"/>
              <w:rPr>
                <w:rFonts w:ascii="宋体" w:hAnsi="宋体" w:cs="微软雅黑"/>
                <w:szCs w:val="21"/>
              </w:rPr>
            </w:pPr>
          </w:p>
        </w:tc>
      </w:tr>
      <w:tr w14:paraId="35BC7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815118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14:paraId="4FC921C8">
            <w:pPr>
              <w:pStyle w:val="16"/>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14:paraId="185C3756">
            <w:pPr>
              <w:jc w:val="center"/>
              <w:rPr>
                <w:szCs w:val="21"/>
              </w:rPr>
            </w:pPr>
          </w:p>
        </w:tc>
        <w:tc>
          <w:tcPr>
            <w:tcW w:w="1560" w:type="dxa"/>
            <w:vAlign w:val="center"/>
          </w:tcPr>
          <w:p w14:paraId="6C897E5A">
            <w:pPr>
              <w:snapToGrid w:val="0"/>
              <w:spacing w:line="400" w:lineRule="exact"/>
              <w:rPr>
                <w:rFonts w:ascii="宋体" w:hAnsi="宋体" w:cs="微软雅黑"/>
                <w:szCs w:val="21"/>
              </w:rPr>
            </w:pPr>
          </w:p>
        </w:tc>
        <w:tc>
          <w:tcPr>
            <w:tcW w:w="2018" w:type="dxa"/>
            <w:vAlign w:val="center"/>
          </w:tcPr>
          <w:p w14:paraId="1B4E546F">
            <w:pPr>
              <w:snapToGrid w:val="0"/>
              <w:spacing w:line="400" w:lineRule="exact"/>
              <w:rPr>
                <w:rFonts w:ascii="宋体" w:hAnsi="宋体" w:cs="微软雅黑"/>
                <w:szCs w:val="21"/>
              </w:rPr>
            </w:pPr>
          </w:p>
        </w:tc>
      </w:tr>
      <w:tr w14:paraId="0F4A0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FFC00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14:paraId="21A6E6BD">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14:paraId="6A933175">
            <w:pPr>
              <w:jc w:val="center"/>
              <w:rPr>
                <w:szCs w:val="21"/>
              </w:rPr>
            </w:pPr>
          </w:p>
        </w:tc>
        <w:tc>
          <w:tcPr>
            <w:tcW w:w="1560" w:type="dxa"/>
            <w:vAlign w:val="center"/>
          </w:tcPr>
          <w:p w14:paraId="32902C29">
            <w:pPr>
              <w:snapToGrid w:val="0"/>
              <w:spacing w:line="400" w:lineRule="exact"/>
              <w:rPr>
                <w:rFonts w:ascii="宋体" w:hAnsi="宋体" w:cs="微软雅黑"/>
                <w:szCs w:val="21"/>
              </w:rPr>
            </w:pPr>
          </w:p>
        </w:tc>
        <w:tc>
          <w:tcPr>
            <w:tcW w:w="2018" w:type="dxa"/>
            <w:vAlign w:val="center"/>
          </w:tcPr>
          <w:p w14:paraId="291FAD4F">
            <w:pPr>
              <w:snapToGrid w:val="0"/>
              <w:spacing w:line="400" w:lineRule="exact"/>
              <w:rPr>
                <w:rFonts w:ascii="宋体" w:hAnsi="宋体" w:cs="微软雅黑"/>
                <w:szCs w:val="21"/>
              </w:rPr>
            </w:pPr>
          </w:p>
        </w:tc>
      </w:tr>
      <w:tr w14:paraId="58F3C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99549C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14:paraId="58BCE190">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14:paraId="6F58DF6F">
            <w:pPr>
              <w:jc w:val="center"/>
              <w:rPr>
                <w:szCs w:val="21"/>
              </w:rPr>
            </w:pPr>
          </w:p>
        </w:tc>
        <w:tc>
          <w:tcPr>
            <w:tcW w:w="1560" w:type="dxa"/>
            <w:vAlign w:val="center"/>
          </w:tcPr>
          <w:p w14:paraId="2CC302C2">
            <w:pPr>
              <w:snapToGrid w:val="0"/>
              <w:spacing w:line="400" w:lineRule="exact"/>
              <w:rPr>
                <w:rFonts w:ascii="宋体" w:hAnsi="宋体" w:cs="微软雅黑"/>
                <w:szCs w:val="21"/>
              </w:rPr>
            </w:pPr>
          </w:p>
        </w:tc>
        <w:tc>
          <w:tcPr>
            <w:tcW w:w="2018" w:type="dxa"/>
            <w:vAlign w:val="center"/>
          </w:tcPr>
          <w:p w14:paraId="3DE2AD64">
            <w:pPr>
              <w:snapToGrid w:val="0"/>
              <w:spacing w:line="400" w:lineRule="exact"/>
              <w:rPr>
                <w:rFonts w:ascii="宋体" w:hAnsi="宋体" w:cs="微软雅黑"/>
                <w:szCs w:val="21"/>
              </w:rPr>
            </w:pPr>
          </w:p>
        </w:tc>
      </w:tr>
      <w:tr w14:paraId="4C998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3924481">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14:paraId="4EEBBC62">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14:paraId="5CFB72DB">
            <w:pPr>
              <w:jc w:val="center"/>
              <w:rPr>
                <w:szCs w:val="21"/>
              </w:rPr>
            </w:pPr>
          </w:p>
        </w:tc>
        <w:tc>
          <w:tcPr>
            <w:tcW w:w="1560" w:type="dxa"/>
            <w:vAlign w:val="center"/>
          </w:tcPr>
          <w:p w14:paraId="703F933B">
            <w:pPr>
              <w:snapToGrid w:val="0"/>
              <w:spacing w:line="400" w:lineRule="exact"/>
              <w:rPr>
                <w:rFonts w:ascii="宋体" w:hAnsi="宋体" w:cs="微软雅黑"/>
                <w:szCs w:val="21"/>
              </w:rPr>
            </w:pPr>
          </w:p>
        </w:tc>
        <w:tc>
          <w:tcPr>
            <w:tcW w:w="2018" w:type="dxa"/>
            <w:vAlign w:val="center"/>
          </w:tcPr>
          <w:p w14:paraId="1707A145">
            <w:pPr>
              <w:snapToGrid w:val="0"/>
              <w:spacing w:line="400" w:lineRule="exact"/>
              <w:rPr>
                <w:rFonts w:ascii="宋体" w:hAnsi="宋体" w:cs="微软雅黑"/>
                <w:szCs w:val="21"/>
              </w:rPr>
            </w:pPr>
          </w:p>
        </w:tc>
      </w:tr>
      <w:tr w14:paraId="6BEBA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5678A9D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14:paraId="2101854D">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14:paraId="7140EB9C">
            <w:pPr>
              <w:pStyle w:val="16"/>
              <w:rPr>
                <w:sz w:val="21"/>
                <w:szCs w:val="21"/>
              </w:rPr>
            </w:pPr>
          </w:p>
        </w:tc>
        <w:tc>
          <w:tcPr>
            <w:tcW w:w="1560" w:type="dxa"/>
            <w:vAlign w:val="center"/>
          </w:tcPr>
          <w:p w14:paraId="3C89571B">
            <w:pPr>
              <w:snapToGrid w:val="0"/>
              <w:spacing w:line="400" w:lineRule="exact"/>
              <w:rPr>
                <w:rFonts w:ascii="宋体" w:hAnsi="宋体" w:cs="微软雅黑"/>
                <w:szCs w:val="21"/>
              </w:rPr>
            </w:pPr>
          </w:p>
        </w:tc>
        <w:tc>
          <w:tcPr>
            <w:tcW w:w="2018" w:type="dxa"/>
            <w:vAlign w:val="center"/>
          </w:tcPr>
          <w:p w14:paraId="62F8ADA4">
            <w:pPr>
              <w:snapToGrid w:val="0"/>
              <w:spacing w:line="400" w:lineRule="exact"/>
              <w:rPr>
                <w:rFonts w:ascii="宋体" w:hAnsi="宋体" w:cs="微软雅黑"/>
                <w:szCs w:val="21"/>
              </w:rPr>
            </w:pPr>
          </w:p>
        </w:tc>
      </w:tr>
      <w:tr w14:paraId="6D38E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64ABB20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14:paraId="6C0A1F8F">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14:paraId="42413ACC">
            <w:pPr>
              <w:pStyle w:val="16"/>
              <w:rPr>
                <w:szCs w:val="21"/>
              </w:rPr>
            </w:pPr>
          </w:p>
        </w:tc>
        <w:tc>
          <w:tcPr>
            <w:tcW w:w="1560" w:type="dxa"/>
            <w:vAlign w:val="center"/>
          </w:tcPr>
          <w:p w14:paraId="22BE6EF1">
            <w:pPr>
              <w:snapToGrid w:val="0"/>
              <w:spacing w:line="400" w:lineRule="exact"/>
              <w:rPr>
                <w:rFonts w:ascii="宋体" w:hAnsi="宋体" w:cs="微软雅黑"/>
                <w:szCs w:val="21"/>
              </w:rPr>
            </w:pPr>
          </w:p>
        </w:tc>
        <w:tc>
          <w:tcPr>
            <w:tcW w:w="2018" w:type="dxa"/>
            <w:vAlign w:val="center"/>
          </w:tcPr>
          <w:p w14:paraId="3751C3E3">
            <w:pPr>
              <w:snapToGrid w:val="0"/>
              <w:spacing w:line="400" w:lineRule="exact"/>
              <w:rPr>
                <w:rFonts w:ascii="宋体" w:hAnsi="宋体" w:cs="微软雅黑"/>
                <w:szCs w:val="21"/>
              </w:rPr>
            </w:pPr>
          </w:p>
        </w:tc>
      </w:tr>
    </w:tbl>
    <w:p w14:paraId="141C857C">
      <w:pPr>
        <w:pStyle w:val="16"/>
        <w:spacing w:line="360" w:lineRule="auto"/>
        <w:jc w:val="center"/>
        <w:rPr>
          <w:rFonts w:asciiTheme="majorEastAsia" w:hAnsiTheme="majorEastAsia" w:eastAsiaTheme="majorEastAsia"/>
          <w:b/>
          <w:snapToGrid w:val="0"/>
          <w:kern w:val="0"/>
          <w:sz w:val="28"/>
          <w:szCs w:val="28"/>
        </w:rPr>
      </w:pPr>
    </w:p>
    <w:p w14:paraId="1F8D5426">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14:paraId="310195D6">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14:paraId="0CD3972E">
      <w:pPr>
        <w:pStyle w:val="16"/>
        <w:spacing w:line="360" w:lineRule="auto"/>
        <w:jc w:val="center"/>
        <w:rPr>
          <w:rFonts w:asciiTheme="majorEastAsia" w:hAnsiTheme="majorEastAsia" w:eastAsiaTheme="majorEastAsia"/>
          <w:b/>
          <w:snapToGrid w:val="0"/>
          <w:kern w:val="0"/>
          <w:sz w:val="28"/>
          <w:szCs w:val="28"/>
        </w:rPr>
      </w:pPr>
    </w:p>
    <w:p w14:paraId="1AA90547">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4F0F9F1">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31DB3B97">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C53B306">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30D16B5">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D9795E2">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9B3FF4">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D096062">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4453D69E">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814272A">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6D61F4C8">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61BB4CEA">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4B68529C">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28B11AC3">
            <w:pPr>
              <w:autoSpaceDE w:val="0"/>
              <w:autoSpaceDN w:val="0"/>
              <w:adjustRightInd w:val="0"/>
              <w:spacing w:line="480" w:lineRule="exact"/>
              <w:ind w:firstLine="240"/>
              <w:rPr>
                <w:rFonts w:cs="宋体" w:asciiTheme="minorEastAsia" w:hAnsiTheme="minorEastAsia"/>
                <w:szCs w:val="21"/>
                <w:lang w:val="zh-CN"/>
              </w:rPr>
            </w:pPr>
          </w:p>
        </w:tc>
      </w:tr>
      <w:tr w14:paraId="3070AC6F">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2E4C0384">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456F33BB">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40708153">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6AA7293F">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3B68ED8E">
            <w:pPr>
              <w:autoSpaceDE w:val="0"/>
              <w:autoSpaceDN w:val="0"/>
              <w:adjustRightInd w:val="0"/>
              <w:spacing w:line="480" w:lineRule="exact"/>
              <w:ind w:firstLine="240"/>
              <w:rPr>
                <w:rFonts w:cs="宋体" w:asciiTheme="minorEastAsia" w:hAnsiTheme="minorEastAsia"/>
                <w:szCs w:val="21"/>
                <w:lang w:val="zh-CN"/>
              </w:rPr>
            </w:pPr>
          </w:p>
        </w:tc>
      </w:tr>
    </w:tbl>
    <w:p w14:paraId="5657412E">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65C8B87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14:paraId="36CDC4C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14:paraId="18B73CCE">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14:paraId="3582AA02">
      <w:pPr>
        <w:autoSpaceDE w:val="0"/>
        <w:autoSpaceDN w:val="0"/>
        <w:adjustRightInd w:val="0"/>
        <w:spacing w:line="360" w:lineRule="auto"/>
        <w:rPr>
          <w:rFonts w:ascii="宋体" w:cs="宋体"/>
          <w:sz w:val="24"/>
          <w:lang w:val="zh-CN"/>
        </w:rPr>
      </w:pPr>
    </w:p>
    <w:p w14:paraId="5EFD2999">
      <w:pPr>
        <w:autoSpaceDE w:val="0"/>
        <w:autoSpaceDN w:val="0"/>
        <w:adjustRightInd w:val="0"/>
        <w:spacing w:line="360" w:lineRule="auto"/>
        <w:rPr>
          <w:rFonts w:ascii="宋体" w:cs="宋体"/>
          <w:sz w:val="24"/>
          <w:lang w:val="zh-CN"/>
        </w:rPr>
      </w:pPr>
    </w:p>
    <w:p w14:paraId="6C8804C6">
      <w:pPr>
        <w:autoSpaceDE w:val="0"/>
        <w:autoSpaceDN w:val="0"/>
        <w:adjustRightInd w:val="0"/>
        <w:spacing w:line="360" w:lineRule="auto"/>
        <w:rPr>
          <w:rFonts w:ascii="宋体" w:cs="宋体"/>
          <w:sz w:val="24"/>
          <w:lang w:val="zh-CN"/>
        </w:rPr>
      </w:pPr>
    </w:p>
    <w:p w14:paraId="0D8E649B">
      <w:pPr>
        <w:autoSpaceDE w:val="0"/>
        <w:autoSpaceDN w:val="0"/>
        <w:adjustRightInd w:val="0"/>
        <w:spacing w:line="360" w:lineRule="auto"/>
        <w:rPr>
          <w:rFonts w:ascii="宋体" w:cs="宋体"/>
          <w:sz w:val="24"/>
          <w:lang w:val="zh-CN"/>
        </w:rPr>
      </w:pPr>
    </w:p>
    <w:p w14:paraId="25DFE87E">
      <w:pPr>
        <w:autoSpaceDE w:val="0"/>
        <w:autoSpaceDN w:val="0"/>
        <w:adjustRightInd w:val="0"/>
        <w:spacing w:line="360" w:lineRule="auto"/>
        <w:rPr>
          <w:rFonts w:ascii="宋体" w:cs="宋体"/>
          <w:sz w:val="24"/>
          <w:lang w:val="zh-CN"/>
        </w:rPr>
      </w:pPr>
    </w:p>
    <w:p w14:paraId="64695EAD">
      <w:pPr>
        <w:autoSpaceDE w:val="0"/>
        <w:autoSpaceDN w:val="0"/>
        <w:adjustRightInd w:val="0"/>
        <w:spacing w:line="360" w:lineRule="auto"/>
        <w:rPr>
          <w:rFonts w:ascii="宋体" w:cs="宋体"/>
          <w:sz w:val="24"/>
          <w:lang w:val="zh-CN"/>
        </w:rPr>
      </w:pPr>
    </w:p>
    <w:p w14:paraId="1E02EE72">
      <w:pPr>
        <w:autoSpaceDE w:val="0"/>
        <w:autoSpaceDN w:val="0"/>
        <w:adjustRightInd w:val="0"/>
        <w:spacing w:line="360" w:lineRule="auto"/>
        <w:rPr>
          <w:rFonts w:ascii="宋体" w:cs="宋体"/>
          <w:sz w:val="24"/>
          <w:lang w:val="zh-CN"/>
        </w:rPr>
      </w:pPr>
    </w:p>
    <w:p w14:paraId="298DC2A2">
      <w:pPr>
        <w:autoSpaceDE w:val="0"/>
        <w:autoSpaceDN w:val="0"/>
        <w:adjustRightInd w:val="0"/>
        <w:spacing w:line="360" w:lineRule="auto"/>
        <w:rPr>
          <w:rFonts w:ascii="宋体" w:cs="宋体"/>
          <w:sz w:val="24"/>
          <w:lang w:val="zh-CN"/>
        </w:rPr>
      </w:pPr>
    </w:p>
    <w:p w14:paraId="42D3BF6B">
      <w:pPr>
        <w:autoSpaceDE w:val="0"/>
        <w:autoSpaceDN w:val="0"/>
        <w:adjustRightInd w:val="0"/>
        <w:spacing w:line="360" w:lineRule="auto"/>
        <w:rPr>
          <w:rFonts w:ascii="宋体" w:cs="宋体"/>
          <w:sz w:val="24"/>
          <w:lang w:val="zh-CN"/>
        </w:rPr>
      </w:pPr>
    </w:p>
    <w:p w14:paraId="19ECEAF6">
      <w:pPr>
        <w:autoSpaceDE w:val="0"/>
        <w:autoSpaceDN w:val="0"/>
        <w:adjustRightInd w:val="0"/>
        <w:spacing w:line="360" w:lineRule="auto"/>
        <w:rPr>
          <w:rFonts w:ascii="宋体" w:cs="宋体"/>
          <w:sz w:val="24"/>
          <w:lang w:val="zh-CN"/>
        </w:rPr>
      </w:pPr>
    </w:p>
    <w:p w14:paraId="2FC66FDC">
      <w:pPr>
        <w:autoSpaceDE w:val="0"/>
        <w:autoSpaceDN w:val="0"/>
        <w:adjustRightInd w:val="0"/>
        <w:spacing w:line="360" w:lineRule="auto"/>
        <w:rPr>
          <w:rFonts w:cs="黑体" w:asciiTheme="minorEastAsia" w:hAnsiTheme="minorEastAsia"/>
          <w:b/>
          <w:bCs/>
          <w:sz w:val="44"/>
          <w:szCs w:val="44"/>
          <w:lang w:val="zh-CN"/>
        </w:rPr>
      </w:pPr>
    </w:p>
    <w:p w14:paraId="7CD6E367">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14:paraId="159EA943">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14:paraId="21A3B95C">
      <w:pPr>
        <w:pStyle w:val="16"/>
        <w:spacing w:line="360" w:lineRule="auto"/>
        <w:jc w:val="center"/>
        <w:rPr>
          <w:rFonts w:asciiTheme="majorEastAsia" w:hAnsiTheme="majorEastAsia" w:eastAsiaTheme="majorEastAsia"/>
          <w:b/>
          <w:snapToGrid w:val="0"/>
          <w:kern w:val="0"/>
          <w:sz w:val="28"/>
          <w:szCs w:val="28"/>
        </w:rPr>
      </w:pPr>
    </w:p>
    <w:p w14:paraId="32FA9831">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7C425028">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14:paraId="5065330E">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14:paraId="60BE0BE3">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14:paraId="443F36B4">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14:paraId="6FBB466E">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14:paraId="11E8B828">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3914D1B">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14:paraId="0C924D85">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14:paraId="7A5D6020">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14:paraId="003F1C1F">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14:paraId="54A404B4">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41B0FFCE">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14:paraId="1FAB607C">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53F1F97D">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5437A6B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14:paraId="72910D7A">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7CEDFEF8">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2A8C55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14:paraId="30AD819F">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14:paraId="4AF3F8A6">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6C082462">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14:paraId="73C6FDF1">
      <w:pPr>
        <w:pStyle w:val="16"/>
        <w:adjustRightInd w:val="0"/>
        <w:snapToGrid w:val="0"/>
        <w:spacing w:line="360" w:lineRule="auto"/>
        <w:rPr>
          <w:rFonts w:asciiTheme="minorEastAsia" w:hAnsiTheme="minorEastAsia" w:eastAsiaTheme="minorEastAsia"/>
          <w:sz w:val="21"/>
          <w:szCs w:val="21"/>
        </w:rPr>
      </w:pPr>
    </w:p>
    <w:p w14:paraId="0F98A844">
      <w:pPr>
        <w:pStyle w:val="16"/>
        <w:adjustRightInd w:val="0"/>
        <w:snapToGrid w:val="0"/>
        <w:spacing w:line="360" w:lineRule="auto"/>
        <w:rPr>
          <w:rFonts w:asciiTheme="minorEastAsia" w:hAnsiTheme="minorEastAsia" w:eastAsiaTheme="minorEastAsia"/>
          <w:sz w:val="21"/>
          <w:szCs w:val="21"/>
        </w:rPr>
      </w:pPr>
    </w:p>
    <w:p w14:paraId="01489364">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14:paraId="131DD40C">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地    址：  邮政编码：</w:t>
      </w:r>
    </w:p>
    <w:p w14:paraId="3033BA57">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电    话：  传    真：</w:t>
      </w:r>
    </w:p>
    <w:p w14:paraId="28B20342">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投标人代表姓名：  职    务：</w:t>
      </w:r>
    </w:p>
    <w:p w14:paraId="2ED57352">
      <w:pPr>
        <w:adjustRightInd w:val="0"/>
        <w:snapToGrid w:val="0"/>
        <w:spacing w:line="360" w:lineRule="auto"/>
        <w:rPr>
          <w:rFonts w:cs="宋体" w:asciiTheme="minorEastAsia" w:hAnsiTheme="minorEastAsia"/>
          <w:szCs w:val="21"/>
          <w:u w:val="single"/>
        </w:rPr>
      </w:pPr>
    </w:p>
    <w:p w14:paraId="4B27DE63">
      <w:pPr>
        <w:adjustRightInd w:val="0"/>
        <w:snapToGrid w:val="0"/>
        <w:spacing w:line="360" w:lineRule="auto"/>
        <w:ind w:firstLine="4305" w:firstLineChars="2050"/>
        <w:rPr>
          <w:rFonts w:cs="宋体" w:asciiTheme="minorEastAsia" w:hAnsiTheme="minorEastAsia"/>
          <w:szCs w:val="21"/>
        </w:rPr>
      </w:pPr>
    </w:p>
    <w:p w14:paraId="2E6DA4FB">
      <w:pPr>
        <w:adjustRightInd w:val="0"/>
        <w:snapToGrid w:val="0"/>
        <w:spacing w:line="360" w:lineRule="auto"/>
        <w:ind w:firstLine="4305" w:firstLineChars="2050"/>
        <w:rPr>
          <w:rFonts w:cs="宋体" w:asciiTheme="minorEastAsia" w:hAnsiTheme="minorEastAsia"/>
          <w:szCs w:val="21"/>
        </w:rPr>
      </w:pPr>
    </w:p>
    <w:p w14:paraId="249D50FB">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投标人名称（并加盖公章）：</w:t>
      </w:r>
    </w:p>
    <w:p w14:paraId="4F9E5FD4">
      <w:pPr>
        <w:adjustRightInd w:val="0"/>
        <w:snapToGrid w:val="0"/>
        <w:spacing w:line="360" w:lineRule="auto"/>
        <w:ind w:firstLine="4305" w:firstLineChars="2050"/>
        <w:rPr>
          <w:rFonts w:cs="宋体" w:asciiTheme="minorEastAsia" w:hAnsiTheme="minorEastAsia"/>
          <w:szCs w:val="21"/>
        </w:rPr>
      </w:pPr>
    </w:p>
    <w:p w14:paraId="03219C80">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14:paraId="7C348473">
      <w:pPr>
        <w:adjustRightInd w:val="0"/>
        <w:snapToGrid w:val="0"/>
        <w:spacing w:line="360" w:lineRule="auto"/>
        <w:ind w:firstLine="4305" w:firstLineChars="2050"/>
        <w:rPr>
          <w:rFonts w:cs="宋体" w:asciiTheme="minorEastAsia" w:hAnsiTheme="minorEastAsia"/>
          <w:szCs w:val="21"/>
        </w:rPr>
      </w:pPr>
    </w:p>
    <w:p w14:paraId="07FFC1A4">
      <w:pPr>
        <w:adjustRightInd w:val="0"/>
        <w:snapToGrid w:val="0"/>
        <w:spacing w:line="360" w:lineRule="auto"/>
        <w:ind w:firstLine="4305" w:firstLineChars="2050"/>
        <w:rPr>
          <w:rFonts w:cs="宋体" w:asciiTheme="minorEastAsia" w:hAnsiTheme="minorEastAsia"/>
          <w:szCs w:val="21"/>
        </w:rPr>
      </w:pPr>
    </w:p>
    <w:p w14:paraId="55BF7E14">
      <w:pPr>
        <w:adjustRightInd w:val="0"/>
        <w:snapToGrid w:val="0"/>
        <w:spacing w:line="360" w:lineRule="auto"/>
        <w:rPr>
          <w:rFonts w:cs="宋体" w:asciiTheme="minorEastAsia" w:hAnsiTheme="minorEastAsia"/>
          <w:szCs w:val="21"/>
        </w:rPr>
      </w:pPr>
    </w:p>
    <w:p w14:paraId="044F8D3D">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32A1161F">
      <w:pPr>
        <w:autoSpaceDE w:val="0"/>
        <w:autoSpaceDN w:val="0"/>
        <w:adjustRightInd w:val="0"/>
        <w:spacing w:line="480" w:lineRule="auto"/>
        <w:ind w:firstLine="616" w:firstLineChars="257"/>
        <w:rPr>
          <w:rFonts w:ascii="宋体" w:hAnsi="宋体"/>
          <w:sz w:val="24"/>
          <w:szCs w:val="24"/>
        </w:rPr>
      </w:pPr>
    </w:p>
    <w:p w14:paraId="56D09D1B">
      <w:pPr>
        <w:pStyle w:val="44"/>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445D9B07">
      <w:pPr>
        <w:pStyle w:val="4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530CC29C">
      <w:pPr>
        <w:pStyle w:val="4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B936339">
      <w:pPr>
        <w:pStyle w:val="4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08F2651D">
      <w:pPr>
        <w:pStyle w:val="4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68BF4886">
      <w:pPr>
        <w:pStyle w:val="4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40DB9394">
      <w:pPr>
        <w:pStyle w:val="44"/>
        <w:spacing w:line="480" w:lineRule="auto"/>
        <w:ind w:firstLine="472" w:firstLineChars="225"/>
        <w:jc w:val="left"/>
        <w:rPr>
          <w:rFonts w:asciiTheme="minorEastAsia" w:hAnsiTheme="minorEastAsia"/>
          <w:sz w:val="21"/>
          <w:szCs w:val="21"/>
        </w:rPr>
      </w:pPr>
    </w:p>
    <w:p w14:paraId="4BB45ADB">
      <w:pPr>
        <w:pStyle w:val="44"/>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23FA9C12">
      <w:pPr>
        <w:pStyle w:val="44"/>
        <w:spacing w:line="480" w:lineRule="auto"/>
        <w:ind w:left="-538" w:leftChars="-256" w:firstLine="539" w:firstLineChars="257"/>
        <w:jc w:val="center"/>
        <w:rPr>
          <w:rFonts w:asciiTheme="minorEastAsia" w:hAnsiTheme="minorEastAsia"/>
          <w:bCs/>
          <w:sz w:val="21"/>
          <w:szCs w:val="21"/>
        </w:rPr>
      </w:pPr>
    </w:p>
    <w:p w14:paraId="0F25DA4F">
      <w:pPr>
        <w:autoSpaceDE w:val="0"/>
        <w:autoSpaceDN w:val="0"/>
        <w:adjustRightInd w:val="0"/>
        <w:spacing w:line="360" w:lineRule="auto"/>
        <w:ind w:right="-11"/>
        <w:rPr>
          <w:rFonts w:cs="宋体" w:asciiTheme="minorEastAsia" w:hAnsiTheme="minorEastAsia"/>
          <w:szCs w:val="21"/>
          <w:lang w:val="zh-CN"/>
        </w:rPr>
      </w:pPr>
    </w:p>
    <w:p w14:paraId="0647701B">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14:paraId="500FF1D3">
      <w:pPr>
        <w:pStyle w:val="47"/>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95688A6">
      <w:pPr>
        <w:pStyle w:val="46"/>
        <w:spacing w:line="480" w:lineRule="auto"/>
        <w:rPr>
          <w:rFonts w:cs="Arial" w:asciiTheme="minorEastAsia" w:hAnsiTheme="minorEastAsia"/>
          <w:sz w:val="21"/>
          <w:szCs w:val="21"/>
        </w:rPr>
      </w:pPr>
    </w:p>
    <w:p w14:paraId="04D59FEA">
      <w:pPr>
        <w:rPr>
          <w:szCs w:val="21"/>
        </w:rPr>
      </w:pPr>
    </w:p>
    <w:p w14:paraId="69779A2A">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5017698F">
      <w:pPr>
        <w:spacing w:line="480" w:lineRule="exact"/>
        <w:jc w:val="center"/>
        <w:rPr>
          <w:rFonts w:ascii="宋体" w:hAnsi="宋体"/>
          <w:b/>
          <w:bCs/>
          <w:sz w:val="36"/>
          <w:szCs w:val="36"/>
        </w:rPr>
      </w:pPr>
    </w:p>
    <w:p w14:paraId="0B7EA69C">
      <w:pPr>
        <w:widowControl/>
        <w:jc w:val="left"/>
        <w:rPr>
          <w:rFonts w:ascii="宋体" w:hAnsi="宋体"/>
          <w:b/>
          <w:bCs/>
          <w:sz w:val="24"/>
          <w:szCs w:val="24"/>
        </w:rPr>
      </w:pPr>
      <w:r>
        <w:rPr>
          <w:rFonts w:ascii="宋体" w:hAnsi="宋体"/>
          <w:b/>
          <w:bCs/>
          <w:sz w:val="24"/>
          <w:szCs w:val="24"/>
        </w:rPr>
        <w:br w:type="page"/>
      </w:r>
    </w:p>
    <w:p w14:paraId="10A95F5D">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14:paraId="6C3AB9CE">
      <w:pPr>
        <w:spacing w:line="480" w:lineRule="exact"/>
        <w:jc w:val="center"/>
        <w:rPr>
          <w:rFonts w:ascii="宋体" w:hAnsi="宋体"/>
          <w:b/>
          <w:bCs/>
          <w:sz w:val="36"/>
          <w:szCs w:val="36"/>
        </w:rPr>
      </w:pPr>
    </w:p>
    <w:p w14:paraId="6B62A521">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14:paraId="21148484">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5AC9C6A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4067B40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37B3318D">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14:paraId="0DD27219">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14:paraId="5AF36AC9">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155D210D">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1894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084EC1DE">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5A6DFDCC">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552D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029F466F">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14:paraId="005C20A4">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14:paraId="1231B578">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14:paraId="3A9E655C">
            <w:pPr>
              <w:jc w:val="center"/>
              <w:rPr>
                <w:rFonts w:asciiTheme="minorEastAsia" w:hAnsiTheme="minorEastAsia"/>
                <w:szCs w:val="21"/>
              </w:rPr>
            </w:pPr>
            <w:r>
              <w:rPr>
                <w:rFonts w:hint="eastAsia" w:asciiTheme="minorEastAsia" w:hAnsiTheme="minorEastAsia"/>
                <w:szCs w:val="21"/>
              </w:rPr>
              <w:t>（反面）</w:t>
            </w:r>
            <w:bookmarkEnd w:id="9"/>
          </w:p>
        </w:tc>
      </w:tr>
    </w:tbl>
    <w:p w14:paraId="751515C6">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投标承诺函</w:t>
      </w:r>
    </w:p>
    <w:p w14:paraId="6B437623">
      <w:pPr>
        <w:autoSpaceDE w:val="0"/>
        <w:autoSpaceDN w:val="0"/>
        <w:snapToGrid w:val="0"/>
        <w:spacing w:line="360" w:lineRule="auto"/>
        <w:jc w:val="center"/>
        <w:rPr>
          <w:rFonts w:ascii="宋体" w:hAnsi="宋体"/>
          <w:b/>
          <w:bCs/>
          <w:sz w:val="24"/>
          <w:szCs w:val="24"/>
        </w:rPr>
      </w:pPr>
    </w:p>
    <w:p w14:paraId="6DC37633">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13E8A21B">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____年____月____日________</w:t>
      </w:r>
      <w:r>
        <w:rPr>
          <w:rFonts w:hint="eastAsia" w:cs="宋体" w:asciiTheme="minorEastAsia" w:hAnsiTheme="minorEastAsia"/>
          <w:i/>
          <w:szCs w:val="21"/>
          <w:u w:val="single"/>
          <w:lang w:val="zh-CN"/>
        </w:rPr>
        <w:t>（招标编号、项目名称）</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04008B0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14:paraId="49545FF2">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14:paraId="18FF9A29">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14:paraId="3FDEE2A4">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14:paraId="54FD2D6B">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14:paraId="0ECD70FF">
      <w:pPr>
        <w:rPr>
          <w:sz w:val="28"/>
          <w:szCs w:val="28"/>
          <w:u w:val="single"/>
        </w:rPr>
      </w:pPr>
    </w:p>
    <w:p w14:paraId="20677208">
      <w:pPr>
        <w:rPr>
          <w:sz w:val="28"/>
          <w:szCs w:val="28"/>
          <w:u w:val="single"/>
        </w:rPr>
      </w:pPr>
    </w:p>
    <w:p w14:paraId="354BCCF1">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投标人名称（并加盖公章）：　　　　　　　　　</w:t>
      </w:r>
    </w:p>
    <w:p w14:paraId="486D0541">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7310B3CE">
      <w:pPr>
        <w:autoSpaceDE w:val="0"/>
        <w:autoSpaceDN w:val="0"/>
        <w:adjustRightInd w:val="0"/>
        <w:spacing w:line="360" w:lineRule="auto"/>
        <w:jc w:val="center"/>
        <w:outlineLvl w:val="0"/>
        <w:rPr>
          <w:rFonts w:hAnsi="宋体" w:eastAsia="宋体"/>
          <w:b/>
          <w:snapToGrid w:val="0"/>
          <w:kern w:val="0"/>
          <w:sz w:val="36"/>
          <w:szCs w:val="36"/>
        </w:rPr>
      </w:pPr>
    </w:p>
    <w:p w14:paraId="5A05A207">
      <w:pPr>
        <w:autoSpaceDE w:val="0"/>
        <w:autoSpaceDN w:val="0"/>
        <w:adjustRightInd w:val="0"/>
        <w:spacing w:line="360" w:lineRule="auto"/>
        <w:jc w:val="center"/>
        <w:rPr>
          <w:rFonts w:ascii="宋体" w:cs="宋体"/>
          <w:szCs w:val="21"/>
          <w:lang w:val="zh-CN"/>
        </w:rPr>
      </w:pPr>
    </w:p>
    <w:p w14:paraId="21684946">
      <w:pPr>
        <w:autoSpaceDE w:val="0"/>
        <w:autoSpaceDN w:val="0"/>
        <w:adjustRightInd w:val="0"/>
        <w:spacing w:line="360" w:lineRule="auto"/>
        <w:jc w:val="center"/>
        <w:rPr>
          <w:rFonts w:ascii="宋体" w:cs="宋体"/>
          <w:szCs w:val="21"/>
          <w:lang w:val="zh-CN"/>
        </w:rPr>
      </w:pPr>
    </w:p>
    <w:p w14:paraId="2F179C00">
      <w:pPr>
        <w:autoSpaceDE w:val="0"/>
        <w:autoSpaceDN w:val="0"/>
        <w:adjustRightInd w:val="0"/>
        <w:spacing w:line="360" w:lineRule="auto"/>
        <w:jc w:val="center"/>
        <w:rPr>
          <w:rFonts w:ascii="宋体" w:cs="宋体"/>
          <w:szCs w:val="21"/>
          <w:lang w:val="zh-CN"/>
        </w:rPr>
      </w:pPr>
    </w:p>
    <w:p w14:paraId="49C52767">
      <w:pPr>
        <w:autoSpaceDE w:val="0"/>
        <w:autoSpaceDN w:val="0"/>
        <w:adjustRightInd w:val="0"/>
        <w:spacing w:line="360" w:lineRule="auto"/>
        <w:jc w:val="center"/>
        <w:rPr>
          <w:rFonts w:ascii="宋体" w:cs="宋体"/>
          <w:szCs w:val="21"/>
          <w:lang w:val="zh-CN"/>
        </w:rPr>
      </w:pPr>
    </w:p>
    <w:p w14:paraId="7A28571B">
      <w:pPr>
        <w:autoSpaceDE w:val="0"/>
        <w:autoSpaceDN w:val="0"/>
        <w:adjustRightInd w:val="0"/>
        <w:spacing w:line="360" w:lineRule="auto"/>
        <w:jc w:val="center"/>
        <w:rPr>
          <w:rFonts w:ascii="宋体" w:cs="宋体"/>
          <w:szCs w:val="21"/>
          <w:lang w:val="zh-CN"/>
        </w:rPr>
      </w:pPr>
    </w:p>
    <w:p w14:paraId="18B46E27">
      <w:pPr>
        <w:autoSpaceDE w:val="0"/>
        <w:autoSpaceDN w:val="0"/>
        <w:adjustRightInd w:val="0"/>
        <w:spacing w:line="360" w:lineRule="auto"/>
        <w:ind w:right="-11"/>
        <w:rPr>
          <w:rFonts w:ascii="宋体" w:cs="宋体"/>
          <w:szCs w:val="21"/>
          <w:lang w:val="zh-CN"/>
        </w:rPr>
      </w:pPr>
    </w:p>
    <w:p w14:paraId="030A1645">
      <w:pPr>
        <w:autoSpaceDE w:val="0"/>
        <w:autoSpaceDN w:val="0"/>
        <w:adjustRightInd w:val="0"/>
        <w:spacing w:line="360" w:lineRule="auto"/>
        <w:jc w:val="center"/>
        <w:rPr>
          <w:rFonts w:cs="宋体" w:asciiTheme="minorEastAsia" w:hAnsiTheme="minorEastAsia"/>
          <w:sz w:val="24"/>
          <w:szCs w:val="24"/>
          <w:lang w:val="zh-CN"/>
        </w:rPr>
      </w:pPr>
    </w:p>
    <w:p w14:paraId="37BBF651">
      <w:pPr>
        <w:autoSpaceDE w:val="0"/>
        <w:autoSpaceDN w:val="0"/>
        <w:adjustRightInd w:val="0"/>
        <w:spacing w:line="360" w:lineRule="auto"/>
        <w:jc w:val="center"/>
        <w:rPr>
          <w:rFonts w:cs="宋体" w:asciiTheme="minorEastAsia" w:hAnsiTheme="minorEastAsia"/>
          <w:sz w:val="24"/>
          <w:szCs w:val="24"/>
          <w:lang w:val="zh-CN"/>
        </w:rPr>
      </w:pPr>
    </w:p>
    <w:p w14:paraId="2E27797A">
      <w:pPr>
        <w:spacing w:line="360" w:lineRule="auto"/>
        <w:jc w:val="center"/>
        <w:rPr>
          <w:rFonts w:ascii="宋体" w:hAnsi="宋体"/>
          <w:b/>
          <w:bCs/>
          <w:sz w:val="24"/>
          <w:szCs w:val="24"/>
        </w:rPr>
      </w:pPr>
      <w:r>
        <w:rPr>
          <w:rFonts w:hint="eastAsia" w:ascii="宋体" w:hAnsi="宋体"/>
          <w:b/>
          <w:bCs/>
          <w:sz w:val="24"/>
          <w:szCs w:val="24"/>
        </w:rPr>
        <w:t>3.5禹州市政府采购供应商信用承诺函</w:t>
      </w:r>
    </w:p>
    <w:p w14:paraId="7B91DBFF">
      <w:pPr>
        <w:rPr>
          <w:rFonts w:cs="宋体" w:asciiTheme="minorEastAsia" w:hAnsiTheme="minorEastAsia"/>
          <w:szCs w:val="21"/>
          <w:lang w:val="zh-CN"/>
        </w:rPr>
      </w:pPr>
    </w:p>
    <w:p w14:paraId="455E8B3C">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0AC1B2D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14:paraId="18CF4FD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14:paraId="1BBCB35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14:paraId="26658CB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04FB5E6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7FFBA53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5F6B17B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61350BE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2D8D9F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1330E36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1FBD4F66">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3A28D64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12F7E9D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1111E25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16A4F83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563A86C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151B8A5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14:paraId="517CB5C8">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14:paraId="3E90111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559E4BA9">
      <w:pPr>
        <w:rPr>
          <w:rFonts w:cs="宋体" w:asciiTheme="minorEastAsia" w:hAnsiTheme="minorEastAsia"/>
          <w:szCs w:val="21"/>
          <w:lang w:val="zh-CN"/>
        </w:rPr>
      </w:pPr>
    </w:p>
    <w:p w14:paraId="363BC290">
      <w:pPr>
        <w:rPr>
          <w:rFonts w:ascii="仿宋" w:hAnsi="仿宋" w:eastAsia="仿宋" w:cs="华文仿宋"/>
          <w:szCs w:val="21"/>
        </w:rPr>
      </w:pPr>
    </w:p>
    <w:p w14:paraId="46187B10">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72267FC0">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2BEA4DF6">
      <w:pPr>
        <w:rPr>
          <w:rFonts w:ascii="仿宋" w:hAnsi="仿宋" w:eastAsia="仿宋"/>
          <w:sz w:val="32"/>
          <w:szCs w:val="32"/>
        </w:rPr>
      </w:pPr>
    </w:p>
    <w:p w14:paraId="6F56305F">
      <w:pPr>
        <w:rPr>
          <w:rFonts w:ascii="仿宋" w:hAnsi="仿宋" w:eastAsia="仿宋"/>
          <w:sz w:val="32"/>
          <w:szCs w:val="32"/>
        </w:rPr>
      </w:pPr>
    </w:p>
    <w:p w14:paraId="39A414BD">
      <w:pPr>
        <w:rPr>
          <w:rFonts w:ascii="仿宋" w:hAnsi="仿宋" w:eastAsia="仿宋"/>
          <w:sz w:val="32"/>
          <w:szCs w:val="32"/>
        </w:rPr>
      </w:pPr>
    </w:p>
    <w:p w14:paraId="0023A595">
      <w:pPr>
        <w:rPr>
          <w:rFonts w:ascii="仿宋" w:hAnsi="仿宋" w:eastAsia="仿宋"/>
          <w:sz w:val="32"/>
          <w:szCs w:val="32"/>
        </w:rPr>
      </w:pPr>
    </w:p>
    <w:p w14:paraId="20DB1E69">
      <w:pPr>
        <w:rPr>
          <w:rFonts w:ascii="仿宋" w:hAnsi="仿宋" w:eastAsia="仿宋"/>
          <w:sz w:val="32"/>
          <w:szCs w:val="32"/>
        </w:rPr>
      </w:pPr>
    </w:p>
    <w:p w14:paraId="0F228377">
      <w:pPr>
        <w:pStyle w:val="3"/>
        <w:rPr>
          <w:rFonts w:ascii="宋体" w:cs="宋体"/>
          <w:sz w:val="24"/>
          <w:lang w:val="zh-CN"/>
        </w:rPr>
      </w:pPr>
    </w:p>
    <w:p w14:paraId="654C5B20">
      <w:pPr>
        <w:pStyle w:val="3"/>
        <w:rPr>
          <w:rFonts w:ascii="宋体" w:cs="宋体"/>
          <w:sz w:val="24"/>
          <w:lang w:val="zh-CN"/>
        </w:rPr>
      </w:pPr>
    </w:p>
    <w:p w14:paraId="5CE32BD6">
      <w:pPr>
        <w:pStyle w:val="3"/>
        <w:rPr>
          <w:rFonts w:ascii="宋体" w:cs="宋体"/>
          <w:sz w:val="24"/>
          <w:lang w:val="zh-CN"/>
        </w:rPr>
      </w:pPr>
    </w:p>
    <w:p w14:paraId="707894DC">
      <w:pPr>
        <w:spacing w:line="360" w:lineRule="auto"/>
        <w:rPr>
          <w:rFonts w:ascii="宋体" w:hAnsi="宋体"/>
          <w:b/>
          <w:bCs/>
          <w:sz w:val="24"/>
          <w:szCs w:val="24"/>
        </w:rPr>
      </w:pPr>
    </w:p>
    <w:p w14:paraId="1F9F8CB8">
      <w:pPr>
        <w:shd w:val="clear" w:color="auto" w:fill="FFFFFF"/>
        <w:spacing w:before="100" w:beforeAutospacing="1" w:after="100" w:afterAutospacing="1" w:line="435" w:lineRule="atLeast"/>
        <w:jc w:val="center"/>
        <w:rPr>
          <w:rFonts w:ascii="宋体" w:hAnsi="宋体" w:eastAsia="宋体" w:cs="Arial"/>
          <w:b/>
          <w:bCs/>
          <w:color w:val="333333"/>
          <w:kern w:val="0"/>
          <w:sz w:val="29"/>
        </w:rPr>
      </w:pPr>
      <w:r>
        <w:rPr>
          <w:rFonts w:hint="eastAsia" w:ascii="宋体" w:hAnsi="宋体" w:eastAsia="宋体" w:cs="Arial"/>
          <w:b/>
          <w:bCs/>
          <w:color w:val="333333"/>
          <w:kern w:val="0"/>
          <w:sz w:val="29"/>
          <w:lang w:val="en-US" w:eastAsia="zh-CN"/>
        </w:rPr>
        <w:t xml:space="preserve">3.6 </w:t>
      </w:r>
      <w:r>
        <w:rPr>
          <w:rFonts w:hint="eastAsia" w:ascii="宋体" w:hAnsi="宋体" w:eastAsia="宋体" w:cs="Arial"/>
          <w:b/>
          <w:bCs/>
          <w:color w:val="333333"/>
          <w:kern w:val="0"/>
          <w:sz w:val="29"/>
        </w:rPr>
        <w:t>中小企业声明函（服务）</w:t>
      </w:r>
    </w:p>
    <w:p w14:paraId="14477F12">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本公司（联合体）郑重声明，根据《政府采购促进中小企业发展管理办法》（财库﹝2020﹞46 号）的规定，本公司（联合体）参加</w:t>
      </w:r>
      <w:r>
        <w:rPr>
          <w:rFonts w:hint="eastAsia" w:ascii="宋体" w:hAnsi="宋体" w:eastAsia="宋体" w:cs="Arial"/>
          <w:color w:val="333333"/>
          <w:kern w:val="0"/>
          <w:szCs w:val="21"/>
          <w:u w:val="single"/>
        </w:rPr>
        <w:t>    （单位名称）</w:t>
      </w:r>
      <w:r>
        <w:rPr>
          <w:rFonts w:hint="eastAsia" w:ascii="宋体" w:hAnsi="宋体" w:eastAsia="宋体" w:cs="Arial"/>
          <w:color w:val="333333"/>
          <w:kern w:val="0"/>
          <w:szCs w:val="21"/>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4D0E5F3E">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u w:val="single"/>
        </w:rPr>
        <w:t>1.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；承建（承接）企业为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14:paraId="1AE796FC">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2.</w:t>
      </w:r>
      <w:r>
        <w:rPr>
          <w:rFonts w:hint="eastAsia" w:ascii="宋体" w:hAnsi="宋体" w:eastAsia="宋体" w:cs="Arial"/>
          <w:color w:val="333333"/>
          <w:kern w:val="0"/>
          <w:szCs w:val="21"/>
          <w:u w:val="single"/>
        </w:rPr>
        <w:t>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行业；制造商为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w:t>
      </w:r>
      <w:r>
        <w:rPr>
          <w:rFonts w:hint="eastAsia" w:ascii="宋体" w:hAnsi="宋体" w:eastAsia="宋体" w:cs="Arial"/>
          <w:color w:val="333333"/>
          <w:kern w:val="0"/>
          <w:szCs w:val="21"/>
          <w:vertAlign w:val="superscript"/>
        </w:rPr>
        <w:t>1</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14:paraId="5957828C">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w:t>
      </w:r>
    </w:p>
    <w:p w14:paraId="62FA0923">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以上企业，不属于大企业的分支机构，不存在控股股东为大企业的情形，也不存在与大企业的负责人为同一人的情形。</w:t>
      </w:r>
    </w:p>
    <w:p w14:paraId="206A1FF7">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本企业对上述声明内容的真实性负责。如有虚假，将依法承担相应责任。</w:t>
      </w:r>
    </w:p>
    <w:p w14:paraId="41B5763E">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企业名称（盖章）：</w:t>
      </w:r>
    </w:p>
    <w:p w14:paraId="35E0BDE2">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日 期：</w:t>
      </w:r>
    </w:p>
    <w:p w14:paraId="06FBA58A">
      <w:pPr>
        <w:autoSpaceDE w:val="0"/>
        <w:autoSpaceDN w:val="0"/>
        <w:adjustRightInd w:val="0"/>
        <w:spacing w:line="360" w:lineRule="auto"/>
        <w:outlineLvl w:val="0"/>
        <w:rPr>
          <w:rFonts w:ascii="宋体" w:hAnsi="宋体"/>
          <w:szCs w:val="21"/>
        </w:rPr>
      </w:pPr>
      <w:r>
        <w:rPr>
          <w:rFonts w:hint="eastAsia" w:ascii="宋体" w:hAnsi="宋体"/>
          <w:szCs w:val="21"/>
        </w:rPr>
        <w:t>说明：</w:t>
      </w:r>
    </w:p>
    <w:p w14:paraId="46CDC508">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0B296559">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5BEA7E3B">
      <w:pPr>
        <w:widowControl/>
        <w:spacing w:before="100" w:beforeAutospacing="1" w:after="100" w:afterAutospacing="1" w:line="360" w:lineRule="auto"/>
        <w:contextualSpacing/>
        <w:jc w:val="left"/>
        <w:rPr>
          <w:rFonts w:ascii="宋体" w:hAnsi="宋体" w:cs="Arial"/>
          <w:kern w:val="0"/>
          <w:szCs w:val="21"/>
        </w:rPr>
      </w:pPr>
    </w:p>
    <w:p w14:paraId="5F438EF5">
      <w:pPr>
        <w:widowControl/>
        <w:jc w:val="left"/>
        <w:rPr>
          <w:rFonts w:ascii="宋体" w:hAnsi="宋体"/>
          <w:b/>
          <w:bCs/>
          <w:sz w:val="24"/>
          <w:szCs w:val="24"/>
        </w:rPr>
      </w:pPr>
    </w:p>
    <w:p w14:paraId="578303B0">
      <w:pPr>
        <w:shd w:val="clear" w:color="auto" w:fill="FFFFFF"/>
        <w:spacing w:before="100" w:beforeAutospacing="1" w:after="100" w:afterAutospacing="1" w:line="435" w:lineRule="atLeast"/>
        <w:rPr>
          <w:rFonts w:ascii="Arial" w:hAnsi="Arial" w:eastAsia="宋体" w:cs="Arial"/>
          <w:color w:val="333333"/>
          <w:kern w:val="0"/>
          <w:szCs w:val="21"/>
        </w:rPr>
      </w:pPr>
    </w:p>
    <w:p w14:paraId="3C1DB04C">
      <w:pPr>
        <w:autoSpaceDE w:val="0"/>
        <w:autoSpaceDN w:val="0"/>
        <w:adjustRightInd w:val="0"/>
        <w:spacing w:line="360" w:lineRule="auto"/>
        <w:jc w:val="center"/>
        <w:outlineLvl w:val="0"/>
        <w:rPr>
          <w:rFonts w:ascii="宋体" w:hAnsi="宋体"/>
          <w:b/>
          <w:bCs/>
          <w:sz w:val="24"/>
          <w:szCs w:val="24"/>
        </w:rPr>
      </w:pPr>
      <w:bookmarkStart w:id="10" w:name="OLE_LINK14"/>
      <w:bookmarkStart w:id="11" w:name="OLE_LINK13"/>
      <w:r>
        <w:rPr>
          <w:rFonts w:hint="eastAsia" w:ascii="宋体" w:hAnsi="宋体"/>
          <w:b/>
          <w:bCs/>
          <w:sz w:val="24"/>
          <w:szCs w:val="24"/>
          <w:lang w:val="en-US" w:eastAsia="zh-CN"/>
        </w:rPr>
        <w:t>3.7</w:t>
      </w:r>
      <w:r>
        <w:rPr>
          <w:rFonts w:hint="eastAsia" w:ascii="宋体" w:hAnsi="宋体"/>
          <w:b/>
          <w:bCs/>
          <w:sz w:val="24"/>
          <w:szCs w:val="24"/>
        </w:rPr>
        <w:t xml:space="preserve">   残疾人福利性单位声明函</w:t>
      </w:r>
    </w:p>
    <w:bookmarkEnd w:id="10"/>
    <w:bookmarkEnd w:id="11"/>
    <w:p w14:paraId="7C04F00A">
      <w:pPr>
        <w:spacing w:line="360" w:lineRule="auto"/>
        <w:rPr>
          <w:rFonts w:ascii="宋体" w:hAnsi="宋体"/>
          <w:szCs w:val="21"/>
        </w:rPr>
      </w:pPr>
    </w:p>
    <w:p w14:paraId="0A3A3DA4">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6253EB7">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0CDF4277">
      <w:pPr>
        <w:spacing w:line="360" w:lineRule="auto"/>
        <w:rPr>
          <w:rFonts w:ascii="宋体" w:hAnsi="宋体"/>
          <w:szCs w:val="21"/>
        </w:rPr>
      </w:pPr>
    </w:p>
    <w:p w14:paraId="1479845B">
      <w:pPr>
        <w:spacing w:line="360" w:lineRule="auto"/>
        <w:rPr>
          <w:rFonts w:ascii="宋体" w:hAnsi="宋体"/>
          <w:szCs w:val="21"/>
        </w:rPr>
      </w:pPr>
    </w:p>
    <w:p w14:paraId="70D65013">
      <w:pPr>
        <w:spacing w:line="360" w:lineRule="auto"/>
        <w:rPr>
          <w:rFonts w:ascii="宋体" w:hAnsi="宋体"/>
          <w:szCs w:val="21"/>
        </w:rPr>
      </w:pPr>
    </w:p>
    <w:p w14:paraId="1BFA377C">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4FA3A122">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7D3BC370">
      <w:pPr>
        <w:spacing w:line="480" w:lineRule="auto"/>
        <w:ind w:left="4358" w:leftChars="2075"/>
        <w:rPr>
          <w:rFonts w:cs="Arial" w:asciiTheme="minorEastAsia" w:hAnsiTheme="minorEastAsia"/>
          <w:szCs w:val="21"/>
        </w:rPr>
      </w:pPr>
    </w:p>
    <w:p w14:paraId="70E974A3"/>
    <w:p w14:paraId="31CA94CA"/>
    <w:p w14:paraId="30833E00"/>
    <w:p w14:paraId="64E95268"/>
    <w:p w14:paraId="14DF1CCA"/>
    <w:p w14:paraId="18FBB87A"/>
    <w:p w14:paraId="76C9A575"/>
    <w:p w14:paraId="78E22D66">
      <w:pPr>
        <w:spacing w:line="360" w:lineRule="auto"/>
        <w:jc w:val="center"/>
        <w:rPr>
          <w:rFonts w:ascii="宋体" w:hAnsi="宋体"/>
          <w:b/>
          <w:bCs/>
          <w:sz w:val="24"/>
          <w:szCs w:val="24"/>
        </w:rPr>
      </w:pPr>
    </w:p>
    <w:p w14:paraId="0F62AD92">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8</w:t>
      </w:r>
      <w:r>
        <w:rPr>
          <w:rFonts w:hint="eastAsia" w:ascii="宋体" w:hAnsi="宋体"/>
          <w:b/>
          <w:bCs/>
          <w:sz w:val="24"/>
          <w:szCs w:val="24"/>
        </w:rPr>
        <w:t>投标人提供与参加本项目投标的其他供应商之间，单位负责人不为同一人并且不存在直接控股、管理关系承诺函</w:t>
      </w:r>
    </w:p>
    <w:p w14:paraId="0C894DB4">
      <w:pPr>
        <w:spacing w:line="360" w:lineRule="auto"/>
        <w:jc w:val="center"/>
        <w:rPr>
          <w:rFonts w:ascii="宋体" w:hAnsi="宋体"/>
          <w:bCs/>
          <w:sz w:val="24"/>
          <w:szCs w:val="24"/>
        </w:rPr>
      </w:pPr>
      <w:r>
        <w:rPr>
          <w:rFonts w:hint="eastAsia" w:ascii="宋体" w:hAnsi="宋体"/>
          <w:bCs/>
          <w:sz w:val="24"/>
          <w:szCs w:val="24"/>
        </w:rPr>
        <w:t>（承诺函格式自拟）</w:t>
      </w:r>
    </w:p>
    <w:p w14:paraId="351427A3">
      <w:pPr>
        <w:autoSpaceDE w:val="0"/>
        <w:autoSpaceDN w:val="0"/>
        <w:adjustRightInd w:val="0"/>
        <w:spacing w:line="360" w:lineRule="auto"/>
        <w:jc w:val="center"/>
        <w:outlineLvl w:val="0"/>
        <w:rPr>
          <w:rFonts w:ascii="宋体" w:hAnsi="宋体"/>
          <w:b/>
          <w:bCs/>
          <w:sz w:val="24"/>
          <w:szCs w:val="24"/>
        </w:rPr>
      </w:pPr>
    </w:p>
    <w:p w14:paraId="29808ACF">
      <w:pPr>
        <w:widowControl/>
        <w:jc w:val="left"/>
        <w:rPr>
          <w:rFonts w:ascii="宋体" w:hAnsi="宋体"/>
          <w:b/>
          <w:bCs/>
          <w:sz w:val="24"/>
          <w:szCs w:val="24"/>
        </w:rPr>
      </w:pPr>
      <w:r>
        <w:rPr>
          <w:rFonts w:ascii="宋体" w:hAnsi="宋体"/>
          <w:b/>
          <w:bCs/>
          <w:sz w:val="24"/>
          <w:szCs w:val="24"/>
        </w:rPr>
        <w:br w:type="page"/>
      </w:r>
    </w:p>
    <w:p w14:paraId="4C1BB364">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9</w:t>
      </w:r>
      <w:r>
        <w:rPr>
          <w:rFonts w:hint="eastAsia" w:ascii="宋体" w:hAnsi="宋体"/>
          <w:b/>
          <w:bCs/>
          <w:sz w:val="24"/>
          <w:szCs w:val="24"/>
        </w:rPr>
        <w:t>投标人提供未为本项目提供整体设计、规范编制或者项目管理、监理、检测等服务承诺函</w:t>
      </w:r>
    </w:p>
    <w:p w14:paraId="14C824CE">
      <w:pPr>
        <w:spacing w:line="360" w:lineRule="auto"/>
        <w:jc w:val="center"/>
        <w:rPr>
          <w:rFonts w:ascii="宋体" w:hAnsi="宋体"/>
          <w:bCs/>
          <w:sz w:val="24"/>
          <w:szCs w:val="24"/>
        </w:rPr>
      </w:pPr>
      <w:r>
        <w:rPr>
          <w:rFonts w:hint="eastAsia" w:ascii="宋体" w:hAnsi="宋体"/>
          <w:bCs/>
          <w:sz w:val="24"/>
          <w:szCs w:val="24"/>
        </w:rPr>
        <w:t>（承诺函格式自拟）</w:t>
      </w:r>
    </w:p>
    <w:p w14:paraId="7BDBC7CF">
      <w:pPr>
        <w:spacing w:line="360" w:lineRule="auto"/>
        <w:jc w:val="center"/>
        <w:rPr>
          <w:rFonts w:ascii="宋体" w:hAnsi="宋体"/>
          <w:bCs/>
          <w:sz w:val="24"/>
          <w:szCs w:val="24"/>
        </w:rPr>
      </w:pPr>
    </w:p>
    <w:p w14:paraId="7E7323FE">
      <w:pPr>
        <w:spacing w:line="360" w:lineRule="auto"/>
        <w:jc w:val="center"/>
        <w:rPr>
          <w:rFonts w:ascii="宋体" w:hAnsi="宋体"/>
          <w:bCs/>
          <w:sz w:val="24"/>
          <w:szCs w:val="24"/>
        </w:rPr>
      </w:pPr>
    </w:p>
    <w:p w14:paraId="4F71B8A4">
      <w:pPr>
        <w:spacing w:line="360" w:lineRule="auto"/>
        <w:jc w:val="center"/>
        <w:rPr>
          <w:rFonts w:ascii="宋体" w:hAnsi="宋体"/>
          <w:bCs/>
          <w:sz w:val="24"/>
          <w:szCs w:val="24"/>
        </w:rPr>
      </w:pPr>
    </w:p>
    <w:p w14:paraId="3A94B94F">
      <w:pPr>
        <w:spacing w:line="360" w:lineRule="auto"/>
        <w:jc w:val="center"/>
        <w:rPr>
          <w:rFonts w:ascii="宋体" w:hAnsi="宋体"/>
          <w:bCs/>
          <w:sz w:val="24"/>
          <w:szCs w:val="24"/>
        </w:rPr>
      </w:pPr>
    </w:p>
    <w:p w14:paraId="12BB0522">
      <w:pPr>
        <w:spacing w:line="360" w:lineRule="auto"/>
        <w:jc w:val="center"/>
        <w:rPr>
          <w:rFonts w:ascii="宋体" w:hAnsi="宋体"/>
          <w:bCs/>
          <w:sz w:val="24"/>
          <w:szCs w:val="24"/>
        </w:rPr>
      </w:pPr>
    </w:p>
    <w:p w14:paraId="65764FC9">
      <w:pPr>
        <w:spacing w:line="360" w:lineRule="auto"/>
        <w:jc w:val="center"/>
        <w:rPr>
          <w:rFonts w:ascii="宋体" w:hAnsi="宋体"/>
          <w:bCs/>
          <w:sz w:val="24"/>
          <w:szCs w:val="24"/>
        </w:rPr>
      </w:pPr>
    </w:p>
    <w:p w14:paraId="20F18EE8">
      <w:pPr>
        <w:spacing w:line="360" w:lineRule="auto"/>
        <w:jc w:val="center"/>
        <w:rPr>
          <w:rFonts w:ascii="宋体" w:hAnsi="宋体"/>
          <w:bCs/>
          <w:sz w:val="24"/>
          <w:szCs w:val="24"/>
        </w:rPr>
      </w:pPr>
    </w:p>
    <w:p w14:paraId="05B583C5">
      <w:pPr>
        <w:spacing w:line="360" w:lineRule="auto"/>
        <w:jc w:val="center"/>
        <w:rPr>
          <w:rFonts w:ascii="宋体" w:hAnsi="宋体"/>
          <w:bCs/>
          <w:sz w:val="24"/>
          <w:szCs w:val="24"/>
        </w:rPr>
      </w:pPr>
    </w:p>
    <w:p w14:paraId="305E3171">
      <w:pPr>
        <w:spacing w:line="360" w:lineRule="auto"/>
        <w:jc w:val="center"/>
        <w:rPr>
          <w:rFonts w:ascii="宋体" w:hAnsi="宋体"/>
          <w:bCs/>
          <w:sz w:val="24"/>
          <w:szCs w:val="24"/>
        </w:rPr>
      </w:pPr>
    </w:p>
    <w:p w14:paraId="64C2AE10">
      <w:pPr>
        <w:spacing w:line="360" w:lineRule="auto"/>
        <w:jc w:val="center"/>
        <w:rPr>
          <w:rFonts w:ascii="宋体" w:hAnsi="宋体"/>
          <w:bCs/>
          <w:sz w:val="24"/>
          <w:szCs w:val="24"/>
        </w:rPr>
      </w:pPr>
    </w:p>
    <w:p w14:paraId="00F93725">
      <w:pPr>
        <w:spacing w:line="360" w:lineRule="auto"/>
        <w:jc w:val="center"/>
        <w:rPr>
          <w:rFonts w:ascii="宋体" w:hAnsi="宋体"/>
          <w:bCs/>
          <w:sz w:val="24"/>
          <w:szCs w:val="24"/>
        </w:rPr>
      </w:pPr>
    </w:p>
    <w:p w14:paraId="0E56AEFF">
      <w:pPr>
        <w:spacing w:line="360" w:lineRule="auto"/>
        <w:jc w:val="center"/>
        <w:rPr>
          <w:rFonts w:ascii="宋体" w:hAnsi="宋体"/>
          <w:bCs/>
          <w:sz w:val="24"/>
          <w:szCs w:val="24"/>
        </w:rPr>
      </w:pPr>
    </w:p>
    <w:p w14:paraId="5A37DC3F">
      <w:pPr>
        <w:spacing w:line="360" w:lineRule="auto"/>
        <w:jc w:val="center"/>
        <w:rPr>
          <w:rFonts w:ascii="宋体" w:hAnsi="宋体"/>
          <w:bCs/>
          <w:sz w:val="24"/>
          <w:szCs w:val="24"/>
        </w:rPr>
      </w:pPr>
    </w:p>
    <w:p w14:paraId="32C92EEF">
      <w:pPr>
        <w:spacing w:line="360" w:lineRule="auto"/>
        <w:jc w:val="center"/>
        <w:rPr>
          <w:rFonts w:ascii="宋体" w:hAnsi="宋体"/>
          <w:bCs/>
          <w:sz w:val="24"/>
          <w:szCs w:val="24"/>
        </w:rPr>
      </w:pPr>
    </w:p>
    <w:p w14:paraId="3526F594">
      <w:pPr>
        <w:spacing w:line="360" w:lineRule="auto"/>
        <w:jc w:val="center"/>
        <w:rPr>
          <w:rFonts w:ascii="宋体" w:hAnsi="宋体"/>
          <w:bCs/>
          <w:sz w:val="24"/>
          <w:szCs w:val="24"/>
        </w:rPr>
      </w:pPr>
    </w:p>
    <w:p w14:paraId="467DC2D0">
      <w:pPr>
        <w:spacing w:line="360" w:lineRule="auto"/>
        <w:jc w:val="center"/>
        <w:rPr>
          <w:rFonts w:ascii="宋体" w:hAnsi="宋体"/>
          <w:bCs/>
          <w:sz w:val="24"/>
          <w:szCs w:val="24"/>
        </w:rPr>
      </w:pPr>
    </w:p>
    <w:p w14:paraId="63B3E962">
      <w:pPr>
        <w:spacing w:line="360" w:lineRule="auto"/>
        <w:jc w:val="center"/>
        <w:rPr>
          <w:rFonts w:ascii="宋体" w:hAnsi="宋体"/>
          <w:bCs/>
          <w:sz w:val="24"/>
          <w:szCs w:val="24"/>
        </w:rPr>
      </w:pPr>
    </w:p>
    <w:p w14:paraId="01B9947A">
      <w:pPr>
        <w:spacing w:line="360" w:lineRule="auto"/>
        <w:jc w:val="center"/>
        <w:rPr>
          <w:rFonts w:ascii="宋体" w:hAnsi="宋体"/>
          <w:bCs/>
          <w:sz w:val="24"/>
          <w:szCs w:val="24"/>
        </w:rPr>
      </w:pPr>
    </w:p>
    <w:p w14:paraId="7040BF10">
      <w:pPr>
        <w:spacing w:line="360" w:lineRule="auto"/>
        <w:jc w:val="center"/>
        <w:rPr>
          <w:rFonts w:ascii="宋体" w:hAnsi="宋体"/>
          <w:bCs/>
          <w:sz w:val="24"/>
          <w:szCs w:val="24"/>
        </w:rPr>
      </w:pPr>
    </w:p>
    <w:p w14:paraId="5CC771B0">
      <w:pPr>
        <w:spacing w:line="360" w:lineRule="auto"/>
        <w:jc w:val="center"/>
        <w:rPr>
          <w:rFonts w:ascii="宋体" w:hAnsi="宋体"/>
          <w:bCs/>
          <w:sz w:val="24"/>
          <w:szCs w:val="24"/>
        </w:rPr>
      </w:pPr>
    </w:p>
    <w:p w14:paraId="1AA40B5D">
      <w:pPr>
        <w:spacing w:line="360" w:lineRule="auto"/>
        <w:jc w:val="center"/>
        <w:rPr>
          <w:rFonts w:ascii="宋体" w:hAnsi="宋体"/>
          <w:bCs/>
          <w:sz w:val="24"/>
          <w:szCs w:val="24"/>
        </w:rPr>
      </w:pPr>
    </w:p>
    <w:p w14:paraId="6EA2F1D6">
      <w:pPr>
        <w:spacing w:line="360" w:lineRule="auto"/>
        <w:jc w:val="center"/>
        <w:rPr>
          <w:rFonts w:ascii="宋体" w:hAnsi="宋体"/>
          <w:bCs/>
          <w:sz w:val="24"/>
          <w:szCs w:val="24"/>
        </w:rPr>
      </w:pPr>
    </w:p>
    <w:p w14:paraId="60E44549">
      <w:pPr>
        <w:spacing w:line="360" w:lineRule="auto"/>
        <w:jc w:val="center"/>
        <w:rPr>
          <w:rFonts w:ascii="宋体" w:hAnsi="宋体"/>
          <w:bCs/>
          <w:sz w:val="24"/>
          <w:szCs w:val="24"/>
        </w:rPr>
      </w:pPr>
    </w:p>
    <w:p w14:paraId="6CEDBF39">
      <w:pPr>
        <w:spacing w:line="360" w:lineRule="auto"/>
        <w:jc w:val="center"/>
        <w:rPr>
          <w:rFonts w:ascii="宋体" w:hAnsi="宋体"/>
          <w:bCs/>
          <w:sz w:val="24"/>
          <w:szCs w:val="24"/>
        </w:rPr>
      </w:pPr>
    </w:p>
    <w:p w14:paraId="32B8202D">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10</w:t>
      </w:r>
      <w:r>
        <w:rPr>
          <w:rFonts w:hint="eastAsia" w:ascii="宋体" w:hAnsi="宋体"/>
          <w:b/>
          <w:bCs/>
          <w:sz w:val="24"/>
          <w:szCs w:val="24"/>
        </w:rPr>
        <w:t xml:space="preserve"> 其他资格证书或材料 </w:t>
      </w:r>
    </w:p>
    <w:p w14:paraId="76ECE597">
      <w:pPr>
        <w:autoSpaceDE w:val="0"/>
        <w:autoSpaceDN w:val="0"/>
        <w:adjustRightInd w:val="0"/>
        <w:spacing w:line="360" w:lineRule="auto"/>
        <w:jc w:val="center"/>
        <w:outlineLvl w:val="0"/>
        <w:rPr>
          <w:rFonts w:hAnsi="宋体" w:eastAsia="宋体"/>
          <w:b/>
          <w:snapToGrid w:val="0"/>
          <w:kern w:val="0"/>
          <w:sz w:val="36"/>
          <w:szCs w:val="36"/>
        </w:rPr>
      </w:pPr>
    </w:p>
    <w:p w14:paraId="18F6EDDE">
      <w:pPr>
        <w:autoSpaceDE w:val="0"/>
        <w:autoSpaceDN w:val="0"/>
        <w:adjustRightInd w:val="0"/>
        <w:spacing w:line="360" w:lineRule="auto"/>
        <w:jc w:val="center"/>
        <w:outlineLvl w:val="0"/>
        <w:rPr>
          <w:rFonts w:hAnsi="宋体" w:eastAsia="宋体"/>
          <w:b/>
          <w:snapToGrid w:val="0"/>
          <w:kern w:val="0"/>
          <w:sz w:val="36"/>
          <w:szCs w:val="36"/>
        </w:rPr>
      </w:pPr>
    </w:p>
    <w:p w14:paraId="6AAC3EE7">
      <w:pPr>
        <w:autoSpaceDE w:val="0"/>
        <w:autoSpaceDN w:val="0"/>
        <w:adjustRightInd w:val="0"/>
        <w:spacing w:line="360" w:lineRule="auto"/>
        <w:jc w:val="center"/>
        <w:outlineLvl w:val="0"/>
        <w:rPr>
          <w:rFonts w:hAnsi="宋体" w:eastAsia="宋体"/>
          <w:b/>
          <w:snapToGrid w:val="0"/>
          <w:kern w:val="0"/>
          <w:sz w:val="36"/>
          <w:szCs w:val="36"/>
        </w:rPr>
      </w:pPr>
    </w:p>
    <w:p w14:paraId="2068BBB8">
      <w:pPr>
        <w:autoSpaceDE w:val="0"/>
        <w:autoSpaceDN w:val="0"/>
        <w:adjustRightInd w:val="0"/>
        <w:spacing w:line="360" w:lineRule="auto"/>
        <w:jc w:val="center"/>
        <w:outlineLvl w:val="0"/>
        <w:rPr>
          <w:rFonts w:hAnsi="宋体" w:eastAsia="宋体"/>
          <w:b/>
          <w:snapToGrid w:val="0"/>
          <w:kern w:val="0"/>
          <w:sz w:val="36"/>
          <w:szCs w:val="36"/>
        </w:rPr>
      </w:pPr>
    </w:p>
    <w:p w14:paraId="084E055C">
      <w:pPr>
        <w:autoSpaceDE w:val="0"/>
        <w:autoSpaceDN w:val="0"/>
        <w:adjustRightInd w:val="0"/>
        <w:spacing w:line="360" w:lineRule="auto"/>
        <w:jc w:val="center"/>
        <w:rPr>
          <w:rFonts w:cs="黑体" w:asciiTheme="minorEastAsia" w:hAnsiTheme="minorEastAsia"/>
          <w:b/>
          <w:bCs/>
          <w:sz w:val="44"/>
          <w:szCs w:val="44"/>
          <w:lang w:val="zh-CN"/>
        </w:rPr>
      </w:pPr>
    </w:p>
    <w:p w14:paraId="2F42E8E8">
      <w:pPr>
        <w:autoSpaceDE w:val="0"/>
        <w:autoSpaceDN w:val="0"/>
        <w:adjustRightInd w:val="0"/>
        <w:spacing w:line="360" w:lineRule="auto"/>
        <w:jc w:val="center"/>
        <w:rPr>
          <w:rFonts w:cs="黑体" w:asciiTheme="minorEastAsia" w:hAnsiTheme="minorEastAsia"/>
          <w:b/>
          <w:bCs/>
          <w:sz w:val="44"/>
          <w:szCs w:val="44"/>
          <w:lang w:val="zh-CN"/>
        </w:rPr>
      </w:pPr>
    </w:p>
    <w:p w14:paraId="1DE6897C">
      <w:pPr>
        <w:autoSpaceDE w:val="0"/>
        <w:autoSpaceDN w:val="0"/>
        <w:adjustRightInd w:val="0"/>
        <w:spacing w:line="360" w:lineRule="auto"/>
        <w:jc w:val="center"/>
        <w:rPr>
          <w:rFonts w:cs="黑体" w:asciiTheme="minorEastAsia" w:hAnsiTheme="minorEastAsia"/>
          <w:b/>
          <w:bCs/>
          <w:sz w:val="44"/>
          <w:szCs w:val="44"/>
          <w:lang w:val="zh-CN"/>
        </w:rPr>
      </w:pPr>
    </w:p>
    <w:p w14:paraId="52F38397">
      <w:pPr>
        <w:autoSpaceDE w:val="0"/>
        <w:autoSpaceDN w:val="0"/>
        <w:adjustRightInd w:val="0"/>
        <w:spacing w:line="360" w:lineRule="auto"/>
        <w:jc w:val="center"/>
        <w:rPr>
          <w:rFonts w:cs="黑体" w:asciiTheme="minorEastAsia" w:hAnsiTheme="minorEastAsia"/>
          <w:b/>
          <w:bCs/>
          <w:sz w:val="44"/>
          <w:szCs w:val="44"/>
          <w:lang w:val="zh-CN"/>
        </w:rPr>
      </w:pPr>
    </w:p>
    <w:p w14:paraId="183E3D2D">
      <w:pPr>
        <w:autoSpaceDE w:val="0"/>
        <w:autoSpaceDN w:val="0"/>
        <w:adjustRightInd w:val="0"/>
        <w:spacing w:line="360" w:lineRule="auto"/>
        <w:jc w:val="center"/>
        <w:rPr>
          <w:rFonts w:cs="黑体" w:asciiTheme="minorEastAsia" w:hAnsiTheme="minorEastAsia"/>
          <w:b/>
          <w:bCs/>
          <w:sz w:val="44"/>
          <w:szCs w:val="44"/>
          <w:lang w:val="zh-CN"/>
        </w:rPr>
      </w:pPr>
    </w:p>
    <w:p w14:paraId="7200973F">
      <w:pPr>
        <w:autoSpaceDE w:val="0"/>
        <w:autoSpaceDN w:val="0"/>
        <w:adjustRightInd w:val="0"/>
        <w:spacing w:line="360" w:lineRule="auto"/>
        <w:jc w:val="center"/>
        <w:rPr>
          <w:rFonts w:cs="黑体" w:asciiTheme="minorEastAsia" w:hAnsiTheme="minorEastAsia"/>
          <w:b/>
          <w:bCs/>
          <w:sz w:val="44"/>
          <w:szCs w:val="44"/>
          <w:lang w:val="zh-CN"/>
        </w:rPr>
      </w:pPr>
    </w:p>
    <w:p w14:paraId="18699F9B">
      <w:pPr>
        <w:autoSpaceDE w:val="0"/>
        <w:autoSpaceDN w:val="0"/>
        <w:adjustRightInd w:val="0"/>
        <w:spacing w:line="360" w:lineRule="auto"/>
        <w:jc w:val="center"/>
        <w:rPr>
          <w:rFonts w:cs="黑体" w:asciiTheme="minorEastAsia" w:hAnsiTheme="minorEastAsia"/>
          <w:b/>
          <w:bCs/>
          <w:sz w:val="44"/>
          <w:szCs w:val="44"/>
          <w:lang w:val="zh-CN"/>
        </w:rPr>
      </w:pPr>
    </w:p>
    <w:p w14:paraId="00B7CB68">
      <w:pPr>
        <w:autoSpaceDE w:val="0"/>
        <w:autoSpaceDN w:val="0"/>
        <w:adjustRightInd w:val="0"/>
        <w:spacing w:line="360" w:lineRule="auto"/>
        <w:jc w:val="center"/>
        <w:rPr>
          <w:rFonts w:cs="黑体" w:asciiTheme="minorEastAsia" w:hAnsiTheme="minorEastAsia"/>
          <w:b/>
          <w:bCs/>
          <w:sz w:val="44"/>
          <w:szCs w:val="44"/>
          <w:lang w:val="zh-CN"/>
        </w:rPr>
      </w:pPr>
    </w:p>
    <w:p w14:paraId="68D66DAA">
      <w:pPr>
        <w:autoSpaceDE w:val="0"/>
        <w:autoSpaceDN w:val="0"/>
        <w:adjustRightInd w:val="0"/>
        <w:spacing w:line="360" w:lineRule="auto"/>
        <w:jc w:val="center"/>
        <w:rPr>
          <w:rFonts w:cs="黑体" w:asciiTheme="minorEastAsia" w:hAnsiTheme="minorEastAsia"/>
          <w:b/>
          <w:bCs/>
          <w:sz w:val="44"/>
          <w:szCs w:val="44"/>
          <w:lang w:val="zh-CN"/>
        </w:rPr>
      </w:pPr>
    </w:p>
    <w:p w14:paraId="47B48300">
      <w:pPr>
        <w:autoSpaceDE w:val="0"/>
        <w:autoSpaceDN w:val="0"/>
        <w:adjustRightInd w:val="0"/>
        <w:spacing w:line="360" w:lineRule="auto"/>
        <w:jc w:val="center"/>
        <w:rPr>
          <w:rFonts w:cs="黑体" w:asciiTheme="minorEastAsia" w:hAnsiTheme="minorEastAsia"/>
          <w:b/>
          <w:bCs/>
          <w:sz w:val="44"/>
          <w:szCs w:val="44"/>
          <w:lang w:val="zh-CN"/>
        </w:rPr>
      </w:pPr>
    </w:p>
    <w:p w14:paraId="304826B0">
      <w:pPr>
        <w:autoSpaceDE w:val="0"/>
        <w:autoSpaceDN w:val="0"/>
        <w:adjustRightInd w:val="0"/>
        <w:spacing w:line="360" w:lineRule="auto"/>
        <w:jc w:val="center"/>
        <w:rPr>
          <w:rFonts w:cs="黑体" w:asciiTheme="minorEastAsia" w:hAnsiTheme="minorEastAsia"/>
          <w:b/>
          <w:bCs/>
          <w:sz w:val="44"/>
          <w:szCs w:val="44"/>
          <w:lang w:val="zh-CN"/>
        </w:rPr>
      </w:pPr>
    </w:p>
    <w:p w14:paraId="2AB8D10E">
      <w:pPr>
        <w:autoSpaceDE w:val="0"/>
        <w:autoSpaceDN w:val="0"/>
        <w:adjustRightInd w:val="0"/>
        <w:spacing w:line="360" w:lineRule="auto"/>
        <w:jc w:val="center"/>
        <w:rPr>
          <w:rFonts w:cs="黑体" w:asciiTheme="minorEastAsia" w:hAnsiTheme="minorEastAsia"/>
          <w:b/>
          <w:bCs/>
          <w:sz w:val="44"/>
          <w:szCs w:val="44"/>
          <w:lang w:val="zh-CN"/>
        </w:rPr>
      </w:pPr>
    </w:p>
    <w:p w14:paraId="467ACF61">
      <w:pPr>
        <w:autoSpaceDE w:val="0"/>
        <w:autoSpaceDN w:val="0"/>
        <w:adjustRightInd w:val="0"/>
        <w:spacing w:line="360" w:lineRule="auto"/>
        <w:jc w:val="center"/>
        <w:rPr>
          <w:rFonts w:cs="黑体" w:asciiTheme="minorEastAsia" w:hAnsiTheme="minorEastAsia"/>
          <w:b/>
          <w:bCs/>
          <w:sz w:val="44"/>
          <w:szCs w:val="44"/>
          <w:lang w:val="zh-CN"/>
        </w:rPr>
      </w:pPr>
    </w:p>
    <w:p w14:paraId="556F12A5">
      <w:pPr>
        <w:autoSpaceDE w:val="0"/>
        <w:autoSpaceDN w:val="0"/>
        <w:adjustRightInd w:val="0"/>
        <w:spacing w:line="360" w:lineRule="auto"/>
        <w:jc w:val="center"/>
        <w:rPr>
          <w:rFonts w:cs="黑体" w:asciiTheme="minorEastAsia" w:hAnsiTheme="minorEastAsia"/>
          <w:b/>
          <w:bCs/>
          <w:sz w:val="44"/>
          <w:szCs w:val="44"/>
          <w:lang w:val="zh-CN"/>
        </w:rPr>
      </w:pPr>
    </w:p>
    <w:p w14:paraId="4BBE5419">
      <w:pPr>
        <w:autoSpaceDE w:val="0"/>
        <w:autoSpaceDN w:val="0"/>
        <w:adjustRightInd w:val="0"/>
        <w:spacing w:line="360" w:lineRule="auto"/>
        <w:jc w:val="center"/>
        <w:rPr>
          <w:rFonts w:cs="黑体" w:asciiTheme="minorEastAsia" w:hAnsiTheme="minorEastAsia"/>
          <w:b/>
          <w:bCs/>
          <w:sz w:val="44"/>
          <w:szCs w:val="44"/>
          <w:lang w:val="zh-CN"/>
        </w:rPr>
      </w:pPr>
    </w:p>
    <w:p w14:paraId="7C7A68C1">
      <w:pPr>
        <w:autoSpaceDE w:val="0"/>
        <w:autoSpaceDN w:val="0"/>
        <w:adjustRightInd w:val="0"/>
        <w:spacing w:line="360" w:lineRule="auto"/>
        <w:rPr>
          <w:rFonts w:cs="黑体" w:asciiTheme="minorEastAsia" w:hAnsiTheme="minorEastAsia"/>
          <w:b/>
          <w:bCs/>
          <w:sz w:val="44"/>
          <w:szCs w:val="44"/>
          <w:lang w:val="zh-CN"/>
        </w:rPr>
      </w:pPr>
    </w:p>
    <w:p w14:paraId="266DED0C">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14:paraId="24287C8C">
      <w:pPr>
        <w:autoSpaceDE w:val="0"/>
        <w:autoSpaceDN w:val="0"/>
        <w:adjustRightInd w:val="0"/>
        <w:spacing w:line="360" w:lineRule="auto"/>
        <w:jc w:val="center"/>
        <w:outlineLvl w:val="0"/>
        <w:rPr>
          <w:rFonts w:hAnsi="宋体" w:eastAsia="宋体"/>
          <w:b/>
          <w:snapToGrid w:val="0"/>
          <w:kern w:val="0"/>
          <w:sz w:val="36"/>
          <w:szCs w:val="36"/>
        </w:rPr>
      </w:pPr>
    </w:p>
    <w:p w14:paraId="50D6AE5F">
      <w:pPr>
        <w:autoSpaceDE w:val="0"/>
        <w:autoSpaceDN w:val="0"/>
        <w:adjustRightInd w:val="0"/>
        <w:spacing w:line="480" w:lineRule="auto"/>
        <w:rPr>
          <w:rFonts w:cs="宋体" w:asciiTheme="minorEastAsia" w:hAnsiTheme="minorEastAsia"/>
          <w:sz w:val="24"/>
          <w:szCs w:val="24"/>
          <w:lang w:val="zh-CN"/>
        </w:rPr>
      </w:pPr>
    </w:p>
    <w:p w14:paraId="47B689BD">
      <w:pPr>
        <w:autoSpaceDE w:val="0"/>
        <w:autoSpaceDN w:val="0"/>
        <w:adjustRightInd w:val="0"/>
        <w:spacing w:line="360" w:lineRule="auto"/>
        <w:outlineLvl w:val="0"/>
        <w:rPr>
          <w:rFonts w:ascii="宋体" w:hAnsi="宋体"/>
          <w:b/>
          <w:bCs/>
          <w:sz w:val="24"/>
          <w:szCs w:val="24"/>
        </w:rPr>
      </w:pPr>
    </w:p>
    <w:p w14:paraId="52317E9A">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技术方案（实施方案）</w:t>
      </w:r>
    </w:p>
    <w:p w14:paraId="53C771FC">
      <w:pPr>
        <w:snapToGrid w:val="0"/>
        <w:spacing w:line="360" w:lineRule="auto"/>
        <w:jc w:val="center"/>
        <w:rPr>
          <w:rFonts w:hAnsi="宋体" w:eastAsia="宋体"/>
          <w:b/>
          <w:snapToGrid w:val="0"/>
          <w:kern w:val="0"/>
          <w:sz w:val="36"/>
          <w:szCs w:val="36"/>
        </w:rPr>
      </w:pPr>
    </w:p>
    <w:p w14:paraId="1F88FBB3">
      <w:pPr>
        <w:snapToGrid w:val="0"/>
        <w:spacing w:line="360" w:lineRule="auto"/>
        <w:jc w:val="center"/>
        <w:rPr>
          <w:rFonts w:hAnsi="宋体" w:eastAsia="宋体"/>
          <w:b/>
          <w:snapToGrid w:val="0"/>
          <w:kern w:val="0"/>
          <w:sz w:val="36"/>
          <w:szCs w:val="36"/>
        </w:rPr>
      </w:pPr>
    </w:p>
    <w:p w14:paraId="46047FE5">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28B058DE">
      <w:pPr>
        <w:snapToGrid w:val="0"/>
        <w:spacing w:line="360" w:lineRule="auto"/>
        <w:jc w:val="center"/>
        <w:rPr>
          <w:rFonts w:hAnsi="宋体" w:eastAsia="宋体"/>
          <w:b/>
          <w:snapToGrid w:val="0"/>
          <w:kern w:val="0"/>
          <w:sz w:val="36"/>
          <w:szCs w:val="36"/>
        </w:rPr>
      </w:pPr>
    </w:p>
    <w:p w14:paraId="0CC34760">
      <w:pPr>
        <w:snapToGrid w:val="0"/>
        <w:spacing w:line="360" w:lineRule="auto"/>
        <w:jc w:val="center"/>
        <w:rPr>
          <w:rFonts w:hAnsi="宋体" w:eastAsia="宋体"/>
          <w:b/>
          <w:snapToGrid w:val="0"/>
          <w:kern w:val="0"/>
          <w:sz w:val="36"/>
          <w:szCs w:val="36"/>
        </w:rPr>
      </w:pPr>
    </w:p>
    <w:p w14:paraId="3635C627">
      <w:pPr>
        <w:snapToGrid w:val="0"/>
        <w:spacing w:line="360" w:lineRule="auto"/>
        <w:jc w:val="center"/>
        <w:rPr>
          <w:rFonts w:hAnsi="宋体" w:eastAsia="宋体"/>
          <w:b/>
          <w:snapToGrid w:val="0"/>
          <w:kern w:val="0"/>
          <w:sz w:val="36"/>
          <w:szCs w:val="36"/>
        </w:rPr>
      </w:pPr>
    </w:p>
    <w:p w14:paraId="73695516">
      <w:pPr>
        <w:snapToGrid w:val="0"/>
        <w:spacing w:line="360" w:lineRule="auto"/>
        <w:jc w:val="center"/>
        <w:rPr>
          <w:rFonts w:hAnsi="宋体" w:eastAsia="宋体"/>
          <w:b/>
          <w:snapToGrid w:val="0"/>
          <w:kern w:val="0"/>
          <w:sz w:val="36"/>
          <w:szCs w:val="36"/>
        </w:rPr>
      </w:pPr>
    </w:p>
    <w:p w14:paraId="4B1F08D4">
      <w:pPr>
        <w:snapToGrid w:val="0"/>
        <w:spacing w:line="360" w:lineRule="auto"/>
        <w:jc w:val="center"/>
        <w:rPr>
          <w:rFonts w:hAnsi="宋体" w:eastAsia="宋体"/>
          <w:b/>
          <w:snapToGrid w:val="0"/>
          <w:kern w:val="0"/>
          <w:sz w:val="36"/>
          <w:szCs w:val="36"/>
        </w:rPr>
      </w:pPr>
    </w:p>
    <w:p w14:paraId="3AD3402B">
      <w:pPr>
        <w:snapToGrid w:val="0"/>
        <w:spacing w:line="360" w:lineRule="auto"/>
        <w:jc w:val="center"/>
        <w:rPr>
          <w:rFonts w:hAnsi="宋体" w:eastAsia="宋体"/>
          <w:b/>
          <w:snapToGrid w:val="0"/>
          <w:kern w:val="0"/>
          <w:sz w:val="36"/>
          <w:szCs w:val="36"/>
        </w:rPr>
      </w:pPr>
    </w:p>
    <w:p w14:paraId="4824F7B1">
      <w:pPr>
        <w:snapToGrid w:val="0"/>
        <w:spacing w:line="360" w:lineRule="auto"/>
        <w:jc w:val="center"/>
        <w:rPr>
          <w:rFonts w:hAnsi="宋体" w:eastAsia="宋体"/>
          <w:b/>
          <w:snapToGrid w:val="0"/>
          <w:kern w:val="0"/>
          <w:sz w:val="36"/>
          <w:szCs w:val="36"/>
        </w:rPr>
      </w:pPr>
    </w:p>
    <w:p w14:paraId="3FEEE230">
      <w:pPr>
        <w:snapToGrid w:val="0"/>
        <w:spacing w:line="360" w:lineRule="auto"/>
        <w:jc w:val="center"/>
        <w:rPr>
          <w:rFonts w:hAnsi="宋体" w:eastAsia="宋体"/>
          <w:b/>
          <w:snapToGrid w:val="0"/>
          <w:kern w:val="0"/>
          <w:sz w:val="36"/>
          <w:szCs w:val="36"/>
        </w:rPr>
      </w:pPr>
    </w:p>
    <w:p w14:paraId="3A1635D1">
      <w:pPr>
        <w:snapToGrid w:val="0"/>
        <w:spacing w:line="360" w:lineRule="auto"/>
        <w:jc w:val="center"/>
        <w:rPr>
          <w:rFonts w:hAnsi="宋体" w:eastAsia="宋体"/>
          <w:b/>
          <w:snapToGrid w:val="0"/>
          <w:kern w:val="0"/>
          <w:sz w:val="36"/>
          <w:szCs w:val="36"/>
        </w:rPr>
      </w:pPr>
    </w:p>
    <w:p w14:paraId="170C1D92">
      <w:pPr>
        <w:snapToGrid w:val="0"/>
        <w:spacing w:line="360" w:lineRule="auto"/>
        <w:jc w:val="center"/>
        <w:rPr>
          <w:rFonts w:hAnsi="宋体" w:eastAsia="宋体"/>
          <w:b/>
          <w:snapToGrid w:val="0"/>
          <w:kern w:val="0"/>
          <w:sz w:val="36"/>
          <w:szCs w:val="36"/>
        </w:rPr>
      </w:pPr>
    </w:p>
    <w:p w14:paraId="4DC20376">
      <w:pPr>
        <w:snapToGrid w:val="0"/>
        <w:spacing w:line="360" w:lineRule="auto"/>
        <w:jc w:val="center"/>
        <w:rPr>
          <w:rFonts w:hAnsi="宋体" w:eastAsia="宋体"/>
          <w:b/>
          <w:snapToGrid w:val="0"/>
          <w:kern w:val="0"/>
          <w:sz w:val="36"/>
          <w:szCs w:val="36"/>
        </w:rPr>
      </w:pPr>
    </w:p>
    <w:p w14:paraId="5630C506">
      <w:pPr>
        <w:snapToGrid w:val="0"/>
        <w:spacing w:line="360" w:lineRule="auto"/>
        <w:rPr>
          <w:rFonts w:hAnsi="宋体" w:eastAsia="宋体"/>
          <w:b/>
          <w:snapToGrid w:val="0"/>
          <w:kern w:val="0"/>
          <w:sz w:val="36"/>
          <w:szCs w:val="36"/>
        </w:rPr>
      </w:pPr>
    </w:p>
    <w:p w14:paraId="05C61D35">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业绩情况表</w:t>
      </w:r>
    </w:p>
    <w:p w14:paraId="6D6836DE">
      <w:pPr>
        <w:autoSpaceDE w:val="0"/>
        <w:autoSpaceDN w:val="0"/>
        <w:adjustRightInd w:val="0"/>
        <w:spacing w:line="360" w:lineRule="auto"/>
        <w:jc w:val="center"/>
        <w:outlineLvl w:val="0"/>
        <w:rPr>
          <w:rFonts w:ascii="宋体" w:hAnsi="宋体"/>
          <w:b/>
          <w:bCs/>
          <w:sz w:val="28"/>
          <w:szCs w:val="28"/>
        </w:rPr>
      </w:pPr>
    </w:p>
    <w:p w14:paraId="62E67788">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822F089">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76B140A2">
      <w:pPr>
        <w:snapToGrid w:val="0"/>
        <w:spacing w:line="360" w:lineRule="auto"/>
        <w:rPr>
          <w:rFonts w:hAnsi="宋体" w:eastAsia="宋体"/>
          <w:b/>
          <w:snapToGrid w:val="0"/>
          <w:kern w:val="0"/>
          <w:szCs w:val="21"/>
        </w:rPr>
      </w:pP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028D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6AFC1BFA">
            <w:pPr>
              <w:pStyle w:val="10"/>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04C80AEE">
            <w:pPr>
              <w:pStyle w:val="10"/>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16C4B0C7">
            <w:pPr>
              <w:pStyle w:val="10"/>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016515AC">
            <w:pPr>
              <w:pStyle w:val="10"/>
              <w:jc w:val="center"/>
              <w:rPr>
                <w:rFonts w:ascii="宋体" w:hAnsi="宋体" w:eastAsia="宋体" w:cs="宋体"/>
                <w:b/>
                <w:bCs/>
                <w:sz w:val="21"/>
                <w:szCs w:val="21"/>
              </w:rPr>
            </w:pPr>
            <w:r>
              <w:rPr>
                <w:rFonts w:hint="eastAsia" w:ascii="宋体" w:hAnsi="宋体" w:eastAsia="宋体" w:cs="宋体"/>
                <w:b/>
                <w:bCs/>
                <w:sz w:val="21"/>
                <w:szCs w:val="21"/>
              </w:rPr>
              <w:t>合同金额</w:t>
            </w:r>
          </w:p>
          <w:p w14:paraId="450C7789">
            <w:pPr>
              <w:pStyle w:val="10"/>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4A6F77EE">
            <w:pPr>
              <w:pStyle w:val="10"/>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361C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7EA76B6">
            <w:pPr>
              <w:pStyle w:val="10"/>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701CB750">
            <w:pPr>
              <w:pStyle w:val="10"/>
              <w:spacing w:line="360" w:lineRule="auto"/>
              <w:rPr>
                <w:rFonts w:ascii="宋体" w:hAnsi="宋体" w:eastAsia="宋体" w:cs="Times New Roman"/>
                <w:sz w:val="21"/>
                <w:szCs w:val="21"/>
              </w:rPr>
            </w:pPr>
          </w:p>
        </w:tc>
        <w:tc>
          <w:tcPr>
            <w:tcW w:w="3579" w:type="dxa"/>
            <w:vAlign w:val="center"/>
          </w:tcPr>
          <w:p w14:paraId="785AF27A">
            <w:pPr>
              <w:pStyle w:val="10"/>
              <w:spacing w:line="360" w:lineRule="auto"/>
              <w:rPr>
                <w:rFonts w:ascii="宋体" w:hAnsi="宋体" w:eastAsia="宋体" w:cs="Times New Roman"/>
                <w:sz w:val="21"/>
                <w:szCs w:val="21"/>
              </w:rPr>
            </w:pPr>
          </w:p>
        </w:tc>
        <w:tc>
          <w:tcPr>
            <w:tcW w:w="1440" w:type="dxa"/>
            <w:vAlign w:val="center"/>
          </w:tcPr>
          <w:p w14:paraId="637CE408">
            <w:pPr>
              <w:pStyle w:val="10"/>
              <w:spacing w:line="360" w:lineRule="auto"/>
              <w:rPr>
                <w:rFonts w:ascii="宋体" w:hAnsi="宋体" w:eastAsia="宋体" w:cs="Times New Roman"/>
                <w:sz w:val="21"/>
                <w:szCs w:val="21"/>
              </w:rPr>
            </w:pPr>
          </w:p>
        </w:tc>
        <w:tc>
          <w:tcPr>
            <w:tcW w:w="1706" w:type="dxa"/>
            <w:vAlign w:val="center"/>
          </w:tcPr>
          <w:p w14:paraId="02E8B34B">
            <w:pPr>
              <w:pStyle w:val="10"/>
              <w:spacing w:line="360" w:lineRule="auto"/>
              <w:rPr>
                <w:rFonts w:ascii="宋体" w:hAnsi="宋体" w:eastAsia="宋体" w:cs="Times New Roman"/>
                <w:sz w:val="21"/>
                <w:szCs w:val="21"/>
              </w:rPr>
            </w:pPr>
          </w:p>
        </w:tc>
      </w:tr>
      <w:tr w14:paraId="6DF5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E989532">
            <w:pPr>
              <w:pStyle w:val="10"/>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53E5C8C6">
            <w:pPr>
              <w:pStyle w:val="10"/>
              <w:spacing w:line="360" w:lineRule="auto"/>
              <w:rPr>
                <w:rFonts w:ascii="宋体" w:hAnsi="宋体" w:eastAsia="宋体" w:cs="Times New Roman"/>
                <w:sz w:val="21"/>
                <w:szCs w:val="21"/>
              </w:rPr>
            </w:pPr>
          </w:p>
        </w:tc>
        <w:tc>
          <w:tcPr>
            <w:tcW w:w="3579" w:type="dxa"/>
            <w:vAlign w:val="center"/>
          </w:tcPr>
          <w:p w14:paraId="5F30350F">
            <w:pPr>
              <w:pStyle w:val="10"/>
              <w:spacing w:line="360" w:lineRule="auto"/>
              <w:rPr>
                <w:rFonts w:ascii="宋体" w:hAnsi="宋体" w:eastAsia="宋体" w:cs="Times New Roman"/>
                <w:sz w:val="21"/>
                <w:szCs w:val="21"/>
              </w:rPr>
            </w:pPr>
          </w:p>
        </w:tc>
        <w:tc>
          <w:tcPr>
            <w:tcW w:w="1440" w:type="dxa"/>
            <w:vAlign w:val="center"/>
          </w:tcPr>
          <w:p w14:paraId="22C4CF75">
            <w:pPr>
              <w:pStyle w:val="10"/>
              <w:spacing w:line="360" w:lineRule="auto"/>
              <w:rPr>
                <w:rFonts w:ascii="宋体" w:hAnsi="宋体" w:eastAsia="宋体" w:cs="Times New Roman"/>
                <w:sz w:val="21"/>
                <w:szCs w:val="21"/>
              </w:rPr>
            </w:pPr>
          </w:p>
        </w:tc>
        <w:tc>
          <w:tcPr>
            <w:tcW w:w="1706" w:type="dxa"/>
            <w:vAlign w:val="center"/>
          </w:tcPr>
          <w:p w14:paraId="5AF37836">
            <w:pPr>
              <w:pStyle w:val="10"/>
              <w:spacing w:line="360" w:lineRule="auto"/>
              <w:rPr>
                <w:rFonts w:ascii="宋体" w:hAnsi="宋体" w:eastAsia="宋体" w:cs="Times New Roman"/>
                <w:sz w:val="21"/>
                <w:szCs w:val="21"/>
              </w:rPr>
            </w:pPr>
          </w:p>
        </w:tc>
      </w:tr>
      <w:tr w14:paraId="2CDB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A2ADEE0">
            <w:pPr>
              <w:pStyle w:val="10"/>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66964E92">
            <w:pPr>
              <w:pStyle w:val="10"/>
              <w:spacing w:line="360" w:lineRule="auto"/>
              <w:rPr>
                <w:rFonts w:ascii="宋体" w:hAnsi="宋体" w:eastAsia="宋体" w:cs="Times New Roman"/>
                <w:sz w:val="21"/>
                <w:szCs w:val="21"/>
              </w:rPr>
            </w:pPr>
          </w:p>
        </w:tc>
        <w:tc>
          <w:tcPr>
            <w:tcW w:w="3579" w:type="dxa"/>
            <w:vAlign w:val="center"/>
          </w:tcPr>
          <w:p w14:paraId="1998A04B">
            <w:pPr>
              <w:pStyle w:val="10"/>
              <w:spacing w:line="360" w:lineRule="auto"/>
              <w:rPr>
                <w:rFonts w:ascii="宋体" w:hAnsi="宋体" w:eastAsia="宋体" w:cs="Times New Roman"/>
                <w:sz w:val="21"/>
                <w:szCs w:val="21"/>
              </w:rPr>
            </w:pPr>
          </w:p>
        </w:tc>
        <w:tc>
          <w:tcPr>
            <w:tcW w:w="1440" w:type="dxa"/>
            <w:vAlign w:val="center"/>
          </w:tcPr>
          <w:p w14:paraId="4F788535">
            <w:pPr>
              <w:pStyle w:val="10"/>
              <w:spacing w:line="360" w:lineRule="auto"/>
              <w:rPr>
                <w:rFonts w:ascii="宋体" w:hAnsi="宋体" w:eastAsia="宋体" w:cs="Times New Roman"/>
                <w:sz w:val="21"/>
                <w:szCs w:val="21"/>
              </w:rPr>
            </w:pPr>
          </w:p>
        </w:tc>
        <w:tc>
          <w:tcPr>
            <w:tcW w:w="1706" w:type="dxa"/>
            <w:vAlign w:val="center"/>
          </w:tcPr>
          <w:p w14:paraId="64D5516D">
            <w:pPr>
              <w:pStyle w:val="10"/>
              <w:spacing w:line="360" w:lineRule="auto"/>
              <w:rPr>
                <w:rFonts w:ascii="宋体" w:hAnsi="宋体" w:eastAsia="宋体" w:cs="Times New Roman"/>
                <w:sz w:val="21"/>
                <w:szCs w:val="21"/>
              </w:rPr>
            </w:pPr>
          </w:p>
        </w:tc>
      </w:tr>
      <w:tr w14:paraId="1E44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04EE9FC">
            <w:pPr>
              <w:pStyle w:val="10"/>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6B853F36">
            <w:pPr>
              <w:rPr>
                <w:rFonts w:ascii="宋体"/>
                <w:szCs w:val="21"/>
              </w:rPr>
            </w:pPr>
          </w:p>
        </w:tc>
        <w:tc>
          <w:tcPr>
            <w:tcW w:w="3579" w:type="dxa"/>
            <w:vAlign w:val="center"/>
          </w:tcPr>
          <w:p w14:paraId="029D9CB0">
            <w:pPr>
              <w:rPr>
                <w:rFonts w:ascii="宋体"/>
                <w:szCs w:val="21"/>
              </w:rPr>
            </w:pPr>
          </w:p>
        </w:tc>
        <w:tc>
          <w:tcPr>
            <w:tcW w:w="1440" w:type="dxa"/>
            <w:vAlign w:val="center"/>
          </w:tcPr>
          <w:p w14:paraId="6BBDE911">
            <w:pPr>
              <w:rPr>
                <w:rFonts w:ascii="宋体"/>
                <w:szCs w:val="21"/>
              </w:rPr>
            </w:pPr>
          </w:p>
        </w:tc>
        <w:tc>
          <w:tcPr>
            <w:tcW w:w="1706" w:type="dxa"/>
            <w:vAlign w:val="center"/>
          </w:tcPr>
          <w:p w14:paraId="68BF071C">
            <w:pPr>
              <w:rPr>
                <w:rFonts w:ascii="宋体"/>
                <w:szCs w:val="21"/>
              </w:rPr>
            </w:pPr>
          </w:p>
        </w:tc>
      </w:tr>
      <w:tr w14:paraId="4809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7603E70">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0587082B">
            <w:pPr>
              <w:rPr>
                <w:rFonts w:ascii="宋体"/>
                <w:szCs w:val="21"/>
              </w:rPr>
            </w:pPr>
          </w:p>
        </w:tc>
        <w:tc>
          <w:tcPr>
            <w:tcW w:w="3579" w:type="dxa"/>
            <w:vAlign w:val="center"/>
          </w:tcPr>
          <w:p w14:paraId="40D908AA">
            <w:pPr>
              <w:rPr>
                <w:rFonts w:ascii="宋体"/>
                <w:szCs w:val="21"/>
              </w:rPr>
            </w:pPr>
          </w:p>
        </w:tc>
        <w:tc>
          <w:tcPr>
            <w:tcW w:w="1440" w:type="dxa"/>
            <w:vAlign w:val="center"/>
          </w:tcPr>
          <w:p w14:paraId="72C6F3EA">
            <w:pPr>
              <w:rPr>
                <w:rFonts w:ascii="宋体"/>
                <w:szCs w:val="21"/>
              </w:rPr>
            </w:pPr>
          </w:p>
        </w:tc>
        <w:tc>
          <w:tcPr>
            <w:tcW w:w="1706" w:type="dxa"/>
            <w:vAlign w:val="center"/>
          </w:tcPr>
          <w:p w14:paraId="26955CB4">
            <w:pPr>
              <w:rPr>
                <w:rFonts w:ascii="宋体"/>
                <w:szCs w:val="21"/>
              </w:rPr>
            </w:pPr>
          </w:p>
        </w:tc>
      </w:tr>
    </w:tbl>
    <w:p w14:paraId="22440262">
      <w:pPr>
        <w:autoSpaceDE w:val="0"/>
        <w:autoSpaceDN w:val="0"/>
        <w:adjustRightInd w:val="0"/>
        <w:spacing w:line="480" w:lineRule="auto"/>
        <w:rPr>
          <w:rFonts w:cs="宋体" w:asciiTheme="minorEastAsia" w:hAnsiTheme="minorEastAsia"/>
          <w:szCs w:val="21"/>
          <w:lang w:val="zh-CN"/>
        </w:rPr>
      </w:pPr>
    </w:p>
    <w:p w14:paraId="46A9DBBF">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74311FE0">
      <w:pPr>
        <w:autoSpaceDE w:val="0"/>
        <w:autoSpaceDN w:val="0"/>
        <w:adjustRightInd w:val="0"/>
        <w:spacing w:line="480" w:lineRule="auto"/>
        <w:rPr>
          <w:rFonts w:cs="宋体" w:asciiTheme="minorEastAsia" w:hAnsiTheme="minorEastAsia"/>
          <w:szCs w:val="21"/>
          <w:lang w:val="zh-CN"/>
        </w:rPr>
      </w:pPr>
    </w:p>
    <w:p w14:paraId="131F02F5">
      <w:pPr>
        <w:autoSpaceDE w:val="0"/>
        <w:autoSpaceDN w:val="0"/>
        <w:adjustRightInd w:val="0"/>
        <w:spacing w:line="480" w:lineRule="auto"/>
        <w:rPr>
          <w:rFonts w:cs="宋体" w:asciiTheme="minorEastAsia" w:hAnsiTheme="minorEastAsia"/>
          <w:sz w:val="24"/>
          <w:szCs w:val="24"/>
          <w:lang w:val="zh-CN"/>
        </w:rPr>
      </w:pPr>
    </w:p>
    <w:p w14:paraId="2FDD0847">
      <w:pPr>
        <w:autoSpaceDE w:val="0"/>
        <w:autoSpaceDN w:val="0"/>
        <w:adjustRightInd w:val="0"/>
        <w:spacing w:line="360" w:lineRule="auto"/>
        <w:jc w:val="center"/>
        <w:outlineLvl w:val="0"/>
        <w:rPr>
          <w:rFonts w:ascii="宋体" w:hAnsi="宋体"/>
          <w:b/>
          <w:bCs/>
          <w:sz w:val="24"/>
          <w:szCs w:val="24"/>
        </w:rPr>
      </w:pPr>
    </w:p>
    <w:p w14:paraId="6B947E18">
      <w:pPr>
        <w:autoSpaceDE w:val="0"/>
        <w:autoSpaceDN w:val="0"/>
        <w:adjustRightInd w:val="0"/>
        <w:spacing w:line="360" w:lineRule="auto"/>
        <w:jc w:val="center"/>
        <w:outlineLvl w:val="0"/>
        <w:rPr>
          <w:rFonts w:ascii="宋体" w:hAnsi="宋体"/>
          <w:b/>
          <w:bCs/>
          <w:sz w:val="24"/>
          <w:szCs w:val="24"/>
        </w:rPr>
      </w:pPr>
    </w:p>
    <w:p w14:paraId="6B66E89D">
      <w:pPr>
        <w:autoSpaceDE w:val="0"/>
        <w:autoSpaceDN w:val="0"/>
        <w:adjustRightInd w:val="0"/>
        <w:spacing w:line="360" w:lineRule="auto"/>
        <w:jc w:val="center"/>
        <w:outlineLvl w:val="0"/>
        <w:rPr>
          <w:rFonts w:ascii="宋体" w:hAnsi="宋体"/>
          <w:b/>
          <w:bCs/>
          <w:sz w:val="24"/>
          <w:szCs w:val="24"/>
        </w:rPr>
      </w:pPr>
    </w:p>
    <w:p w14:paraId="40019C0C">
      <w:pPr>
        <w:autoSpaceDE w:val="0"/>
        <w:autoSpaceDN w:val="0"/>
        <w:adjustRightInd w:val="0"/>
        <w:spacing w:line="360" w:lineRule="auto"/>
        <w:jc w:val="center"/>
        <w:outlineLvl w:val="0"/>
        <w:rPr>
          <w:rFonts w:ascii="宋体" w:hAnsi="宋体"/>
          <w:b/>
          <w:bCs/>
          <w:sz w:val="24"/>
          <w:szCs w:val="24"/>
        </w:rPr>
      </w:pPr>
    </w:p>
    <w:p w14:paraId="326D2978">
      <w:pPr>
        <w:autoSpaceDE w:val="0"/>
        <w:autoSpaceDN w:val="0"/>
        <w:adjustRightInd w:val="0"/>
        <w:spacing w:line="360" w:lineRule="auto"/>
        <w:jc w:val="center"/>
        <w:outlineLvl w:val="0"/>
        <w:rPr>
          <w:rFonts w:ascii="宋体" w:hAnsi="宋体"/>
          <w:b/>
          <w:bCs/>
          <w:sz w:val="24"/>
          <w:szCs w:val="24"/>
        </w:rPr>
      </w:pPr>
    </w:p>
    <w:p w14:paraId="3FCD3C5D">
      <w:pPr>
        <w:autoSpaceDE w:val="0"/>
        <w:autoSpaceDN w:val="0"/>
        <w:adjustRightInd w:val="0"/>
        <w:spacing w:line="360" w:lineRule="auto"/>
        <w:jc w:val="center"/>
        <w:outlineLvl w:val="0"/>
        <w:rPr>
          <w:rFonts w:ascii="宋体" w:hAnsi="宋体"/>
          <w:b/>
          <w:bCs/>
          <w:sz w:val="24"/>
          <w:szCs w:val="24"/>
        </w:rPr>
      </w:pPr>
    </w:p>
    <w:p w14:paraId="46F3B66B">
      <w:pPr>
        <w:autoSpaceDE w:val="0"/>
        <w:autoSpaceDN w:val="0"/>
        <w:adjustRightInd w:val="0"/>
        <w:spacing w:line="360" w:lineRule="auto"/>
        <w:jc w:val="center"/>
        <w:outlineLvl w:val="0"/>
        <w:rPr>
          <w:rFonts w:ascii="宋体" w:hAnsi="宋体"/>
          <w:b/>
          <w:bCs/>
          <w:sz w:val="24"/>
          <w:szCs w:val="24"/>
        </w:rPr>
      </w:pPr>
    </w:p>
    <w:p w14:paraId="093E1260">
      <w:pPr>
        <w:autoSpaceDE w:val="0"/>
        <w:autoSpaceDN w:val="0"/>
        <w:adjustRightInd w:val="0"/>
        <w:spacing w:line="360" w:lineRule="auto"/>
        <w:jc w:val="center"/>
        <w:outlineLvl w:val="0"/>
        <w:rPr>
          <w:rFonts w:ascii="宋体" w:hAnsi="宋体"/>
          <w:b/>
          <w:bCs/>
          <w:sz w:val="24"/>
          <w:szCs w:val="24"/>
        </w:rPr>
      </w:pPr>
    </w:p>
    <w:p w14:paraId="69B7B4F3">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售后服务方案</w:t>
      </w:r>
    </w:p>
    <w:p w14:paraId="4817437F">
      <w:pPr>
        <w:autoSpaceDE w:val="0"/>
        <w:autoSpaceDN w:val="0"/>
        <w:adjustRightInd w:val="0"/>
        <w:spacing w:line="360" w:lineRule="auto"/>
        <w:jc w:val="center"/>
        <w:outlineLvl w:val="0"/>
        <w:rPr>
          <w:rFonts w:ascii="宋体" w:hAnsi="宋体"/>
          <w:b/>
          <w:bCs/>
          <w:sz w:val="36"/>
          <w:szCs w:val="36"/>
        </w:rPr>
      </w:pPr>
    </w:p>
    <w:p w14:paraId="62D614A5">
      <w:pPr>
        <w:autoSpaceDE w:val="0"/>
        <w:autoSpaceDN w:val="0"/>
        <w:adjustRightInd w:val="0"/>
        <w:spacing w:line="360" w:lineRule="auto"/>
        <w:jc w:val="center"/>
        <w:outlineLvl w:val="0"/>
        <w:rPr>
          <w:rFonts w:ascii="宋体" w:hAnsi="宋体"/>
          <w:b/>
          <w:bCs/>
          <w:sz w:val="36"/>
          <w:szCs w:val="36"/>
        </w:rPr>
      </w:pPr>
    </w:p>
    <w:p w14:paraId="0FDA95EE">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54E3B4CE">
      <w:pPr>
        <w:autoSpaceDE w:val="0"/>
        <w:autoSpaceDN w:val="0"/>
        <w:adjustRightInd w:val="0"/>
        <w:spacing w:line="360" w:lineRule="auto"/>
        <w:jc w:val="center"/>
        <w:outlineLvl w:val="0"/>
        <w:rPr>
          <w:rFonts w:ascii="宋体" w:hAnsi="宋体"/>
          <w:b/>
          <w:bCs/>
          <w:sz w:val="36"/>
          <w:szCs w:val="36"/>
        </w:rPr>
      </w:pPr>
    </w:p>
    <w:p w14:paraId="43F779DA">
      <w:pPr>
        <w:autoSpaceDE w:val="0"/>
        <w:autoSpaceDN w:val="0"/>
        <w:adjustRightInd w:val="0"/>
        <w:spacing w:line="360" w:lineRule="auto"/>
        <w:jc w:val="center"/>
        <w:outlineLvl w:val="0"/>
        <w:rPr>
          <w:rFonts w:ascii="宋体" w:hAnsi="宋体"/>
          <w:b/>
          <w:bCs/>
          <w:sz w:val="36"/>
          <w:szCs w:val="36"/>
        </w:rPr>
      </w:pPr>
    </w:p>
    <w:p w14:paraId="4B3A29BA">
      <w:pPr>
        <w:autoSpaceDE w:val="0"/>
        <w:autoSpaceDN w:val="0"/>
        <w:adjustRightInd w:val="0"/>
        <w:spacing w:line="360" w:lineRule="auto"/>
        <w:jc w:val="center"/>
        <w:outlineLvl w:val="0"/>
        <w:rPr>
          <w:rFonts w:ascii="宋体" w:hAnsi="宋体"/>
          <w:b/>
          <w:bCs/>
          <w:sz w:val="36"/>
          <w:szCs w:val="36"/>
        </w:rPr>
      </w:pPr>
    </w:p>
    <w:p w14:paraId="77B8B11F">
      <w:pPr>
        <w:autoSpaceDE w:val="0"/>
        <w:autoSpaceDN w:val="0"/>
        <w:adjustRightInd w:val="0"/>
        <w:spacing w:line="360" w:lineRule="auto"/>
        <w:jc w:val="center"/>
        <w:outlineLvl w:val="0"/>
        <w:rPr>
          <w:rFonts w:ascii="宋体" w:hAnsi="宋体"/>
          <w:b/>
          <w:bCs/>
          <w:sz w:val="36"/>
          <w:szCs w:val="36"/>
        </w:rPr>
      </w:pPr>
    </w:p>
    <w:p w14:paraId="79F34921">
      <w:pPr>
        <w:autoSpaceDE w:val="0"/>
        <w:autoSpaceDN w:val="0"/>
        <w:adjustRightInd w:val="0"/>
        <w:spacing w:line="360" w:lineRule="auto"/>
        <w:jc w:val="center"/>
        <w:outlineLvl w:val="0"/>
        <w:rPr>
          <w:rFonts w:ascii="宋体" w:hAnsi="宋体"/>
          <w:b/>
          <w:bCs/>
          <w:sz w:val="36"/>
          <w:szCs w:val="36"/>
        </w:rPr>
      </w:pPr>
    </w:p>
    <w:p w14:paraId="7E96BD5B">
      <w:pPr>
        <w:autoSpaceDE w:val="0"/>
        <w:autoSpaceDN w:val="0"/>
        <w:adjustRightInd w:val="0"/>
        <w:spacing w:line="360" w:lineRule="auto"/>
        <w:jc w:val="center"/>
        <w:outlineLvl w:val="0"/>
        <w:rPr>
          <w:rFonts w:ascii="宋体" w:hAnsi="宋体"/>
          <w:b/>
          <w:bCs/>
          <w:sz w:val="36"/>
          <w:szCs w:val="36"/>
        </w:rPr>
      </w:pPr>
    </w:p>
    <w:p w14:paraId="733216DC">
      <w:pPr>
        <w:autoSpaceDE w:val="0"/>
        <w:autoSpaceDN w:val="0"/>
        <w:adjustRightInd w:val="0"/>
        <w:spacing w:line="360" w:lineRule="auto"/>
        <w:jc w:val="center"/>
        <w:outlineLvl w:val="0"/>
        <w:rPr>
          <w:rFonts w:ascii="宋体" w:hAnsi="宋体"/>
          <w:b/>
          <w:bCs/>
          <w:sz w:val="36"/>
          <w:szCs w:val="36"/>
        </w:rPr>
      </w:pPr>
    </w:p>
    <w:p w14:paraId="5FFC7587">
      <w:pPr>
        <w:autoSpaceDE w:val="0"/>
        <w:autoSpaceDN w:val="0"/>
        <w:adjustRightInd w:val="0"/>
        <w:spacing w:line="360" w:lineRule="auto"/>
        <w:jc w:val="center"/>
        <w:outlineLvl w:val="0"/>
        <w:rPr>
          <w:rFonts w:ascii="宋体" w:hAnsi="宋体"/>
          <w:b/>
          <w:bCs/>
          <w:sz w:val="36"/>
          <w:szCs w:val="36"/>
        </w:rPr>
      </w:pPr>
    </w:p>
    <w:p w14:paraId="32F417BB">
      <w:pPr>
        <w:autoSpaceDE w:val="0"/>
        <w:autoSpaceDN w:val="0"/>
        <w:adjustRightInd w:val="0"/>
        <w:spacing w:line="360" w:lineRule="auto"/>
        <w:jc w:val="center"/>
        <w:outlineLvl w:val="0"/>
        <w:rPr>
          <w:rFonts w:ascii="宋体" w:hAnsi="宋体"/>
          <w:b/>
          <w:bCs/>
          <w:sz w:val="36"/>
          <w:szCs w:val="36"/>
        </w:rPr>
      </w:pPr>
    </w:p>
    <w:p w14:paraId="478003E8">
      <w:pPr>
        <w:autoSpaceDE w:val="0"/>
        <w:autoSpaceDN w:val="0"/>
        <w:adjustRightInd w:val="0"/>
        <w:spacing w:line="360" w:lineRule="auto"/>
        <w:jc w:val="center"/>
        <w:outlineLvl w:val="0"/>
        <w:rPr>
          <w:rFonts w:ascii="宋体" w:hAnsi="宋体"/>
          <w:b/>
          <w:bCs/>
          <w:sz w:val="36"/>
          <w:szCs w:val="36"/>
        </w:rPr>
      </w:pPr>
    </w:p>
    <w:p w14:paraId="5116EAC6">
      <w:pPr>
        <w:autoSpaceDE w:val="0"/>
        <w:autoSpaceDN w:val="0"/>
        <w:adjustRightInd w:val="0"/>
        <w:spacing w:line="360" w:lineRule="auto"/>
        <w:jc w:val="center"/>
        <w:outlineLvl w:val="0"/>
        <w:rPr>
          <w:rFonts w:ascii="宋体" w:hAnsi="宋体"/>
          <w:b/>
          <w:bCs/>
          <w:sz w:val="36"/>
          <w:szCs w:val="36"/>
        </w:rPr>
      </w:pPr>
    </w:p>
    <w:p w14:paraId="501A7626">
      <w:pPr>
        <w:autoSpaceDE w:val="0"/>
        <w:autoSpaceDN w:val="0"/>
        <w:adjustRightInd w:val="0"/>
        <w:spacing w:line="360" w:lineRule="auto"/>
        <w:jc w:val="center"/>
        <w:outlineLvl w:val="0"/>
        <w:rPr>
          <w:rFonts w:ascii="宋体" w:hAnsi="宋体"/>
          <w:b/>
          <w:bCs/>
          <w:sz w:val="36"/>
          <w:szCs w:val="36"/>
        </w:rPr>
      </w:pPr>
    </w:p>
    <w:p w14:paraId="6473583F">
      <w:pPr>
        <w:autoSpaceDE w:val="0"/>
        <w:autoSpaceDN w:val="0"/>
        <w:adjustRightInd w:val="0"/>
        <w:spacing w:line="360" w:lineRule="auto"/>
        <w:jc w:val="center"/>
        <w:outlineLvl w:val="0"/>
        <w:rPr>
          <w:rFonts w:ascii="宋体" w:hAnsi="宋体"/>
          <w:b/>
          <w:bCs/>
          <w:sz w:val="36"/>
          <w:szCs w:val="36"/>
        </w:rPr>
      </w:pPr>
    </w:p>
    <w:p w14:paraId="4BB3C1A5">
      <w:pPr>
        <w:autoSpaceDE w:val="0"/>
        <w:autoSpaceDN w:val="0"/>
        <w:adjustRightInd w:val="0"/>
        <w:spacing w:line="360" w:lineRule="auto"/>
        <w:jc w:val="center"/>
        <w:outlineLvl w:val="0"/>
        <w:rPr>
          <w:rFonts w:ascii="宋体" w:hAnsi="宋体"/>
          <w:b/>
          <w:bCs/>
          <w:sz w:val="36"/>
          <w:szCs w:val="36"/>
        </w:rPr>
      </w:pPr>
    </w:p>
    <w:p w14:paraId="75446118">
      <w:pPr>
        <w:spacing w:line="360" w:lineRule="auto"/>
        <w:rPr>
          <w:rFonts w:cs="宋体" w:asciiTheme="minorEastAsia" w:hAnsiTheme="minorEastAsia"/>
          <w:szCs w:val="21"/>
          <w:lang w:val="zh-CN"/>
        </w:rPr>
      </w:pPr>
    </w:p>
    <w:p w14:paraId="398E3BDE"/>
    <w:p w14:paraId="6675AEEC"/>
    <w:p w14:paraId="4D6EB53D"/>
    <w:p w14:paraId="5B77C9F6"/>
    <w:p w14:paraId="259FDB87">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7AEFDB0F"/>
    <w:p w14:paraId="17484519"/>
    <w:p w14:paraId="3152E598"/>
    <w:p w14:paraId="56176A6A">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14:paraId="337015F6">
      <w:pPr>
        <w:spacing w:line="360" w:lineRule="auto"/>
        <w:jc w:val="center"/>
        <w:rPr>
          <w:rFonts w:ascii="宋体" w:hAnsi="宋体"/>
          <w:b/>
          <w:bCs/>
          <w:sz w:val="28"/>
          <w:szCs w:val="28"/>
        </w:rPr>
      </w:pPr>
      <w:r>
        <w:rPr>
          <w:rFonts w:ascii="宋体" w:hAnsi="宋体"/>
          <w:b/>
          <w:bCs/>
          <w:sz w:val="28"/>
          <w:szCs w:val="28"/>
        </w:rPr>
        <w:t> </w:t>
      </w: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黑体"/>
    <w:panose1 w:val="03000509000000000000"/>
    <w:charset w:val="86"/>
    <w:family w:val="auto"/>
    <w:pitch w:val="default"/>
    <w:sig w:usb0="00000000" w:usb1="00000000" w:usb2="00000000" w:usb3="00000000" w:csb0="00040000" w:csb1="00000000"/>
  </w:font>
  <w:font w:name="DFKai-SB">
    <w:altName w:val="Microsoft JhengHei Light"/>
    <w:panose1 w:val="00000000000000000000"/>
    <w:charset w:val="88"/>
    <w:family w:val="auto"/>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微软简隶书">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roman"/>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7F94A">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61958F67">
                          <w:pPr>
                            <w:pStyle w:val="19"/>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i6WFNAAAAADAQAADwAAAAAAAAABACAAAAAiAAAAZHJzL2Rvd25yZXYueG1sUEsB&#10;AhQAFAAAAAgAh07iQANH64v9AQAADwQAAA4AAAAAAAAAAQAgAAAAHwEAAGRycy9lMm9Eb2MueG1s&#10;UEsFBgAAAAAGAAYAWQEAAI4FAAAAAA==&#10;">
              <v:fill on="f" focussize="0,0"/>
              <v:stroke on="f"/>
              <v:imagedata o:title=""/>
              <o:lock v:ext="edit" aspectratio="f"/>
              <v:textbox inset="0mm,0mm,0mm,0mm" style="mso-fit-shape-to-text:t;">
                <w:txbxContent>
                  <w:p w14:paraId="61958F67">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B4034"/>
    <w:multiLevelType w:val="singleLevel"/>
    <w:tmpl w:val="CFBB4034"/>
    <w:lvl w:ilvl="0" w:tentative="0">
      <w:start w:val="7"/>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2B45501"/>
    <w:multiLevelType w:val="multilevel"/>
    <w:tmpl w:val="02B45501"/>
    <w:lvl w:ilvl="0" w:tentative="0">
      <w:start w:val="35"/>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8734582"/>
    <w:multiLevelType w:val="multilevel"/>
    <w:tmpl w:val="08734582"/>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6">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7">
    <w:nsid w:val="0B974D79"/>
    <w:multiLevelType w:val="multilevel"/>
    <w:tmpl w:val="0B974D79"/>
    <w:lvl w:ilvl="0" w:tentative="0">
      <w:start w:val="29"/>
      <w:numFmt w:val="decimal"/>
      <w:lvlText w:val="%1.5"/>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BB54322"/>
    <w:multiLevelType w:val="multilevel"/>
    <w:tmpl w:val="0BB54322"/>
    <w:lvl w:ilvl="0" w:tentative="0">
      <w:start w:val="38"/>
      <w:numFmt w:val="decimal"/>
      <w:lvlText w:val="%1.1"/>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0EAC0559"/>
    <w:multiLevelType w:val="multilevel"/>
    <w:tmpl w:val="0EAC0559"/>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1">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9DF2F37"/>
    <w:multiLevelType w:val="multilevel"/>
    <w:tmpl w:val="19DF2F37"/>
    <w:lvl w:ilvl="0" w:tentative="0">
      <w:start w:val="29"/>
      <w:numFmt w:val="decimal"/>
      <w:lvlText w:val="%1.6"/>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1FAE040E"/>
    <w:multiLevelType w:val="multilevel"/>
    <w:tmpl w:val="1FAE040E"/>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6">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7">
    <w:nsid w:val="260D7FDB"/>
    <w:multiLevelType w:val="multilevel"/>
    <w:tmpl w:val="260D7FDB"/>
    <w:lvl w:ilvl="0" w:tentative="0">
      <w:start w:val="29"/>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8">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9">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AB388DE"/>
    <w:multiLevelType w:val="singleLevel"/>
    <w:tmpl w:val="2AB388DE"/>
    <w:lvl w:ilvl="0" w:tentative="0">
      <w:start w:val="1"/>
      <w:numFmt w:val="decimal"/>
      <w:lvlText w:val="%1."/>
      <w:lvlJc w:val="left"/>
      <w:pPr>
        <w:tabs>
          <w:tab w:val="left" w:pos="312"/>
        </w:tabs>
      </w:pPr>
    </w:lvl>
  </w:abstractNum>
  <w:abstractNum w:abstractNumId="31">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2">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5">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6">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7A329CD"/>
    <w:multiLevelType w:val="multilevel"/>
    <w:tmpl w:val="37A329CD"/>
    <w:lvl w:ilvl="0" w:tentative="0">
      <w:start w:val="39"/>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8">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B763F93"/>
    <w:multiLevelType w:val="multilevel"/>
    <w:tmpl w:val="4B763F93"/>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1">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2">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7022D07"/>
    <w:multiLevelType w:val="multilevel"/>
    <w:tmpl w:val="57022D07"/>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8C95C43"/>
    <w:multiLevelType w:val="multilevel"/>
    <w:tmpl w:val="58C95C4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5">
    <w:nsid w:val="59F817C2"/>
    <w:multiLevelType w:val="singleLevel"/>
    <w:tmpl w:val="59F817C2"/>
    <w:lvl w:ilvl="0" w:tentative="0">
      <w:start w:val="2"/>
      <w:numFmt w:val="chineseCounting"/>
      <w:suff w:val="space"/>
      <w:lvlText w:val="第%1章"/>
      <w:lvlJc w:val="left"/>
    </w:lvl>
  </w:abstractNum>
  <w:abstractNum w:abstractNumId="46">
    <w:nsid w:val="59F817E8"/>
    <w:multiLevelType w:val="singleLevel"/>
    <w:tmpl w:val="59F817E8"/>
    <w:lvl w:ilvl="0" w:tentative="0">
      <w:start w:val="1"/>
      <w:numFmt w:val="chineseCounting"/>
      <w:pStyle w:val="53"/>
      <w:suff w:val="nothing"/>
      <w:lvlText w:val="%1、"/>
      <w:lvlJc w:val="left"/>
    </w:lvl>
  </w:abstractNum>
  <w:abstractNum w:abstractNumId="47">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A734122"/>
    <w:multiLevelType w:val="multilevel"/>
    <w:tmpl w:val="5A734122"/>
    <w:lvl w:ilvl="0" w:tentative="0">
      <w:start w:val="36"/>
      <w:numFmt w:val="decimal"/>
      <w:lvlText w:val="%1.2"/>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9">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0">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1">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2">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F9C3ECF"/>
    <w:multiLevelType w:val="multilevel"/>
    <w:tmpl w:val="5F9C3ECF"/>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7A11E85"/>
    <w:multiLevelType w:val="singleLevel"/>
    <w:tmpl w:val="67A11E85"/>
    <w:lvl w:ilvl="0" w:tentative="0">
      <w:start w:val="1"/>
      <w:numFmt w:val="decimal"/>
      <w:suff w:val="nothing"/>
      <w:lvlText w:val="%1、"/>
      <w:lvlJc w:val="left"/>
    </w:lvl>
  </w:abstractNum>
  <w:abstractNum w:abstractNumId="58">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59">
    <w:nsid w:val="67D51130"/>
    <w:multiLevelType w:val="multilevel"/>
    <w:tmpl w:val="67D51130"/>
    <w:lvl w:ilvl="0" w:tentative="0">
      <w:start w:val="37"/>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0">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2">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4">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38573E8"/>
    <w:multiLevelType w:val="multilevel"/>
    <w:tmpl w:val="738573E8"/>
    <w:lvl w:ilvl="0" w:tentative="0">
      <w:start w:val="33"/>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7">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8">
    <w:nsid w:val="740F3425"/>
    <w:multiLevelType w:val="multilevel"/>
    <w:tmpl w:val="740F3425"/>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9">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0">
    <w:nsid w:val="75517D03"/>
    <w:multiLevelType w:val="multilevel"/>
    <w:tmpl w:val="75517D03"/>
    <w:lvl w:ilvl="0" w:tentative="0">
      <w:start w:val="27"/>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1">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73">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1"/>
  </w:num>
  <w:num w:numId="2">
    <w:abstractNumId w:val="2"/>
  </w:num>
  <w:num w:numId="3">
    <w:abstractNumId w:val="46"/>
  </w:num>
  <w:num w:numId="4">
    <w:abstractNumId w:val="45"/>
  </w:num>
  <w:num w:numId="5">
    <w:abstractNumId w:val="30"/>
  </w:num>
  <w:num w:numId="6">
    <w:abstractNumId w:val="57"/>
  </w:num>
  <w:num w:numId="7">
    <w:abstractNumId w:val="0"/>
  </w:num>
  <w:num w:numId="8">
    <w:abstractNumId w:val="24"/>
  </w:num>
  <w:num w:numId="9">
    <w:abstractNumId w:val="61"/>
  </w:num>
  <w:num w:numId="10">
    <w:abstractNumId w:val="31"/>
  </w:num>
  <w:num w:numId="11">
    <w:abstractNumId w:val="33"/>
  </w:num>
  <w:num w:numId="12">
    <w:abstractNumId w:val="55"/>
  </w:num>
  <w:num w:numId="13">
    <w:abstractNumId w:val="16"/>
  </w:num>
  <w:num w:numId="14">
    <w:abstractNumId w:val="18"/>
  </w:num>
  <w:num w:numId="15">
    <w:abstractNumId w:val="74"/>
  </w:num>
  <w:num w:numId="16">
    <w:abstractNumId w:val="52"/>
  </w:num>
  <w:num w:numId="17">
    <w:abstractNumId w:val="71"/>
  </w:num>
  <w:num w:numId="18">
    <w:abstractNumId w:val="9"/>
  </w:num>
  <w:num w:numId="19">
    <w:abstractNumId w:val="11"/>
  </w:num>
  <w:num w:numId="20">
    <w:abstractNumId w:val="50"/>
  </w:num>
  <w:num w:numId="21">
    <w:abstractNumId w:val="28"/>
  </w:num>
  <w:num w:numId="22">
    <w:abstractNumId w:val="47"/>
  </w:num>
  <w:num w:numId="23">
    <w:abstractNumId w:val="60"/>
  </w:num>
  <w:num w:numId="24">
    <w:abstractNumId w:val="36"/>
  </w:num>
  <w:num w:numId="25">
    <w:abstractNumId w:val="29"/>
  </w:num>
  <w:num w:numId="26">
    <w:abstractNumId w:val="6"/>
  </w:num>
  <w:num w:numId="27">
    <w:abstractNumId w:val="21"/>
  </w:num>
  <w:num w:numId="28">
    <w:abstractNumId w:val="20"/>
  </w:num>
  <w:num w:numId="29">
    <w:abstractNumId w:val="70"/>
  </w:num>
  <w:num w:numId="30">
    <w:abstractNumId w:val="62"/>
  </w:num>
  <w:num w:numId="31">
    <w:abstractNumId w:val="54"/>
  </w:num>
  <w:num w:numId="32">
    <w:abstractNumId w:val="65"/>
  </w:num>
  <w:num w:numId="33">
    <w:abstractNumId w:val="42"/>
  </w:num>
  <w:num w:numId="34">
    <w:abstractNumId w:val="12"/>
  </w:num>
  <w:num w:numId="35">
    <w:abstractNumId w:val="23"/>
  </w:num>
  <w:num w:numId="36">
    <w:abstractNumId w:val="56"/>
  </w:num>
  <w:num w:numId="37">
    <w:abstractNumId w:val="34"/>
  </w:num>
  <w:num w:numId="38">
    <w:abstractNumId w:val="41"/>
  </w:num>
  <w:num w:numId="39">
    <w:abstractNumId w:val="63"/>
  </w:num>
  <w:num w:numId="40">
    <w:abstractNumId w:val="49"/>
  </w:num>
  <w:num w:numId="41">
    <w:abstractNumId w:val="35"/>
  </w:num>
  <w:num w:numId="42">
    <w:abstractNumId w:val="25"/>
  </w:num>
  <w:num w:numId="43">
    <w:abstractNumId w:val="26"/>
  </w:num>
  <w:num w:numId="44">
    <w:abstractNumId w:val="69"/>
  </w:num>
  <w:num w:numId="45">
    <w:abstractNumId w:val="27"/>
  </w:num>
  <w:num w:numId="46">
    <w:abstractNumId w:val="22"/>
  </w:num>
  <w:num w:numId="47">
    <w:abstractNumId w:val="10"/>
  </w:num>
  <w:num w:numId="48">
    <w:abstractNumId w:val="44"/>
  </w:num>
  <w:num w:numId="49">
    <w:abstractNumId w:val="40"/>
  </w:num>
  <w:num w:numId="50">
    <w:abstractNumId w:val="5"/>
  </w:num>
  <w:num w:numId="51">
    <w:abstractNumId w:val="7"/>
  </w:num>
  <w:num w:numId="52">
    <w:abstractNumId w:val="17"/>
  </w:num>
  <w:num w:numId="53">
    <w:abstractNumId w:val="53"/>
  </w:num>
  <w:num w:numId="54">
    <w:abstractNumId w:val="43"/>
  </w:num>
  <w:num w:numId="55">
    <w:abstractNumId w:val="68"/>
  </w:num>
  <w:num w:numId="56">
    <w:abstractNumId w:val="38"/>
  </w:num>
  <w:num w:numId="57">
    <w:abstractNumId w:val="73"/>
  </w:num>
  <w:num w:numId="58">
    <w:abstractNumId w:val="75"/>
  </w:num>
  <w:num w:numId="59">
    <w:abstractNumId w:val="19"/>
  </w:num>
  <w:num w:numId="60">
    <w:abstractNumId w:val="13"/>
  </w:num>
  <w:num w:numId="61">
    <w:abstractNumId w:val="39"/>
  </w:num>
  <w:num w:numId="62">
    <w:abstractNumId w:val="66"/>
  </w:num>
  <w:num w:numId="63">
    <w:abstractNumId w:val="64"/>
  </w:num>
  <w:num w:numId="64">
    <w:abstractNumId w:val="51"/>
  </w:num>
  <w:num w:numId="65">
    <w:abstractNumId w:val="4"/>
  </w:num>
  <w:num w:numId="66">
    <w:abstractNumId w:val="67"/>
  </w:num>
  <w:num w:numId="67">
    <w:abstractNumId w:val="3"/>
  </w:num>
  <w:num w:numId="68">
    <w:abstractNumId w:val="15"/>
  </w:num>
  <w:num w:numId="69">
    <w:abstractNumId w:val="48"/>
  </w:num>
  <w:num w:numId="70">
    <w:abstractNumId w:val="14"/>
  </w:num>
  <w:num w:numId="71">
    <w:abstractNumId w:val="59"/>
  </w:num>
  <w:num w:numId="72">
    <w:abstractNumId w:val="8"/>
  </w:num>
  <w:num w:numId="73">
    <w:abstractNumId w:val="58"/>
  </w:num>
  <w:num w:numId="74">
    <w:abstractNumId w:val="32"/>
  </w:num>
  <w:num w:numId="75">
    <w:abstractNumId w:val="37"/>
  </w:num>
  <w:num w:numId="76">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A955C2"/>
    <w:rsid w:val="000019B0"/>
    <w:rsid w:val="00005193"/>
    <w:rsid w:val="00005E59"/>
    <w:rsid w:val="000067F7"/>
    <w:rsid w:val="0000762E"/>
    <w:rsid w:val="0001005B"/>
    <w:rsid w:val="0001503A"/>
    <w:rsid w:val="00021B1B"/>
    <w:rsid w:val="0002390B"/>
    <w:rsid w:val="0002486A"/>
    <w:rsid w:val="00030573"/>
    <w:rsid w:val="00031724"/>
    <w:rsid w:val="0003316E"/>
    <w:rsid w:val="00043C89"/>
    <w:rsid w:val="0004704B"/>
    <w:rsid w:val="00055F76"/>
    <w:rsid w:val="00062865"/>
    <w:rsid w:val="00066DB8"/>
    <w:rsid w:val="000719E0"/>
    <w:rsid w:val="00074CFC"/>
    <w:rsid w:val="00082BFE"/>
    <w:rsid w:val="000852C0"/>
    <w:rsid w:val="00085367"/>
    <w:rsid w:val="00085B7C"/>
    <w:rsid w:val="00091AA2"/>
    <w:rsid w:val="00093DD4"/>
    <w:rsid w:val="00097B58"/>
    <w:rsid w:val="000A0F2A"/>
    <w:rsid w:val="000A655B"/>
    <w:rsid w:val="000A7BA4"/>
    <w:rsid w:val="000B06C8"/>
    <w:rsid w:val="000B458E"/>
    <w:rsid w:val="000B5488"/>
    <w:rsid w:val="000C0B7C"/>
    <w:rsid w:val="000C0D09"/>
    <w:rsid w:val="000C4635"/>
    <w:rsid w:val="000C6642"/>
    <w:rsid w:val="000D701D"/>
    <w:rsid w:val="000E20C1"/>
    <w:rsid w:val="000E2BB7"/>
    <w:rsid w:val="000F5F2C"/>
    <w:rsid w:val="00101197"/>
    <w:rsid w:val="00110323"/>
    <w:rsid w:val="0011064D"/>
    <w:rsid w:val="00110776"/>
    <w:rsid w:val="001121A8"/>
    <w:rsid w:val="001210D8"/>
    <w:rsid w:val="001219A0"/>
    <w:rsid w:val="001223FF"/>
    <w:rsid w:val="001260AF"/>
    <w:rsid w:val="001261BA"/>
    <w:rsid w:val="0013339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74765"/>
    <w:rsid w:val="00174D32"/>
    <w:rsid w:val="00181F92"/>
    <w:rsid w:val="00186162"/>
    <w:rsid w:val="001877B3"/>
    <w:rsid w:val="001A6450"/>
    <w:rsid w:val="001B0BC8"/>
    <w:rsid w:val="001B5936"/>
    <w:rsid w:val="001C04A6"/>
    <w:rsid w:val="001C5D9B"/>
    <w:rsid w:val="001D0D47"/>
    <w:rsid w:val="001D46C6"/>
    <w:rsid w:val="001D7FE9"/>
    <w:rsid w:val="001E1827"/>
    <w:rsid w:val="001E1D52"/>
    <w:rsid w:val="001E7FF7"/>
    <w:rsid w:val="001F5CCE"/>
    <w:rsid w:val="001F5EC9"/>
    <w:rsid w:val="001F6B5B"/>
    <w:rsid w:val="001F6E0E"/>
    <w:rsid w:val="00200EE5"/>
    <w:rsid w:val="002018B1"/>
    <w:rsid w:val="002077DC"/>
    <w:rsid w:val="00221033"/>
    <w:rsid w:val="00225A91"/>
    <w:rsid w:val="00245D09"/>
    <w:rsid w:val="00247A03"/>
    <w:rsid w:val="00250347"/>
    <w:rsid w:val="0026329F"/>
    <w:rsid w:val="00266FE0"/>
    <w:rsid w:val="00271421"/>
    <w:rsid w:val="00275783"/>
    <w:rsid w:val="00284E4F"/>
    <w:rsid w:val="00291601"/>
    <w:rsid w:val="002923A5"/>
    <w:rsid w:val="00296423"/>
    <w:rsid w:val="002A5022"/>
    <w:rsid w:val="002A57A5"/>
    <w:rsid w:val="002A69C8"/>
    <w:rsid w:val="002A7086"/>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1334E"/>
    <w:rsid w:val="0031558C"/>
    <w:rsid w:val="00317E88"/>
    <w:rsid w:val="0032262D"/>
    <w:rsid w:val="00322BFC"/>
    <w:rsid w:val="00325FC8"/>
    <w:rsid w:val="00331A67"/>
    <w:rsid w:val="00335F02"/>
    <w:rsid w:val="00341412"/>
    <w:rsid w:val="00343DC3"/>
    <w:rsid w:val="003450BD"/>
    <w:rsid w:val="0035062D"/>
    <w:rsid w:val="003515AF"/>
    <w:rsid w:val="00352FD2"/>
    <w:rsid w:val="00353E56"/>
    <w:rsid w:val="00354107"/>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849"/>
    <w:rsid w:val="003B0E5A"/>
    <w:rsid w:val="003B27D3"/>
    <w:rsid w:val="003C25D6"/>
    <w:rsid w:val="003C265B"/>
    <w:rsid w:val="003C2D4C"/>
    <w:rsid w:val="003C5E63"/>
    <w:rsid w:val="003D3029"/>
    <w:rsid w:val="003D5B97"/>
    <w:rsid w:val="003D5E5D"/>
    <w:rsid w:val="003D6558"/>
    <w:rsid w:val="003D7355"/>
    <w:rsid w:val="003E2203"/>
    <w:rsid w:val="003E25B5"/>
    <w:rsid w:val="003E2CF4"/>
    <w:rsid w:val="003E2F38"/>
    <w:rsid w:val="003F01D8"/>
    <w:rsid w:val="003F42FB"/>
    <w:rsid w:val="004008FC"/>
    <w:rsid w:val="00401D49"/>
    <w:rsid w:val="004125C6"/>
    <w:rsid w:val="004142BC"/>
    <w:rsid w:val="004173DF"/>
    <w:rsid w:val="00417AE4"/>
    <w:rsid w:val="00425C55"/>
    <w:rsid w:val="0042623D"/>
    <w:rsid w:val="0042623E"/>
    <w:rsid w:val="004355F3"/>
    <w:rsid w:val="00437178"/>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8657D"/>
    <w:rsid w:val="00490D74"/>
    <w:rsid w:val="00494638"/>
    <w:rsid w:val="00497576"/>
    <w:rsid w:val="004A72BC"/>
    <w:rsid w:val="004B031B"/>
    <w:rsid w:val="004B1433"/>
    <w:rsid w:val="004B2614"/>
    <w:rsid w:val="004B2E5A"/>
    <w:rsid w:val="004B668E"/>
    <w:rsid w:val="004C07D4"/>
    <w:rsid w:val="004C47BF"/>
    <w:rsid w:val="004E016E"/>
    <w:rsid w:val="004E1676"/>
    <w:rsid w:val="004E4818"/>
    <w:rsid w:val="004F4B43"/>
    <w:rsid w:val="004F5402"/>
    <w:rsid w:val="004F6C06"/>
    <w:rsid w:val="004F742E"/>
    <w:rsid w:val="00507941"/>
    <w:rsid w:val="005102AE"/>
    <w:rsid w:val="00510F11"/>
    <w:rsid w:val="00511C69"/>
    <w:rsid w:val="005136C2"/>
    <w:rsid w:val="00515ACF"/>
    <w:rsid w:val="00515DCF"/>
    <w:rsid w:val="00521550"/>
    <w:rsid w:val="00523A81"/>
    <w:rsid w:val="00526728"/>
    <w:rsid w:val="00534A62"/>
    <w:rsid w:val="00537BC1"/>
    <w:rsid w:val="00541303"/>
    <w:rsid w:val="005456D2"/>
    <w:rsid w:val="00550C25"/>
    <w:rsid w:val="00550D34"/>
    <w:rsid w:val="005512A0"/>
    <w:rsid w:val="00554703"/>
    <w:rsid w:val="005573BE"/>
    <w:rsid w:val="00557D15"/>
    <w:rsid w:val="0056006B"/>
    <w:rsid w:val="00562851"/>
    <w:rsid w:val="00562D37"/>
    <w:rsid w:val="005645FA"/>
    <w:rsid w:val="00564C20"/>
    <w:rsid w:val="00566A68"/>
    <w:rsid w:val="0057154E"/>
    <w:rsid w:val="00574B52"/>
    <w:rsid w:val="00576EE5"/>
    <w:rsid w:val="00584191"/>
    <w:rsid w:val="00585C77"/>
    <w:rsid w:val="00585F73"/>
    <w:rsid w:val="00591FE9"/>
    <w:rsid w:val="00594D22"/>
    <w:rsid w:val="00595024"/>
    <w:rsid w:val="005A3BD5"/>
    <w:rsid w:val="005A7DA9"/>
    <w:rsid w:val="005B0ECE"/>
    <w:rsid w:val="005B5AEE"/>
    <w:rsid w:val="005B5E55"/>
    <w:rsid w:val="005B70AD"/>
    <w:rsid w:val="005C36BF"/>
    <w:rsid w:val="005C5A33"/>
    <w:rsid w:val="005D02C8"/>
    <w:rsid w:val="005D51FF"/>
    <w:rsid w:val="005E140E"/>
    <w:rsid w:val="005E2EB4"/>
    <w:rsid w:val="005F00E9"/>
    <w:rsid w:val="005F20B0"/>
    <w:rsid w:val="00600B9B"/>
    <w:rsid w:val="00607496"/>
    <w:rsid w:val="00607DE3"/>
    <w:rsid w:val="006103BD"/>
    <w:rsid w:val="006135EE"/>
    <w:rsid w:val="0061419A"/>
    <w:rsid w:val="00616F06"/>
    <w:rsid w:val="006170AE"/>
    <w:rsid w:val="0062412C"/>
    <w:rsid w:val="00631508"/>
    <w:rsid w:val="006325E6"/>
    <w:rsid w:val="00636AAD"/>
    <w:rsid w:val="006377E5"/>
    <w:rsid w:val="0064000F"/>
    <w:rsid w:val="00644568"/>
    <w:rsid w:val="00644E64"/>
    <w:rsid w:val="0064732B"/>
    <w:rsid w:val="00660EF4"/>
    <w:rsid w:val="006705D1"/>
    <w:rsid w:val="00671B08"/>
    <w:rsid w:val="006720EC"/>
    <w:rsid w:val="00672146"/>
    <w:rsid w:val="00681D6E"/>
    <w:rsid w:val="0068257C"/>
    <w:rsid w:val="00683E55"/>
    <w:rsid w:val="00686DB4"/>
    <w:rsid w:val="00691AB0"/>
    <w:rsid w:val="00692008"/>
    <w:rsid w:val="0069744B"/>
    <w:rsid w:val="006A79FB"/>
    <w:rsid w:val="006B42F0"/>
    <w:rsid w:val="006C247C"/>
    <w:rsid w:val="006C690F"/>
    <w:rsid w:val="006C79FF"/>
    <w:rsid w:val="006D0CB8"/>
    <w:rsid w:val="006D513D"/>
    <w:rsid w:val="006D7D4D"/>
    <w:rsid w:val="006E005D"/>
    <w:rsid w:val="006E2152"/>
    <w:rsid w:val="006E2316"/>
    <w:rsid w:val="006E2D88"/>
    <w:rsid w:val="006E31FA"/>
    <w:rsid w:val="006E7815"/>
    <w:rsid w:val="006F2CA9"/>
    <w:rsid w:val="006F63BF"/>
    <w:rsid w:val="006F6CD9"/>
    <w:rsid w:val="006F7BEE"/>
    <w:rsid w:val="00700D60"/>
    <w:rsid w:val="007020DA"/>
    <w:rsid w:val="0070414D"/>
    <w:rsid w:val="007060F2"/>
    <w:rsid w:val="00715FDF"/>
    <w:rsid w:val="00720A57"/>
    <w:rsid w:val="00721C78"/>
    <w:rsid w:val="00723357"/>
    <w:rsid w:val="007302C5"/>
    <w:rsid w:val="00737AFE"/>
    <w:rsid w:val="00737F38"/>
    <w:rsid w:val="0074067C"/>
    <w:rsid w:val="00746CEA"/>
    <w:rsid w:val="00747F48"/>
    <w:rsid w:val="00751E61"/>
    <w:rsid w:val="00752B8A"/>
    <w:rsid w:val="007553FB"/>
    <w:rsid w:val="00765AF2"/>
    <w:rsid w:val="00771828"/>
    <w:rsid w:val="0077284D"/>
    <w:rsid w:val="0077324A"/>
    <w:rsid w:val="007819DB"/>
    <w:rsid w:val="00786062"/>
    <w:rsid w:val="0078628A"/>
    <w:rsid w:val="00791C13"/>
    <w:rsid w:val="007944B5"/>
    <w:rsid w:val="007A1004"/>
    <w:rsid w:val="007A14CC"/>
    <w:rsid w:val="007A4D71"/>
    <w:rsid w:val="007B1F5A"/>
    <w:rsid w:val="007C58F6"/>
    <w:rsid w:val="007C5BA1"/>
    <w:rsid w:val="007F2012"/>
    <w:rsid w:val="007F2A1A"/>
    <w:rsid w:val="007F7E58"/>
    <w:rsid w:val="008003B1"/>
    <w:rsid w:val="00800F3D"/>
    <w:rsid w:val="00803EFE"/>
    <w:rsid w:val="0080419B"/>
    <w:rsid w:val="0080744C"/>
    <w:rsid w:val="0081197D"/>
    <w:rsid w:val="0082078C"/>
    <w:rsid w:val="00821D24"/>
    <w:rsid w:val="00825076"/>
    <w:rsid w:val="00830B83"/>
    <w:rsid w:val="0084292F"/>
    <w:rsid w:val="008442F5"/>
    <w:rsid w:val="00844425"/>
    <w:rsid w:val="00844CFF"/>
    <w:rsid w:val="008479C6"/>
    <w:rsid w:val="00850406"/>
    <w:rsid w:val="00850B17"/>
    <w:rsid w:val="00852B8D"/>
    <w:rsid w:val="00853F01"/>
    <w:rsid w:val="00857EF3"/>
    <w:rsid w:val="00870428"/>
    <w:rsid w:val="00874F3C"/>
    <w:rsid w:val="00876267"/>
    <w:rsid w:val="00880A98"/>
    <w:rsid w:val="00886347"/>
    <w:rsid w:val="00891ADA"/>
    <w:rsid w:val="008954C1"/>
    <w:rsid w:val="00896781"/>
    <w:rsid w:val="008B2536"/>
    <w:rsid w:val="008B30ED"/>
    <w:rsid w:val="008B4873"/>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21EED"/>
    <w:rsid w:val="0092644B"/>
    <w:rsid w:val="009270C9"/>
    <w:rsid w:val="009336FD"/>
    <w:rsid w:val="00933ECF"/>
    <w:rsid w:val="00934E0C"/>
    <w:rsid w:val="00940491"/>
    <w:rsid w:val="009420E0"/>
    <w:rsid w:val="009444BC"/>
    <w:rsid w:val="009529DE"/>
    <w:rsid w:val="00952F7A"/>
    <w:rsid w:val="0095307E"/>
    <w:rsid w:val="00954850"/>
    <w:rsid w:val="00956E92"/>
    <w:rsid w:val="00960ED5"/>
    <w:rsid w:val="00971122"/>
    <w:rsid w:val="009754D6"/>
    <w:rsid w:val="00980981"/>
    <w:rsid w:val="00981F2E"/>
    <w:rsid w:val="00985DC8"/>
    <w:rsid w:val="00986F47"/>
    <w:rsid w:val="0098731E"/>
    <w:rsid w:val="009A0911"/>
    <w:rsid w:val="009A1993"/>
    <w:rsid w:val="009B1A9B"/>
    <w:rsid w:val="009B5542"/>
    <w:rsid w:val="009C12AB"/>
    <w:rsid w:val="009C4547"/>
    <w:rsid w:val="009C7334"/>
    <w:rsid w:val="009D52B9"/>
    <w:rsid w:val="009D5989"/>
    <w:rsid w:val="009D7E32"/>
    <w:rsid w:val="009E082E"/>
    <w:rsid w:val="009E5DAD"/>
    <w:rsid w:val="009E66B0"/>
    <w:rsid w:val="009F285D"/>
    <w:rsid w:val="009F384B"/>
    <w:rsid w:val="009F56D9"/>
    <w:rsid w:val="00A01093"/>
    <w:rsid w:val="00A02702"/>
    <w:rsid w:val="00A05F45"/>
    <w:rsid w:val="00A06138"/>
    <w:rsid w:val="00A1315B"/>
    <w:rsid w:val="00A158BB"/>
    <w:rsid w:val="00A15E63"/>
    <w:rsid w:val="00A313C6"/>
    <w:rsid w:val="00A3153E"/>
    <w:rsid w:val="00A33115"/>
    <w:rsid w:val="00A36A7A"/>
    <w:rsid w:val="00A372D4"/>
    <w:rsid w:val="00A40BF0"/>
    <w:rsid w:val="00A46AAB"/>
    <w:rsid w:val="00A47CBC"/>
    <w:rsid w:val="00A5355D"/>
    <w:rsid w:val="00A571EA"/>
    <w:rsid w:val="00A57BCC"/>
    <w:rsid w:val="00A613AB"/>
    <w:rsid w:val="00A62E96"/>
    <w:rsid w:val="00A67370"/>
    <w:rsid w:val="00A7155C"/>
    <w:rsid w:val="00A75BE8"/>
    <w:rsid w:val="00A768D5"/>
    <w:rsid w:val="00A819A9"/>
    <w:rsid w:val="00A84AFE"/>
    <w:rsid w:val="00A9198F"/>
    <w:rsid w:val="00A955C2"/>
    <w:rsid w:val="00A95716"/>
    <w:rsid w:val="00A959A8"/>
    <w:rsid w:val="00AA18C8"/>
    <w:rsid w:val="00AA1DDA"/>
    <w:rsid w:val="00AA5D85"/>
    <w:rsid w:val="00AA6DE7"/>
    <w:rsid w:val="00AB1340"/>
    <w:rsid w:val="00AB1BE5"/>
    <w:rsid w:val="00AB284A"/>
    <w:rsid w:val="00AB64A7"/>
    <w:rsid w:val="00AC0EE8"/>
    <w:rsid w:val="00AC4291"/>
    <w:rsid w:val="00AC768D"/>
    <w:rsid w:val="00AD0F7D"/>
    <w:rsid w:val="00AD546E"/>
    <w:rsid w:val="00AF5E4C"/>
    <w:rsid w:val="00AF608C"/>
    <w:rsid w:val="00AF6D55"/>
    <w:rsid w:val="00B001C6"/>
    <w:rsid w:val="00B04987"/>
    <w:rsid w:val="00B1187E"/>
    <w:rsid w:val="00B1733D"/>
    <w:rsid w:val="00B20DF7"/>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5C40"/>
    <w:rsid w:val="00B9068C"/>
    <w:rsid w:val="00B91A5A"/>
    <w:rsid w:val="00BA1D6A"/>
    <w:rsid w:val="00BA3AD8"/>
    <w:rsid w:val="00BA3C25"/>
    <w:rsid w:val="00BB218F"/>
    <w:rsid w:val="00BC3757"/>
    <w:rsid w:val="00BD6B08"/>
    <w:rsid w:val="00BD7DDB"/>
    <w:rsid w:val="00BE0E94"/>
    <w:rsid w:val="00BE1238"/>
    <w:rsid w:val="00BE347F"/>
    <w:rsid w:val="00BE7BF7"/>
    <w:rsid w:val="00BF1EA5"/>
    <w:rsid w:val="00BF4170"/>
    <w:rsid w:val="00BF68B0"/>
    <w:rsid w:val="00C00A53"/>
    <w:rsid w:val="00C0331F"/>
    <w:rsid w:val="00C041E1"/>
    <w:rsid w:val="00C06F62"/>
    <w:rsid w:val="00C10587"/>
    <w:rsid w:val="00C118FD"/>
    <w:rsid w:val="00C248C6"/>
    <w:rsid w:val="00C327E0"/>
    <w:rsid w:val="00C3322C"/>
    <w:rsid w:val="00C355B6"/>
    <w:rsid w:val="00C36D8D"/>
    <w:rsid w:val="00C37638"/>
    <w:rsid w:val="00C40A71"/>
    <w:rsid w:val="00C47970"/>
    <w:rsid w:val="00C52377"/>
    <w:rsid w:val="00C53C98"/>
    <w:rsid w:val="00C64E51"/>
    <w:rsid w:val="00C656E1"/>
    <w:rsid w:val="00C67512"/>
    <w:rsid w:val="00C83E60"/>
    <w:rsid w:val="00C87C62"/>
    <w:rsid w:val="00C90864"/>
    <w:rsid w:val="00C90CE6"/>
    <w:rsid w:val="00C9179D"/>
    <w:rsid w:val="00C93FA4"/>
    <w:rsid w:val="00C95B81"/>
    <w:rsid w:val="00C9605A"/>
    <w:rsid w:val="00CA3092"/>
    <w:rsid w:val="00CA6C5D"/>
    <w:rsid w:val="00CB07CB"/>
    <w:rsid w:val="00CB486E"/>
    <w:rsid w:val="00CC10CA"/>
    <w:rsid w:val="00CC65A1"/>
    <w:rsid w:val="00CD01AA"/>
    <w:rsid w:val="00CD5897"/>
    <w:rsid w:val="00CE268B"/>
    <w:rsid w:val="00CE3274"/>
    <w:rsid w:val="00CE4CAB"/>
    <w:rsid w:val="00CE6F0C"/>
    <w:rsid w:val="00CF186C"/>
    <w:rsid w:val="00D000F5"/>
    <w:rsid w:val="00D033EF"/>
    <w:rsid w:val="00D07DAD"/>
    <w:rsid w:val="00D07F6E"/>
    <w:rsid w:val="00D12130"/>
    <w:rsid w:val="00D24F6E"/>
    <w:rsid w:val="00D25406"/>
    <w:rsid w:val="00D2620D"/>
    <w:rsid w:val="00D27188"/>
    <w:rsid w:val="00D401AD"/>
    <w:rsid w:val="00D45EBD"/>
    <w:rsid w:val="00D60EA7"/>
    <w:rsid w:val="00D77F59"/>
    <w:rsid w:val="00D82A24"/>
    <w:rsid w:val="00D837B0"/>
    <w:rsid w:val="00D849E9"/>
    <w:rsid w:val="00D85871"/>
    <w:rsid w:val="00D90E84"/>
    <w:rsid w:val="00DA1661"/>
    <w:rsid w:val="00DA44C0"/>
    <w:rsid w:val="00DA644E"/>
    <w:rsid w:val="00DA78EE"/>
    <w:rsid w:val="00DB4E0D"/>
    <w:rsid w:val="00DC3A48"/>
    <w:rsid w:val="00DC3AF4"/>
    <w:rsid w:val="00DC3D5A"/>
    <w:rsid w:val="00DC5952"/>
    <w:rsid w:val="00DC6E45"/>
    <w:rsid w:val="00DD16DD"/>
    <w:rsid w:val="00DD1C65"/>
    <w:rsid w:val="00DD25EC"/>
    <w:rsid w:val="00DD5DA3"/>
    <w:rsid w:val="00DD70B6"/>
    <w:rsid w:val="00DE1709"/>
    <w:rsid w:val="00DE3C44"/>
    <w:rsid w:val="00DE43B7"/>
    <w:rsid w:val="00DE65AF"/>
    <w:rsid w:val="00E07B62"/>
    <w:rsid w:val="00E1037B"/>
    <w:rsid w:val="00E10B25"/>
    <w:rsid w:val="00E176CC"/>
    <w:rsid w:val="00E2064B"/>
    <w:rsid w:val="00E23886"/>
    <w:rsid w:val="00E27FD9"/>
    <w:rsid w:val="00E308FD"/>
    <w:rsid w:val="00E31971"/>
    <w:rsid w:val="00E367B5"/>
    <w:rsid w:val="00E40071"/>
    <w:rsid w:val="00E405CF"/>
    <w:rsid w:val="00E4251C"/>
    <w:rsid w:val="00E439B5"/>
    <w:rsid w:val="00E458EF"/>
    <w:rsid w:val="00E525DC"/>
    <w:rsid w:val="00E539D0"/>
    <w:rsid w:val="00E53F54"/>
    <w:rsid w:val="00E555C0"/>
    <w:rsid w:val="00E6345A"/>
    <w:rsid w:val="00E654AD"/>
    <w:rsid w:val="00E6582A"/>
    <w:rsid w:val="00E6589D"/>
    <w:rsid w:val="00E73258"/>
    <w:rsid w:val="00E7574E"/>
    <w:rsid w:val="00E77BF1"/>
    <w:rsid w:val="00E77DAB"/>
    <w:rsid w:val="00E82130"/>
    <w:rsid w:val="00E832C1"/>
    <w:rsid w:val="00E84B16"/>
    <w:rsid w:val="00E9016F"/>
    <w:rsid w:val="00E92193"/>
    <w:rsid w:val="00E92F97"/>
    <w:rsid w:val="00E94269"/>
    <w:rsid w:val="00E96905"/>
    <w:rsid w:val="00EA0189"/>
    <w:rsid w:val="00EA2676"/>
    <w:rsid w:val="00EA37E1"/>
    <w:rsid w:val="00EA4DF9"/>
    <w:rsid w:val="00EB487B"/>
    <w:rsid w:val="00EC126D"/>
    <w:rsid w:val="00EC2705"/>
    <w:rsid w:val="00EC4A10"/>
    <w:rsid w:val="00EC57F2"/>
    <w:rsid w:val="00EC7BEB"/>
    <w:rsid w:val="00ED31D4"/>
    <w:rsid w:val="00ED5055"/>
    <w:rsid w:val="00ED7AA8"/>
    <w:rsid w:val="00EE05EB"/>
    <w:rsid w:val="00EE5544"/>
    <w:rsid w:val="00EE7AEA"/>
    <w:rsid w:val="00EE7FAE"/>
    <w:rsid w:val="00EF2F71"/>
    <w:rsid w:val="00EF4A1C"/>
    <w:rsid w:val="00F01A9F"/>
    <w:rsid w:val="00F05EA4"/>
    <w:rsid w:val="00F12510"/>
    <w:rsid w:val="00F148A0"/>
    <w:rsid w:val="00F14EC4"/>
    <w:rsid w:val="00F22ADA"/>
    <w:rsid w:val="00F321F5"/>
    <w:rsid w:val="00F334D5"/>
    <w:rsid w:val="00F35892"/>
    <w:rsid w:val="00F36540"/>
    <w:rsid w:val="00F50016"/>
    <w:rsid w:val="00F50C3A"/>
    <w:rsid w:val="00F5151B"/>
    <w:rsid w:val="00F57FD7"/>
    <w:rsid w:val="00F604C2"/>
    <w:rsid w:val="00F64FE5"/>
    <w:rsid w:val="00F66334"/>
    <w:rsid w:val="00F857E5"/>
    <w:rsid w:val="00F870B9"/>
    <w:rsid w:val="00F90838"/>
    <w:rsid w:val="00F9257E"/>
    <w:rsid w:val="00F96AEB"/>
    <w:rsid w:val="00FA01A6"/>
    <w:rsid w:val="00FA12D3"/>
    <w:rsid w:val="00FA3274"/>
    <w:rsid w:val="00FA3F32"/>
    <w:rsid w:val="00FB425F"/>
    <w:rsid w:val="00FC47DB"/>
    <w:rsid w:val="00FC75C3"/>
    <w:rsid w:val="00FC7D3C"/>
    <w:rsid w:val="00FD5735"/>
    <w:rsid w:val="00FE5508"/>
    <w:rsid w:val="00FF3801"/>
    <w:rsid w:val="00FF67E6"/>
    <w:rsid w:val="00FF761C"/>
    <w:rsid w:val="00FF7CF6"/>
    <w:rsid w:val="01C25065"/>
    <w:rsid w:val="03DF6A02"/>
    <w:rsid w:val="03E300E1"/>
    <w:rsid w:val="04270E0A"/>
    <w:rsid w:val="044C5A83"/>
    <w:rsid w:val="046705E4"/>
    <w:rsid w:val="05025C1D"/>
    <w:rsid w:val="06CA569A"/>
    <w:rsid w:val="077C5CB6"/>
    <w:rsid w:val="07972AF0"/>
    <w:rsid w:val="08B35707"/>
    <w:rsid w:val="0ACA0AE6"/>
    <w:rsid w:val="0CB75678"/>
    <w:rsid w:val="0D9832DA"/>
    <w:rsid w:val="0DB32A09"/>
    <w:rsid w:val="0DBC68F4"/>
    <w:rsid w:val="0DDC6402"/>
    <w:rsid w:val="0DEE2993"/>
    <w:rsid w:val="0E986DE4"/>
    <w:rsid w:val="0FCC70AF"/>
    <w:rsid w:val="11D007C9"/>
    <w:rsid w:val="15264327"/>
    <w:rsid w:val="15455322"/>
    <w:rsid w:val="157E5495"/>
    <w:rsid w:val="15F5735F"/>
    <w:rsid w:val="160B047E"/>
    <w:rsid w:val="1661013C"/>
    <w:rsid w:val="169A7F07"/>
    <w:rsid w:val="16D25811"/>
    <w:rsid w:val="1867397D"/>
    <w:rsid w:val="189F3F32"/>
    <w:rsid w:val="18C33D65"/>
    <w:rsid w:val="19AA220F"/>
    <w:rsid w:val="1A5F124B"/>
    <w:rsid w:val="1AB25D6E"/>
    <w:rsid w:val="1C10420C"/>
    <w:rsid w:val="1C6074FD"/>
    <w:rsid w:val="1CC2188C"/>
    <w:rsid w:val="1D1F774C"/>
    <w:rsid w:val="1DAF2867"/>
    <w:rsid w:val="23151041"/>
    <w:rsid w:val="23301862"/>
    <w:rsid w:val="23B138FF"/>
    <w:rsid w:val="248C335D"/>
    <w:rsid w:val="2571700B"/>
    <w:rsid w:val="258A17FF"/>
    <w:rsid w:val="266009FB"/>
    <w:rsid w:val="27980351"/>
    <w:rsid w:val="27B83638"/>
    <w:rsid w:val="280A391D"/>
    <w:rsid w:val="28A41BFF"/>
    <w:rsid w:val="29F3375E"/>
    <w:rsid w:val="2A385615"/>
    <w:rsid w:val="2A6C413F"/>
    <w:rsid w:val="2AE17A5A"/>
    <w:rsid w:val="2C4031E8"/>
    <w:rsid w:val="2D0A51B9"/>
    <w:rsid w:val="2E267B1B"/>
    <w:rsid w:val="2F7C41F6"/>
    <w:rsid w:val="30E43EF4"/>
    <w:rsid w:val="315B0955"/>
    <w:rsid w:val="3172765E"/>
    <w:rsid w:val="31BE28A4"/>
    <w:rsid w:val="3260395B"/>
    <w:rsid w:val="327B2269"/>
    <w:rsid w:val="34773C21"/>
    <w:rsid w:val="34C1590F"/>
    <w:rsid w:val="34C359EA"/>
    <w:rsid w:val="34D65F64"/>
    <w:rsid w:val="356279A7"/>
    <w:rsid w:val="369E361B"/>
    <w:rsid w:val="370A55C3"/>
    <w:rsid w:val="37371251"/>
    <w:rsid w:val="38261B78"/>
    <w:rsid w:val="39C26CA9"/>
    <w:rsid w:val="39C6161B"/>
    <w:rsid w:val="3A2D6018"/>
    <w:rsid w:val="3ACC4283"/>
    <w:rsid w:val="3DA05553"/>
    <w:rsid w:val="3E2B6D80"/>
    <w:rsid w:val="3F3423F7"/>
    <w:rsid w:val="41E2613A"/>
    <w:rsid w:val="43394480"/>
    <w:rsid w:val="43A55671"/>
    <w:rsid w:val="45264EFE"/>
    <w:rsid w:val="45B10E25"/>
    <w:rsid w:val="45BB732B"/>
    <w:rsid w:val="45EA6EE0"/>
    <w:rsid w:val="46157AF3"/>
    <w:rsid w:val="4698770F"/>
    <w:rsid w:val="46B1257F"/>
    <w:rsid w:val="4731435F"/>
    <w:rsid w:val="4776609A"/>
    <w:rsid w:val="48BF5CAC"/>
    <w:rsid w:val="49865F45"/>
    <w:rsid w:val="4A020870"/>
    <w:rsid w:val="4A5E47CC"/>
    <w:rsid w:val="4AD807FC"/>
    <w:rsid w:val="4B7B3F78"/>
    <w:rsid w:val="4C9C7C83"/>
    <w:rsid w:val="4E1E2CE2"/>
    <w:rsid w:val="4E320449"/>
    <w:rsid w:val="4F222556"/>
    <w:rsid w:val="4F52414B"/>
    <w:rsid w:val="4FC21359"/>
    <w:rsid w:val="50B653EC"/>
    <w:rsid w:val="51622DF4"/>
    <w:rsid w:val="53C27064"/>
    <w:rsid w:val="5407551C"/>
    <w:rsid w:val="547E6784"/>
    <w:rsid w:val="54DD089B"/>
    <w:rsid w:val="54DF16B0"/>
    <w:rsid w:val="555D6947"/>
    <w:rsid w:val="557B0928"/>
    <w:rsid w:val="57482A8C"/>
    <w:rsid w:val="585C6856"/>
    <w:rsid w:val="58F711C9"/>
    <w:rsid w:val="59E52814"/>
    <w:rsid w:val="5A6E2809"/>
    <w:rsid w:val="5BA069F2"/>
    <w:rsid w:val="5C234CA4"/>
    <w:rsid w:val="5CBD097B"/>
    <w:rsid w:val="5D216923"/>
    <w:rsid w:val="5D393D3D"/>
    <w:rsid w:val="5E062304"/>
    <w:rsid w:val="5E065D78"/>
    <w:rsid w:val="5E921830"/>
    <w:rsid w:val="5EE36EBB"/>
    <w:rsid w:val="60335C18"/>
    <w:rsid w:val="60B3541A"/>
    <w:rsid w:val="614B3147"/>
    <w:rsid w:val="615941F6"/>
    <w:rsid w:val="61BB7373"/>
    <w:rsid w:val="622F00B1"/>
    <w:rsid w:val="62DD052C"/>
    <w:rsid w:val="636E5628"/>
    <w:rsid w:val="63780255"/>
    <w:rsid w:val="65331F2B"/>
    <w:rsid w:val="657A6961"/>
    <w:rsid w:val="67281E0C"/>
    <w:rsid w:val="674C3ED2"/>
    <w:rsid w:val="69317154"/>
    <w:rsid w:val="6BE26B06"/>
    <w:rsid w:val="6C88312E"/>
    <w:rsid w:val="6E1416F9"/>
    <w:rsid w:val="6EAC65A4"/>
    <w:rsid w:val="6F0F625F"/>
    <w:rsid w:val="6FBB235F"/>
    <w:rsid w:val="6FBC1868"/>
    <w:rsid w:val="711B38F2"/>
    <w:rsid w:val="713A5FB0"/>
    <w:rsid w:val="719941B8"/>
    <w:rsid w:val="72F86CBC"/>
    <w:rsid w:val="730E4B34"/>
    <w:rsid w:val="73E838BF"/>
    <w:rsid w:val="74350E97"/>
    <w:rsid w:val="75616D9B"/>
    <w:rsid w:val="76442519"/>
    <w:rsid w:val="77077643"/>
    <w:rsid w:val="78433288"/>
    <w:rsid w:val="785504B4"/>
    <w:rsid w:val="786D5FFA"/>
    <w:rsid w:val="78B17060"/>
    <w:rsid w:val="7A277702"/>
    <w:rsid w:val="7A28432B"/>
    <w:rsid w:val="7B334D35"/>
    <w:rsid w:val="7CB61980"/>
    <w:rsid w:val="7D2C5C84"/>
    <w:rsid w:val="7D3E74C4"/>
    <w:rsid w:val="7DAC70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paragraph" w:styleId="3">
    <w:name w:val="Body Text"/>
    <w:basedOn w:val="1"/>
    <w:next w:val="4"/>
    <w:link w:val="54"/>
    <w:unhideWhenUsed/>
    <w:qFormat/>
    <w:uiPriority w:val="99"/>
    <w:pPr>
      <w:spacing w:after="120"/>
    </w:pPr>
  </w:style>
  <w:style w:type="paragraph" w:styleId="4">
    <w:name w:val="Body Text 2"/>
    <w:basedOn w:val="1"/>
    <w:qFormat/>
    <w:uiPriority w:val="0"/>
    <w:pPr>
      <w:spacing w:line="480" w:lineRule="auto"/>
      <w:ind w:right="357"/>
    </w:pPr>
    <w:rPr>
      <w:szCs w:val="20"/>
    </w:r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index 5"/>
    <w:basedOn w:val="1"/>
    <w:next w:val="1"/>
    <w:qFormat/>
    <w:uiPriority w:val="0"/>
    <w:pPr>
      <w:ind w:left="1680"/>
    </w:pPr>
    <w:rPr>
      <w:rFonts w:cs="Times New Roman"/>
    </w:rPr>
  </w:style>
  <w:style w:type="paragraph" w:styleId="12">
    <w:name w:val="Body Text 3"/>
    <w:basedOn w:val="1"/>
    <w:link w:val="50"/>
    <w:qFormat/>
    <w:uiPriority w:val="0"/>
    <w:rPr>
      <w:rFonts w:ascii="Times New Roman" w:hAnsi="Times New Roman" w:eastAsia="宋体" w:cs="Times New Roman"/>
      <w:color w:val="FF0000"/>
      <w:sz w:val="24"/>
      <w:szCs w:val="24"/>
    </w:rPr>
  </w:style>
  <w:style w:type="paragraph" w:styleId="13">
    <w:name w:val="Body Text Indent"/>
    <w:basedOn w:val="1"/>
    <w:link w:val="59"/>
    <w:qFormat/>
    <w:uiPriority w:val="0"/>
    <w:pPr>
      <w:adjustRightInd w:val="0"/>
      <w:spacing w:after="120" w:line="360" w:lineRule="atLeast"/>
      <w:ind w:left="420" w:leftChars="200"/>
      <w:jc w:val="left"/>
      <w:textAlignment w:val="baseline"/>
    </w:pPr>
    <w:rPr>
      <w:sz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35"/>
    <w:qFormat/>
    <w:uiPriority w:val="0"/>
    <w:rPr>
      <w:rFonts w:eastAsia="宋体"/>
      <w:sz w:val="24"/>
    </w:rPr>
  </w:style>
  <w:style w:type="paragraph" w:styleId="17">
    <w:name w:val="Date"/>
    <w:basedOn w:val="1"/>
    <w:next w:val="1"/>
    <w:link w:val="36"/>
    <w:unhideWhenUsed/>
    <w:qFormat/>
    <w:uiPriority w:val="99"/>
    <w:pPr>
      <w:ind w:left="100" w:leftChars="2500"/>
    </w:pPr>
  </w:style>
  <w:style w:type="paragraph" w:styleId="18">
    <w:name w:val="Balloon Text"/>
    <w:basedOn w:val="1"/>
    <w:link w:val="61"/>
    <w:semiHidden/>
    <w:unhideWhenUsed/>
    <w:qFormat/>
    <w:uiPriority w:val="99"/>
    <w:rPr>
      <w:sz w:val="18"/>
      <w:szCs w:val="18"/>
    </w:rPr>
  </w:style>
  <w:style w:type="paragraph" w:styleId="19">
    <w:name w:val="footer"/>
    <w:basedOn w:val="1"/>
    <w:link w:val="37"/>
    <w:unhideWhenUsed/>
    <w:qFormat/>
    <w:uiPriority w:val="99"/>
    <w:pPr>
      <w:tabs>
        <w:tab w:val="center" w:pos="4153"/>
        <w:tab w:val="right" w:pos="8306"/>
      </w:tabs>
      <w:snapToGrid w:val="0"/>
      <w:jc w:val="left"/>
    </w:pPr>
    <w:rPr>
      <w:sz w:val="18"/>
      <w:szCs w:val="18"/>
    </w:rPr>
  </w:style>
  <w:style w:type="paragraph" w:styleId="20">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5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3"/>
    <w:link w:val="55"/>
    <w:qFormat/>
    <w:uiPriority w:val="0"/>
    <w:pPr>
      <w:ind w:firstLine="420" w:firstLineChars="100"/>
    </w:pPr>
    <w:rPr>
      <w:rFonts w:ascii="宋体" w:hAnsi="Times New Roman" w:eastAsia="宋体" w:cs="Times New Roman"/>
      <w:kern w:val="0"/>
      <w:sz w:val="34"/>
      <w:szCs w:val="20"/>
    </w:rPr>
  </w:style>
  <w:style w:type="table" w:styleId="26">
    <w:name w:val="Table Grid"/>
    <w:basedOn w:val="25"/>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FollowedHyperlink"/>
    <w:basedOn w:val="27"/>
    <w:semiHidden/>
    <w:unhideWhenUsed/>
    <w:qFormat/>
    <w:uiPriority w:val="99"/>
    <w:rPr>
      <w:color w:val="800080" w:themeColor="followedHyperlink"/>
      <w:u w:val="single"/>
      <w14:textFill>
        <w14:solidFill>
          <w14:schemeClr w14:val="folHlink"/>
        </w14:solidFill>
      </w14:textFill>
    </w:rPr>
  </w:style>
  <w:style w:type="character" w:styleId="30">
    <w:name w:val="Hyperlink"/>
    <w:basedOn w:val="27"/>
    <w:unhideWhenUsed/>
    <w:qFormat/>
    <w:uiPriority w:val="0"/>
    <w:rPr>
      <w:color w:val="0000FF"/>
      <w:u w:val="single"/>
    </w:rPr>
  </w:style>
  <w:style w:type="character" w:customStyle="1" w:styleId="31">
    <w:name w:val="标题 1 Char"/>
    <w:basedOn w:val="27"/>
    <w:link w:val="5"/>
    <w:qFormat/>
    <w:uiPriority w:val="0"/>
    <w:rPr>
      <w:rFonts w:ascii="Calibri" w:hAnsi="Calibri" w:eastAsia="宋体" w:cs="Times New Roman"/>
      <w:b/>
      <w:bCs/>
      <w:kern w:val="44"/>
      <w:sz w:val="44"/>
      <w:szCs w:val="44"/>
    </w:rPr>
  </w:style>
  <w:style w:type="character" w:customStyle="1" w:styleId="32">
    <w:name w:val="标题 2 Char"/>
    <w:basedOn w:val="27"/>
    <w:link w:val="6"/>
    <w:qFormat/>
    <w:uiPriority w:val="0"/>
    <w:rPr>
      <w:rFonts w:ascii="Arial" w:hAnsi="Arial" w:eastAsia="黑体" w:cs="Times New Roman"/>
      <w:b/>
      <w:bCs/>
      <w:sz w:val="32"/>
      <w:szCs w:val="32"/>
    </w:rPr>
  </w:style>
  <w:style w:type="character" w:customStyle="1" w:styleId="33">
    <w:name w:val="标题 3 Char"/>
    <w:basedOn w:val="27"/>
    <w:link w:val="7"/>
    <w:qFormat/>
    <w:uiPriority w:val="0"/>
    <w:rPr>
      <w:rFonts w:ascii="宋体" w:hAnsi="宋体" w:eastAsia="宋体" w:cs="Times New Roman"/>
      <w:b/>
      <w:color w:val="000000"/>
      <w:kern w:val="0"/>
      <w:sz w:val="24"/>
      <w:szCs w:val="20"/>
      <w:lang w:val="en-GB"/>
    </w:rPr>
  </w:style>
  <w:style w:type="character" w:customStyle="1" w:styleId="34">
    <w:name w:val="标题 4 Char"/>
    <w:basedOn w:val="27"/>
    <w:link w:val="8"/>
    <w:qFormat/>
    <w:uiPriority w:val="0"/>
    <w:rPr>
      <w:rFonts w:ascii="Arial" w:hAnsi="Arial" w:eastAsia="黑体" w:cs="Times New Roman"/>
      <w:b/>
      <w:bCs/>
      <w:sz w:val="28"/>
      <w:szCs w:val="28"/>
    </w:rPr>
  </w:style>
  <w:style w:type="character" w:customStyle="1" w:styleId="35">
    <w:name w:val="纯文本 Char"/>
    <w:basedOn w:val="27"/>
    <w:link w:val="16"/>
    <w:qFormat/>
    <w:uiPriority w:val="0"/>
    <w:rPr>
      <w:rFonts w:eastAsia="宋体"/>
      <w:sz w:val="24"/>
    </w:rPr>
  </w:style>
  <w:style w:type="character" w:customStyle="1" w:styleId="36">
    <w:name w:val="日期 Char"/>
    <w:basedOn w:val="27"/>
    <w:link w:val="17"/>
    <w:qFormat/>
    <w:uiPriority w:val="99"/>
  </w:style>
  <w:style w:type="character" w:customStyle="1" w:styleId="37">
    <w:name w:val="页脚 Char"/>
    <w:basedOn w:val="27"/>
    <w:link w:val="19"/>
    <w:qFormat/>
    <w:uiPriority w:val="99"/>
    <w:rPr>
      <w:sz w:val="18"/>
      <w:szCs w:val="18"/>
    </w:rPr>
  </w:style>
  <w:style w:type="character" w:customStyle="1" w:styleId="38">
    <w:name w:val="页眉 Char"/>
    <w:basedOn w:val="27"/>
    <w:link w:val="20"/>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
    <w:basedOn w:val="1"/>
    <w:next w:val="11"/>
    <w:qFormat/>
    <w:uiPriority w:val="0"/>
    <w:pPr>
      <w:ind w:firstLine="420" w:firstLineChars="200"/>
    </w:pPr>
  </w:style>
  <w:style w:type="paragraph" w:styleId="42">
    <w:name w:val="List Paragraph"/>
    <w:basedOn w:val="1"/>
    <w:unhideWhenUsed/>
    <w:qFormat/>
    <w:uiPriority w:val="99"/>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Char"/>
    <w:basedOn w:val="27"/>
    <w:link w:val="12"/>
    <w:qFormat/>
    <w:uiPriority w:val="0"/>
    <w:rPr>
      <w:rFonts w:ascii="Times New Roman" w:hAnsi="Times New Roman" w:eastAsia="宋体" w:cs="Times New Roman"/>
      <w:color w:val="FF0000"/>
      <w:sz w:val="24"/>
      <w:szCs w:val="24"/>
    </w:rPr>
  </w:style>
  <w:style w:type="character" w:customStyle="1" w:styleId="51">
    <w:name w:val="edittexttarea"/>
    <w:basedOn w:val="27"/>
    <w:qFormat/>
    <w:uiPriority w:val="0"/>
  </w:style>
  <w:style w:type="paragraph" w:customStyle="1" w:styleId="52">
    <w:name w:val="样式 标题 1 + 四号 居中 段前: 12 磅 段后: 12 磅 行距: 单倍行距"/>
    <w:basedOn w:val="5"/>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Char"/>
    <w:basedOn w:val="27"/>
    <w:link w:val="3"/>
    <w:qFormat/>
    <w:uiPriority w:val="99"/>
  </w:style>
  <w:style w:type="character" w:customStyle="1" w:styleId="55">
    <w:name w:val="正文首行缩进 Char"/>
    <w:basedOn w:val="54"/>
    <w:link w:val="24"/>
    <w:qFormat/>
    <w:uiPriority w:val="0"/>
    <w:rPr>
      <w:rFonts w:ascii="宋体" w:hAnsi="Times New Roman" w:eastAsia="宋体" w:cs="Times New Roman"/>
      <w:kern w:val="0"/>
      <w:sz w:val="34"/>
      <w:szCs w:val="20"/>
    </w:rPr>
  </w:style>
  <w:style w:type="character" w:customStyle="1" w:styleId="56">
    <w:name w:val="HTML 预设格式 Char"/>
    <w:basedOn w:val="27"/>
    <w:semiHidden/>
    <w:qFormat/>
    <w:uiPriority w:val="99"/>
    <w:rPr>
      <w:rFonts w:ascii="宋体" w:hAnsi="宋体" w:eastAsia="宋体" w:cs="宋体"/>
      <w:kern w:val="0"/>
      <w:sz w:val="24"/>
      <w:szCs w:val="24"/>
    </w:rPr>
  </w:style>
  <w:style w:type="character" w:customStyle="1" w:styleId="57">
    <w:name w:val="HTML 预设格式 Char1"/>
    <w:basedOn w:val="27"/>
    <w:link w:val="22"/>
    <w:semiHidden/>
    <w:qFormat/>
    <w:uiPriority w:val="99"/>
    <w:rPr>
      <w:rFonts w:ascii="Courier New" w:hAnsi="Courier New" w:cs="Courier New"/>
      <w:sz w:val="20"/>
      <w:szCs w:val="20"/>
    </w:rPr>
  </w:style>
  <w:style w:type="character" w:customStyle="1" w:styleId="58">
    <w:name w:val="正文文本缩进 Char"/>
    <w:qFormat/>
    <w:uiPriority w:val="0"/>
    <w:rPr>
      <w:sz w:val="24"/>
    </w:rPr>
  </w:style>
  <w:style w:type="character" w:customStyle="1" w:styleId="59">
    <w:name w:val="正文文本缩进 Char1"/>
    <w:basedOn w:val="27"/>
    <w:link w:val="13"/>
    <w:semiHidden/>
    <w:qFormat/>
    <w:uiPriority w:val="99"/>
  </w:style>
  <w:style w:type="character" w:customStyle="1" w:styleId="60">
    <w:name w:val="批注框文本 Char"/>
    <w:basedOn w:val="27"/>
    <w:semiHidden/>
    <w:qFormat/>
    <w:uiPriority w:val="99"/>
    <w:rPr>
      <w:sz w:val="18"/>
      <w:szCs w:val="18"/>
    </w:rPr>
  </w:style>
  <w:style w:type="character" w:customStyle="1" w:styleId="61">
    <w:name w:val="批注框文本 Char1"/>
    <w:basedOn w:val="27"/>
    <w:link w:val="18"/>
    <w:semiHidden/>
    <w:qFormat/>
    <w:uiPriority w:val="99"/>
    <w:rPr>
      <w:sz w:val="18"/>
      <w:szCs w:val="18"/>
    </w:rPr>
  </w:style>
  <w:style w:type="paragraph" w:customStyle="1" w:styleId="62">
    <w:name w:val="Table Paragraph"/>
    <w:basedOn w:val="1"/>
    <w:qFormat/>
    <w:uiPriority w:val="1"/>
    <w:rPr>
      <w:rFonts w:ascii="Arial Unicode MS" w:hAnsi="Arial Unicode MS" w:eastAsia="Arial Unicode MS" w:cs="Arial Unicode MS"/>
      <w:lang w:val="zh-CN" w:bidi="zh-CN"/>
    </w:rPr>
  </w:style>
  <w:style w:type="paragraph" w:customStyle="1" w:styleId="63">
    <w:name w:val="*正文"/>
    <w:basedOn w:val="1"/>
    <w:qFormat/>
    <w:uiPriority w:val="0"/>
    <w:pPr>
      <w:keepNext/>
      <w:keepLines/>
      <w:spacing w:line="360" w:lineRule="auto"/>
      <w:ind w:firstLine="200" w:firstLineChars="200"/>
    </w:pPr>
    <w:rPr>
      <w:rFonts w:ascii="宋体" w:hAnsi="宋体" w:eastAsia="宋体" w:cs="Times New Roman"/>
      <w:szCs w:val="24"/>
    </w:rPr>
  </w:style>
  <w:style w:type="paragraph" w:customStyle="1" w:styleId="64">
    <w:name w:val="style4"/>
    <w:basedOn w:val="1"/>
    <w:next w:val="1"/>
    <w:qFormat/>
    <w:uiPriority w:val="0"/>
    <w:pPr>
      <w:widowControl/>
      <w:spacing w:before="280" w:after="280"/>
    </w:pPr>
    <w:rPr>
      <w:rFonts w:ascii="宋体" w:hAnsi="Times New Roman" w:eastAsia="宋体" w:cs="Times New Roman"/>
      <w:sz w:val="18"/>
      <w:szCs w:val="24"/>
    </w:rPr>
  </w:style>
  <w:style w:type="character" w:customStyle="1" w:styleId="65">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82</Pages>
  <Words>8964</Words>
  <Characters>9371</Characters>
  <Lines>301</Lines>
  <Paragraphs>84</Paragraphs>
  <TotalTime>90</TotalTime>
  <ScaleCrop>false</ScaleCrop>
  <LinksUpToDate>false</LinksUpToDate>
  <CharactersWithSpaces>9425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2022-07-07T01:18:00Z</dcterms:created>
  <dc:creator>许昌市公共资源交易中心:孟莉</dc:creator>
  <cp:lastModifiedBy>空白的空白的空白_</cp:lastModifiedBy>
  <cp:lastPrinted>2022-06-28T10:10:00Z</cp:lastPrinted>
  <dcterms:modified xsi:type="dcterms:W3CDTF">2025-04-08T01:35:21Z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3F43DCBDCEBB4952B3C26BEFEBF90653_13</vt:lpwstr>
  </property>
  <property fmtid="{D5CDD505-2E9C-101B-9397-08002B2CF9AE}" pid="4" name="KSOTemplateDocerSaveRecord">
    <vt:lpwstr>eyJoZGlkIjoiMDhkODY3N2EzODAyZWJiZjgzMjVjMGIyMjY2YTY3OTYiLCJ1c2VySWQiOiI0MDk3MDc1NzQifQ==</vt:lpwstr>
  </property>
</Properties>
</file>