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5BB28">
      <w:pPr>
        <w:tabs>
          <w:tab w:val="left" w:pos="420"/>
        </w:tabs>
        <w:spacing w:line="1700" w:lineRule="exact"/>
        <w:jc w:val="center"/>
        <w:rPr>
          <w:rFonts w:ascii="Arial Black" w:hAnsi="Arial Black" w:eastAsia="黑体"/>
          <w:b/>
          <w:color w:val="000000" w:themeColor="text1"/>
          <w:spacing w:val="36"/>
          <w:sz w:val="52"/>
          <w:szCs w:val="52"/>
        </w:rPr>
      </w:pPr>
      <w:r>
        <w:rPr>
          <w:rFonts w:hint="eastAsia" w:ascii="Arial Black" w:hAnsi="Arial Black" w:eastAsia="黑体"/>
          <w:b/>
          <w:bCs/>
          <w:color w:val="000000" w:themeColor="text1"/>
          <w:spacing w:val="36"/>
          <w:sz w:val="52"/>
          <w:szCs w:val="52"/>
        </w:rPr>
        <w:t>周口市公共资源交易中心</w:t>
      </w:r>
    </w:p>
    <w:p w14:paraId="4F56511F">
      <w:pPr>
        <w:tabs>
          <w:tab w:val="left" w:pos="315"/>
          <w:tab w:val="left" w:pos="8820"/>
        </w:tabs>
        <w:spacing w:line="500" w:lineRule="exact"/>
        <w:ind w:right="267" w:rightChars="127"/>
        <w:jc w:val="center"/>
        <w:rPr>
          <w:rFonts w:ascii="仿宋_GB2312" w:eastAsia="仿宋_GB2312"/>
          <w:b/>
          <w:bCs/>
          <w:color w:val="000000" w:themeColor="text1"/>
          <w:sz w:val="48"/>
        </w:rPr>
      </w:pPr>
    </w:p>
    <w:p w14:paraId="26D9EDD9">
      <w:pPr>
        <w:tabs>
          <w:tab w:val="left" w:pos="315"/>
          <w:tab w:val="left" w:pos="8820"/>
        </w:tabs>
        <w:spacing w:line="500" w:lineRule="exact"/>
        <w:ind w:right="267" w:rightChars="127"/>
        <w:jc w:val="center"/>
        <w:rPr>
          <w:rFonts w:ascii="微软简标宋" w:eastAsia="黑体"/>
          <w:b/>
          <w:bCs/>
          <w:color w:val="000000" w:themeColor="text1"/>
          <w:sz w:val="52"/>
        </w:rPr>
      </w:pPr>
    </w:p>
    <w:p w14:paraId="7AC35A38">
      <w:pPr>
        <w:tabs>
          <w:tab w:val="left" w:pos="315"/>
          <w:tab w:val="left" w:pos="8820"/>
        </w:tabs>
        <w:spacing w:line="500" w:lineRule="exact"/>
        <w:ind w:right="267" w:rightChars="127"/>
        <w:jc w:val="center"/>
        <w:rPr>
          <w:rFonts w:ascii="微软简标宋" w:eastAsia="黑体"/>
          <w:b/>
          <w:bCs/>
          <w:color w:val="000000" w:themeColor="text1"/>
          <w:sz w:val="52"/>
        </w:rPr>
      </w:pPr>
    </w:p>
    <w:p w14:paraId="06C54F80">
      <w:pPr>
        <w:tabs>
          <w:tab w:val="left" w:pos="315"/>
          <w:tab w:val="left" w:pos="8820"/>
        </w:tabs>
        <w:spacing w:line="480" w:lineRule="auto"/>
        <w:ind w:right="267" w:rightChars="127"/>
        <w:jc w:val="center"/>
        <w:rPr>
          <w:rFonts w:ascii="微软简标宋" w:eastAsia="黑体"/>
          <w:b/>
          <w:bCs/>
          <w:color w:val="000000" w:themeColor="text1"/>
          <w:sz w:val="84"/>
          <w:szCs w:val="84"/>
        </w:rPr>
      </w:pPr>
      <w:r>
        <w:rPr>
          <w:rFonts w:hint="eastAsia" w:ascii="微软简标宋" w:eastAsia="黑体"/>
          <w:b/>
          <w:bCs/>
          <w:color w:val="000000" w:themeColor="text1"/>
          <w:sz w:val="84"/>
          <w:szCs w:val="84"/>
        </w:rPr>
        <w:t>竞争性磋商文件</w:t>
      </w:r>
    </w:p>
    <w:p w14:paraId="7288C1F2">
      <w:pPr>
        <w:tabs>
          <w:tab w:val="left" w:pos="315"/>
          <w:tab w:val="left" w:pos="8820"/>
        </w:tabs>
        <w:spacing w:line="500" w:lineRule="exact"/>
        <w:ind w:right="267" w:rightChars="127"/>
        <w:jc w:val="center"/>
        <w:rPr>
          <w:rFonts w:ascii="仿宋_GB2312" w:eastAsia="仿宋_GB2312"/>
          <w:color w:val="000000" w:themeColor="text1"/>
          <w:sz w:val="44"/>
        </w:rPr>
      </w:pPr>
    </w:p>
    <w:p w14:paraId="2F5282C5">
      <w:pPr>
        <w:tabs>
          <w:tab w:val="left" w:pos="315"/>
          <w:tab w:val="left" w:pos="8820"/>
        </w:tabs>
        <w:ind w:right="267" w:rightChars="127"/>
        <w:rPr>
          <w:rFonts w:ascii="仿宋_GB2312" w:eastAsia="仿宋_GB2312"/>
          <w:color w:val="000000" w:themeColor="text1"/>
          <w:sz w:val="44"/>
        </w:rPr>
      </w:pPr>
    </w:p>
    <w:p w14:paraId="5391388B">
      <w:pPr>
        <w:tabs>
          <w:tab w:val="left" w:pos="315"/>
          <w:tab w:val="left" w:pos="8820"/>
        </w:tabs>
        <w:spacing w:line="500" w:lineRule="exact"/>
        <w:ind w:right="267" w:rightChars="127"/>
        <w:rPr>
          <w:rFonts w:ascii="仿宋_GB2312" w:eastAsia="仿宋_GB2312"/>
          <w:b/>
          <w:bCs/>
          <w:color w:val="000000" w:themeColor="text1"/>
          <w:sz w:val="36"/>
        </w:rPr>
      </w:pPr>
    </w:p>
    <w:p w14:paraId="4AC4970E">
      <w:pPr>
        <w:tabs>
          <w:tab w:val="left" w:pos="315"/>
          <w:tab w:val="left" w:pos="8820"/>
        </w:tabs>
        <w:spacing w:line="500" w:lineRule="exact"/>
        <w:ind w:right="267" w:rightChars="127"/>
        <w:rPr>
          <w:rFonts w:ascii="仿宋_GB2312" w:eastAsia="仿宋_GB2312"/>
          <w:b/>
          <w:bCs/>
          <w:color w:val="000000" w:themeColor="text1"/>
          <w:sz w:val="36"/>
        </w:rPr>
      </w:pPr>
    </w:p>
    <w:p w14:paraId="608C7925">
      <w:pPr>
        <w:tabs>
          <w:tab w:val="left" w:pos="315"/>
          <w:tab w:val="left" w:pos="8820"/>
        </w:tabs>
        <w:spacing w:line="500" w:lineRule="exact"/>
        <w:ind w:right="267" w:rightChars="127"/>
        <w:jc w:val="center"/>
        <w:rPr>
          <w:rFonts w:ascii="宋体" w:hAnsi="宋体"/>
          <w:color w:val="000000" w:themeColor="text1"/>
          <w:sz w:val="32"/>
        </w:rPr>
      </w:pPr>
    </w:p>
    <w:p w14:paraId="22404271">
      <w:pPr>
        <w:pStyle w:val="2"/>
        <w:ind w:firstLine="320"/>
        <w:rPr>
          <w:rFonts w:ascii="宋体" w:hAnsi="宋体"/>
          <w:color w:val="000000" w:themeColor="text1"/>
          <w:sz w:val="32"/>
        </w:rPr>
      </w:pPr>
    </w:p>
    <w:p w14:paraId="5FB1F032">
      <w:pPr>
        <w:pStyle w:val="2"/>
        <w:ind w:firstLine="320"/>
        <w:rPr>
          <w:rFonts w:ascii="宋体" w:hAnsi="宋体"/>
          <w:color w:val="000000" w:themeColor="text1"/>
          <w:sz w:val="32"/>
        </w:rPr>
      </w:pPr>
    </w:p>
    <w:p w14:paraId="1A0E1DBB">
      <w:pPr>
        <w:tabs>
          <w:tab w:val="left" w:pos="315"/>
          <w:tab w:val="left" w:pos="8820"/>
        </w:tabs>
        <w:spacing w:line="500" w:lineRule="exact"/>
        <w:ind w:right="267" w:rightChars="127"/>
        <w:jc w:val="both"/>
        <w:rPr>
          <w:rFonts w:ascii="微软简标宋" w:eastAsia="黑体"/>
          <w:b/>
          <w:bCs/>
          <w:color w:val="000000" w:themeColor="text1"/>
          <w:sz w:val="52"/>
        </w:rPr>
      </w:pPr>
    </w:p>
    <w:p w14:paraId="0CCDBACC">
      <w:pPr>
        <w:tabs>
          <w:tab w:val="left" w:pos="315"/>
          <w:tab w:val="left" w:pos="8820"/>
        </w:tabs>
        <w:spacing w:line="560" w:lineRule="exact"/>
        <w:ind w:left="1500" w:hanging="1500" w:hangingChars="500"/>
        <w:jc w:val="left"/>
        <w:rPr>
          <w:rFonts w:asciiTheme="majorEastAsia" w:hAnsiTheme="majorEastAsia" w:eastAsiaTheme="majorEastAsia" w:cstheme="majorEastAsia"/>
          <w:b w:val="0"/>
          <w:bCs/>
          <w:color w:val="000000" w:themeColor="text1"/>
          <w:sz w:val="30"/>
          <w:szCs w:val="30"/>
        </w:rPr>
      </w:pPr>
      <w:r>
        <w:rPr>
          <w:rFonts w:hint="eastAsia" w:asciiTheme="majorEastAsia" w:hAnsiTheme="majorEastAsia" w:eastAsiaTheme="majorEastAsia" w:cstheme="majorEastAsia"/>
          <w:b w:val="0"/>
          <w:bCs/>
          <w:color w:val="000000" w:themeColor="text1"/>
          <w:sz w:val="30"/>
          <w:szCs w:val="30"/>
        </w:rPr>
        <w:t>项目名称: 河南省周口市西华县公安局西华县公安局红绿灯、道路交通技术监控设施、智能卡口维护项目</w:t>
      </w:r>
    </w:p>
    <w:p w14:paraId="079D3391">
      <w:pPr>
        <w:tabs>
          <w:tab w:val="left" w:pos="315"/>
          <w:tab w:val="left" w:pos="8820"/>
        </w:tabs>
        <w:spacing w:line="560" w:lineRule="exact"/>
        <w:jc w:val="left"/>
        <w:rPr>
          <w:rFonts w:asciiTheme="majorEastAsia" w:hAnsiTheme="majorEastAsia" w:eastAsiaTheme="majorEastAsia" w:cstheme="majorEastAsia"/>
          <w:b w:val="0"/>
          <w:bCs/>
          <w:color w:val="000000" w:themeColor="text1"/>
          <w:sz w:val="30"/>
          <w:szCs w:val="30"/>
        </w:rPr>
      </w:pPr>
      <w:r>
        <w:rPr>
          <w:rFonts w:hint="eastAsia" w:asciiTheme="majorEastAsia" w:hAnsiTheme="majorEastAsia" w:eastAsiaTheme="majorEastAsia" w:cstheme="majorEastAsia"/>
          <w:b w:val="0"/>
          <w:bCs/>
          <w:color w:val="000000" w:themeColor="text1"/>
          <w:sz w:val="30"/>
          <w:szCs w:val="30"/>
        </w:rPr>
        <w:t xml:space="preserve">项目编号: 西华磋商采购-2025-13 </w:t>
      </w:r>
    </w:p>
    <w:p w14:paraId="59AB28A8">
      <w:pPr>
        <w:pStyle w:val="11"/>
        <w:spacing w:after="0" w:line="560" w:lineRule="exact"/>
        <w:jc w:val="center"/>
        <w:rPr>
          <w:rFonts w:asciiTheme="majorEastAsia" w:hAnsiTheme="majorEastAsia" w:eastAsiaTheme="majorEastAsia" w:cstheme="majorEastAsia"/>
          <w:b w:val="0"/>
          <w:bCs/>
          <w:color w:val="000000" w:themeColor="text1"/>
          <w:sz w:val="30"/>
          <w:szCs w:val="30"/>
        </w:rPr>
      </w:pPr>
    </w:p>
    <w:p w14:paraId="2CBEA46A">
      <w:pPr>
        <w:pStyle w:val="11"/>
        <w:spacing w:after="0" w:line="560" w:lineRule="exact"/>
        <w:jc w:val="center"/>
        <w:rPr>
          <w:rFonts w:hint="default" w:asciiTheme="majorEastAsia" w:hAnsiTheme="majorEastAsia" w:eastAsiaTheme="majorEastAsia" w:cstheme="majorEastAsia"/>
          <w:b w:val="0"/>
          <w:bCs/>
          <w:color w:val="000000" w:themeColor="text1"/>
          <w:sz w:val="30"/>
          <w:szCs w:val="30"/>
          <w:lang w:val="en-US" w:eastAsia="zh-CN"/>
        </w:rPr>
      </w:pPr>
      <w:r>
        <w:rPr>
          <w:rFonts w:hint="eastAsia" w:asciiTheme="majorEastAsia" w:hAnsiTheme="majorEastAsia" w:eastAsiaTheme="majorEastAsia" w:cstheme="majorEastAsia"/>
          <w:b w:val="0"/>
          <w:bCs/>
          <w:color w:val="000000" w:themeColor="text1"/>
          <w:sz w:val="30"/>
          <w:szCs w:val="30"/>
        </w:rPr>
        <w:t>2025年3月</w:t>
      </w:r>
      <w:r>
        <w:rPr>
          <w:rFonts w:hint="eastAsia" w:asciiTheme="majorEastAsia" w:hAnsiTheme="majorEastAsia" w:eastAsiaTheme="majorEastAsia" w:cstheme="majorEastAsia"/>
          <w:b w:val="0"/>
          <w:bCs/>
          <w:color w:val="000000" w:themeColor="text1"/>
          <w:sz w:val="30"/>
          <w:szCs w:val="30"/>
          <w:lang w:val="en-US" w:eastAsia="zh-CN"/>
        </w:rPr>
        <w:t>19日</w:t>
      </w:r>
    </w:p>
    <w:sdt>
      <w:sdtPr>
        <w:rPr>
          <w:rFonts w:ascii="Times New Roman" w:hAnsi="Times New Roman" w:eastAsia="宋体" w:cs="Times New Roman"/>
          <w:b w:val="0"/>
          <w:bCs w:val="0"/>
          <w:color w:val="000000" w:themeColor="text1"/>
          <w:kern w:val="2"/>
          <w:sz w:val="21"/>
          <w:szCs w:val="24"/>
          <w:lang w:val="zh-CN"/>
        </w:rPr>
        <w:id w:val="860629378"/>
        <w:docPartObj>
          <w:docPartGallery w:val="Table of Contents"/>
          <w:docPartUnique/>
        </w:docPartObj>
      </w:sdtPr>
      <w:sdtEndPr>
        <w:rPr>
          <w:rFonts w:ascii="Times New Roman" w:hAnsi="Times New Roman" w:eastAsia="宋体" w:cs="Times New Roman"/>
          <w:b w:val="0"/>
          <w:bCs w:val="0"/>
          <w:color w:val="000000" w:themeColor="text1"/>
          <w:kern w:val="2"/>
          <w:sz w:val="21"/>
          <w:szCs w:val="24"/>
          <w:lang w:val="zh-CN"/>
        </w:rPr>
      </w:sdtEndPr>
      <w:sdtContent>
        <w:p w14:paraId="77BA1FE3">
          <w:pPr>
            <w:pStyle w:val="83"/>
            <w:jc w:val="center"/>
            <w:rPr>
              <w:color w:val="000000" w:themeColor="text1"/>
              <w:sz w:val="48"/>
              <w:szCs w:val="48"/>
            </w:rPr>
          </w:pPr>
          <w:r>
            <w:rPr>
              <w:color w:val="000000" w:themeColor="text1"/>
              <w:sz w:val="48"/>
              <w:szCs w:val="48"/>
              <w:lang w:val="zh-CN"/>
            </w:rPr>
            <w:t>目录</w:t>
          </w:r>
        </w:p>
        <w:p w14:paraId="40550014">
          <w:pPr>
            <w:pStyle w:val="24"/>
            <w:tabs>
              <w:tab w:val="right" w:leader="dot" w:pos="8835"/>
            </w:tabs>
            <w:rPr>
              <w:rFonts w:asciiTheme="minorHAnsi" w:hAnsiTheme="minorHAnsi" w:eastAsiaTheme="minorEastAsia" w:cstheme="minorBidi"/>
              <w:b/>
              <w:caps w:val="0"/>
              <w:color w:val="000000" w:themeColor="text1"/>
              <w:sz w:val="28"/>
              <w:szCs w:val="28"/>
            </w:rPr>
          </w:pPr>
          <w:r>
            <w:rPr>
              <w:b/>
              <w:color w:val="000000" w:themeColor="text1"/>
              <w:sz w:val="28"/>
              <w:szCs w:val="28"/>
            </w:rPr>
            <w:fldChar w:fldCharType="begin"/>
          </w:r>
          <w:r>
            <w:rPr>
              <w:b/>
              <w:color w:val="000000" w:themeColor="text1"/>
              <w:sz w:val="28"/>
              <w:szCs w:val="28"/>
            </w:rPr>
            <w:instrText xml:space="preserve"> TOC \o "1-3" \h \z \u </w:instrText>
          </w:r>
          <w:r>
            <w:rPr>
              <w:b/>
              <w:color w:val="000000" w:themeColor="text1"/>
              <w:sz w:val="28"/>
              <w:szCs w:val="28"/>
            </w:rPr>
            <w:fldChar w:fldCharType="separate"/>
          </w:r>
          <w:r>
            <w:fldChar w:fldCharType="begin"/>
          </w:r>
          <w:r>
            <w:instrText xml:space="preserve"> HYPERLINK \l "_Toc138765827" </w:instrText>
          </w:r>
          <w:r>
            <w:fldChar w:fldCharType="separate"/>
          </w:r>
          <w:r>
            <w:rPr>
              <w:rStyle w:val="38"/>
              <w:rFonts w:hint="eastAsia"/>
              <w:b/>
              <w:color w:val="000000" w:themeColor="text1"/>
              <w:sz w:val="28"/>
              <w:szCs w:val="28"/>
            </w:rPr>
            <w:t>第一章</w:t>
          </w:r>
          <w:r>
            <w:rPr>
              <w:rStyle w:val="38"/>
              <w:b/>
              <w:color w:val="000000" w:themeColor="text1"/>
              <w:sz w:val="28"/>
              <w:szCs w:val="28"/>
            </w:rPr>
            <w:t xml:space="preserve">    </w:t>
          </w:r>
          <w:r>
            <w:rPr>
              <w:rStyle w:val="38"/>
              <w:rFonts w:hint="eastAsia"/>
              <w:b/>
              <w:color w:val="000000" w:themeColor="text1"/>
              <w:sz w:val="28"/>
              <w:szCs w:val="28"/>
            </w:rPr>
            <w:t>竞争性磋商邀请函</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_Toc138765827 \h </w:instrText>
          </w:r>
          <w:r>
            <w:rPr>
              <w:b/>
              <w:color w:val="000000" w:themeColor="text1"/>
              <w:sz w:val="28"/>
              <w:szCs w:val="28"/>
            </w:rPr>
            <w:fldChar w:fldCharType="separate"/>
          </w:r>
          <w:r>
            <w:rPr>
              <w:b/>
              <w:color w:val="000000" w:themeColor="text1"/>
              <w:sz w:val="28"/>
              <w:szCs w:val="28"/>
            </w:rPr>
            <w:t>3</w:t>
          </w:r>
          <w:r>
            <w:rPr>
              <w:b/>
              <w:color w:val="000000" w:themeColor="text1"/>
              <w:sz w:val="28"/>
              <w:szCs w:val="28"/>
            </w:rPr>
            <w:fldChar w:fldCharType="end"/>
          </w:r>
          <w:r>
            <w:rPr>
              <w:b/>
              <w:color w:val="000000" w:themeColor="text1"/>
              <w:sz w:val="28"/>
              <w:szCs w:val="28"/>
            </w:rPr>
            <w:fldChar w:fldCharType="end"/>
          </w:r>
        </w:p>
        <w:p w14:paraId="55A3AB4C">
          <w:pPr>
            <w:pStyle w:val="24"/>
            <w:tabs>
              <w:tab w:val="right" w:leader="dot" w:pos="8835"/>
            </w:tabs>
            <w:rPr>
              <w:rFonts w:asciiTheme="minorHAnsi" w:hAnsiTheme="minorHAnsi" w:eastAsiaTheme="minorEastAsia" w:cstheme="minorBidi"/>
              <w:b/>
              <w:caps w:val="0"/>
              <w:color w:val="000000" w:themeColor="text1"/>
              <w:sz w:val="28"/>
              <w:szCs w:val="28"/>
            </w:rPr>
          </w:pPr>
          <w:r>
            <w:fldChar w:fldCharType="begin"/>
          </w:r>
          <w:r>
            <w:instrText xml:space="preserve"> HYPERLINK \l "_Toc138765836" </w:instrText>
          </w:r>
          <w:r>
            <w:fldChar w:fldCharType="separate"/>
          </w:r>
          <w:r>
            <w:rPr>
              <w:rStyle w:val="38"/>
              <w:rFonts w:hint="eastAsia"/>
              <w:b/>
              <w:color w:val="000000" w:themeColor="text1"/>
              <w:sz w:val="28"/>
              <w:szCs w:val="28"/>
            </w:rPr>
            <w:t>第二章</w:t>
          </w:r>
          <w:r>
            <w:rPr>
              <w:rStyle w:val="38"/>
              <w:b/>
              <w:color w:val="000000" w:themeColor="text1"/>
              <w:sz w:val="28"/>
              <w:szCs w:val="28"/>
            </w:rPr>
            <w:t xml:space="preserve">    </w:t>
          </w:r>
          <w:r>
            <w:rPr>
              <w:rStyle w:val="38"/>
              <w:rFonts w:hint="eastAsia"/>
              <w:b/>
              <w:color w:val="000000" w:themeColor="text1"/>
              <w:sz w:val="28"/>
              <w:szCs w:val="28"/>
            </w:rPr>
            <w:t>供应商须知</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_Toc138765836 \h </w:instrText>
          </w:r>
          <w:r>
            <w:rPr>
              <w:b/>
              <w:color w:val="000000" w:themeColor="text1"/>
              <w:sz w:val="28"/>
              <w:szCs w:val="28"/>
            </w:rPr>
            <w:fldChar w:fldCharType="separate"/>
          </w:r>
          <w:r>
            <w:rPr>
              <w:b/>
              <w:color w:val="000000" w:themeColor="text1"/>
              <w:sz w:val="28"/>
              <w:szCs w:val="28"/>
            </w:rPr>
            <w:t>7</w:t>
          </w:r>
          <w:r>
            <w:rPr>
              <w:b/>
              <w:color w:val="000000" w:themeColor="text1"/>
              <w:sz w:val="28"/>
              <w:szCs w:val="28"/>
            </w:rPr>
            <w:fldChar w:fldCharType="end"/>
          </w:r>
          <w:r>
            <w:rPr>
              <w:b/>
              <w:color w:val="000000" w:themeColor="text1"/>
              <w:sz w:val="28"/>
              <w:szCs w:val="28"/>
            </w:rPr>
            <w:fldChar w:fldCharType="end"/>
          </w:r>
        </w:p>
        <w:p w14:paraId="73E0C4AA">
          <w:pPr>
            <w:pStyle w:val="26"/>
            <w:tabs>
              <w:tab w:val="right" w:leader="dot" w:pos="8835"/>
            </w:tabs>
            <w:rPr>
              <w:b/>
              <w:color w:val="000000" w:themeColor="text1"/>
              <w:sz w:val="28"/>
              <w:szCs w:val="28"/>
            </w:rPr>
          </w:pPr>
          <w:r>
            <w:fldChar w:fldCharType="begin"/>
          </w:r>
          <w:r>
            <w:instrText xml:space="preserve"> HYPERLINK \l "_Toc138765837" </w:instrText>
          </w:r>
          <w:r>
            <w:fldChar w:fldCharType="separate"/>
          </w:r>
          <w:r>
            <w:rPr>
              <w:rStyle w:val="38"/>
              <w:rFonts w:hint="eastAsia"/>
              <w:b/>
              <w:color w:val="000000" w:themeColor="text1"/>
              <w:sz w:val="28"/>
              <w:szCs w:val="28"/>
            </w:rPr>
            <w:t>一、总则</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_Toc138765837 \h </w:instrText>
          </w:r>
          <w:r>
            <w:rPr>
              <w:b/>
              <w:color w:val="000000" w:themeColor="text1"/>
              <w:sz w:val="28"/>
              <w:szCs w:val="28"/>
            </w:rPr>
            <w:fldChar w:fldCharType="separate"/>
          </w:r>
          <w:r>
            <w:rPr>
              <w:b/>
              <w:color w:val="000000" w:themeColor="text1"/>
              <w:sz w:val="28"/>
              <w:szCs w:val="28"/>
            </w:rPr>
            <w:t>10</w:t>
          </w:r>
          <w:r>
            <w:rPr>
              <w:b/>
              <w:color w:val="000000" w:themeColor="text1"/>
              <w:sz w:val="28"/>
              <w:szCs w:val="28"/>
            </w:rPr>
            <w:fldChar w:fldCharType="end"/>
          </w:r>
          <w:r>
            <w:rPr>
              <w:b/>
              <w:color w:val="000000" w:themeColor="text1"/>
              <w:sz w:val="28"/>
              <w:szCs w:val="28"/>
            </w:rPr>
            <w:fldChar w:fldCharType="end"/>
          </w:r>
        </w:p>
        <w:p w14:paraId="606CFB7B">
          <w:pPr>
            <w:pStyle w:val="26"/>
            <w:tabs>
              <w:tab w:val="right" w:leader="dot" w:pos="8835"/>
            </w:tabs>
            <w:rPr>
              <w:b/>
              <w:color w:val="000000" w:themeColor="text1"/>
              <w:sz w:val="28"/>
              <w:szCs w:val="28"/>
            </w:rPr>
          </w:pPr>
          <w:r>
            <w:fldChar w:fldCharType="begin"/>
          </w:r>
          <w:r>
            <w:instrText xml:space="preserve"> HYPERLINK \l "_Toc138765838" </w:instrText>
          </w:r>
          <w:r>
            <w:fldChar w:fldCharType="separate"/>
          </w:r>
          <w:r>
            <w:rPr>
              <w:rStyle w:val="38"/>
              <w:rFonts w:hint="eastAsia"/>
              <w:b/>
              <w:color w:val="000000" w:themeColor="text1"/>
              <w:sz w:val="28"/>
              <w:szCs w:val="28"/>
            </w:rPr>
            <w:t>二、竞争性磋商文件</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_Toc138765838 \h </w:instrText>
          </w:r>
          <w:r>
            <w:rPr>
              <w:b/>
              <w:color w:val="000000" w:themeColor="text1"/>
              <w:sz w:val="28"/>
              <w:szCs w:val="28"/>
            </w:rPr>
            <w:fldChar w:fldCharType="separate"/>
          </w:r>
          <w:r>
            <w:rPr>
              <w:b/>
              <w:color w:val="000000" w:themeColor="text1"/>
              <w:sz w:val="28"/>
              <w:szCs w:val="28"/>
            </w:rPr>
            <w:t>12</w:t>
          </w:r>
          <w:r>
            <w:rPr>
              <w:b/>
              <w:color w:val="000000" w:themeColor="text1"/>
              <w:sz w:val="28"/>
              <w:szCs w:val="28"/>
            </w:rPr>
            <w:fldChar w:fldCharType="end"/>
          </w:r>
          <w:r>
            <w:rPr>
              <w:b/>
              <w:color w:val="000000" w:themeColor="text1"/>
              <w:sz w:val="28"/>
              <w:szCs w:val="28"/>
            </w:rPr>
            <w:fldChar w:fldCharType="end"/>
          </w:r>
        </w:p>
        <w:p w14:paraId="5F460E90">
          <w:pPr>
            <w:pStyle w:val="26"/>
            <w:tabs>
              <w:tab w:val="right" w:leader="dot" w:pos="8835"/>
            </w:tabs>
            <w:rPr>
              <w:b/>
              <w:color w:val="000000" w:themeColor="text1"/>
              <w:sz w:val="28"/>
              <w:szCs w:val="28"/>
            </w:rPr>
          </w:pPr>
          <w:r>
            <w:fldChar w:fldCharType="begin"/>
          </w:r>
          <w:r>
            <w:instrText xml:space="preserve"> HYPERLINK \l "_Toc138765839" </w:instrText>
          </w:r>
          <w:r>
            <w:fldChar w:fldCharType="separate"/>
          </w:r>
          <w:r>
            <w:rPr>
              <w:rStyle w:val="38"/>
              <w:rFonts w:hint="eastAsia"/>
              <w:b/>
              <w:color w:val="000000" w:themeColor="text1"/>
              <w:sz w:val="28"/>
              <w:szCs w:val="28"/>
            </w:rPr>
            <w:t>三、响应性文件的编制</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_Toc138765839 \h </w:instrText>
          </w:r>
          <w:r>
            <w:rPr>
              <w:b/>
              <w:color w:val="000000" w:themeColor="text1"/>
              <w:sz w:val="28"/>
              <w:szCs w:val="28"/>
            </w:rPr>
            <w:fldChar w:fldCharType="separate"/>
          </w:r>
          <w:r>
            <w:rPr>
              <w:b/>
              <w:color w:val="000000" w:themeColor="text1"/>
              <w:sz w:val="28"/>
              <w:szCs w:val="28"/>
            </w:rPr>
            <w:t>13</w:t>
          </w:r>
          <w:r>
            <w:rPr>
              <w:b/>
              <w:color w:val="000000" w:themeColor="text1"/>
              <w:sz w:val="28"/>
              <w:szCs w:val="28"/>
            </w:rPr>
            <w:fldChar w:fldCharType="end"/>
          </w:r>
          <w:r>
            <w:rPr>
              <w:b/>
              <w:color w:val="000000" w:themeColor="text1"/>
              <w:sz w:val="28"/>
              <w:szCs w:val="28"/>
            </w:rPr>
            <w:fldChar w:fldCharType="end"/>
          </w:r>
        </w:p>
        <w:p w14:paraId="3B7A288E">
          <w:pPr>
            <w:pStyle w:val="26"/>
            <w:tabs>
              <w:tab w:val="right" w:leader="dot" w:pos="8835"/>
            </w:tabs>
            <w:rPr>
              <w:b/>
              <w:color w:val="000000" w:themeColor="text1"/>
              <w:sz w:val="28"/>
              <w:szCs w:val="28"/>
            </w:rPr>
          </w:pPr>
          <w:r>
            <w:fldChar w:fldCharType="begin"/>
          </w:r>
          <w:r>
            <w:instrText xml:space="preserve"> HYPERLINK \l "_Toc138765840" </w:instrText>
          </w:r>
          <w:r>
            <w:fldChar w:fldCharType="separate"/>
          </w:r>
          <w:r>
            <w:rPr>
              <w:rStyle w:val="38"/>
              <w:rFonts w:hint="eastAsia"/>
              <w:b/>
              <w:color w:val="000000" w:themeColor="text1"/>
              <w:sz w:val="28"/>
              <w:szCs w:val="28"/>
            </w:rPr>
            <w:t>四、响应性文件的递交</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_Toc138765840 \h </w:instrText>
          </w:r>
          <w:r>
            <w:rPr>
              <w:b/>
              <w:color w:val="000000" w:themeColor="text1"/>
              <w:sz w:val="28"/>
              <w:szCs w:val="28"/>
            </w:rPr>
            <w:fldChar w:fldCharType="separate"/>
          </w:r>
          <w:r>
            <w:rPr>
              <w:b/>
              <w:color w:val="000000" w:themeColor="text1"/>
              <w:sz w:val="28"/>
              <w:szCs w:val="28"/>
            </w:rPr>
            <w:t>15</w:t>
          </w:r>
          <w:r>
            <w:rPr>
              <w:b/>
              <w:color w:val="000000" w:themeColor="text1"/>
              <w:sz w:val="28"/>
              <w:szCs w:val="28"/>
            </w:rPr>
            <w:fldChar w:fldCharType="end"/>
          </w:r>
          <w:r>
            <w:rPr>
              <w:b/>
              <w:color w:val="000000" w:themeColor="text1"/>
              <w:sz w:val="28"/>
              <w:szCs w:val="28"/>
            </w:rPr>
            <w:fldChar w:fldCharType="end"/>
          </w:r>
        </w:p>
        <w:p w14:paraId="41E56C8B">
          <w:pPr>
            <w:pStyle w:val="26"/>
            <w:tabs>
              <w:tab w:val="right" w:leader="dot" w:pos="8835"/>
            </w:tabs>
            <w:rPr>
              <w:b/>
              <w:color w:val="000000" w:themeColor="text1"/>
              <w:sz w:val="28"/>
              <w:szCs w:val="28"/>
            </w:rPr>
          </w:pPr>
          <w:r>
            <w:fldChar w:fldCharType="begin"/>
          </w:r>
          <w:r>
            <w:instrText xml:space="preserve"> HYPERLINK \l "_Toc138765841" </w:instrText>
          </w:r>
          <w:r>
            <w:fldChar w:fldCharType="separate"/>
          </w:r>
          <w:r>
            <w:rPr>
              <w:rStyle w:val="38"/>
              <w:rFonts w:hint="eastAsia"/>
              <w:b/>
              <w:color w:val="000000" w:themeColor="text1"/>
              <w:sz w:val="28"/>
              <w:szCs w:val="28"/>
            </w:rPr>
            <w:t>五、竞争性磋商</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_Toc138765841 \h </w:instrText>
          </w:r>
          <w:r>
            <w:rPr>
              <w:b/>
              <w:color w:val="000000" w:themeColor="text1"/>
              <w:sz w:val="28"/>
              <w:szCs w:val="28"/>
            </w:rPr>
            <w:fldChar w:fldCharType="separate"/>
          </w:r>
          <w:r>
            <w:rPr>
              <w:b/>
              <w:color w:val="000000" w:themeColor="text1"/>
              <w:sz w:val="28"/>
              <w:szCs w:val="28"/>
            </w:rPr>
            <w:t>16</w:t>
          </w:r>
          <w:r>
            <w:rPr>
              <w:b/>
              <w:color w:val="000000" w:themeColor="text1"/>
              <w:sz w:val="28"/>
              <w:szCs w:val="28"/>
            </w:rPr>
            <w:fldChar w:fldCharType="end"/>
          </w:r>
          <w:r>
            <w:rPr>
              <w:b/>
              <w:color w:val="000000" w:themeColor="text1"/>
              <w:sz w:val="28"/>
              <w:szCs w:val="28"/>
            </w:rPr>
            <w:fldChar w:fldCharType="end"/>
          </w:r>
        </w:p>
        <w:p w14:paraId="29C144D9">
          <w:pPr>
            <w:pStyle w:val="26"/>
            <w:tabs>
              <w:tab w:val="right" w:leader="dot" w:pos="8835"/>
            </w:tabs>
            <w:rPr>
              <w:b/>
              <w:color w:val="000000" w:themeColor="text1"/>
              <w:sz w:val="28"/>
              <w:szCs w:val="28"/>
            </w:rPr>
          </w:pPr>
          <w:r>
            <w:fldChar w:fldCharType="begin"/>
          </w:r>
          <w:r>
            <w:instrText xml:space="preserve"> HYPERLINK \l "_Toc138765842" </w:instrText>
          </w:r>
          <w:r>
            <w:fldChar w:fldCharType="separate"/>
          </w:r>
          <w:r>
            <w:rPr>
              <w:rStyle w:val="38"/>
              <w:rFonts w:hint="eastAsia"/>
              <w:b/>
              <w:color w:val="000000" w:themeColor="text1"/>
              <w:sz w:val="28"/>
              <w:szCs w:val="28"/>
            </w:rPr>
            <w:t>六、评定标准</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_Toc138765842 \h </w:instrText>
          </w:r>
          <w:r>
            <w:rPr>
              <w:b/>
              <w:color w:val="000000" w:themeColor="text1"/>
              <w:sz w:val="28"/>
              <w:szCs w:val="28"/>
            </w:rPr>
            <w:fldChar w:fldCharType="separate"/>
          </w:r>
          <w:r>
            <w:rPr>
              <w:b/>
              <w:color w:val="000000" w:themeColor="text1"/>
              <w:sz w:val="28"/>
              <w:szCs w:val="28"/>
            </w:rPr>
            <w:t>21</w:t>
          </w:r>
          <w:r>
            <w:rPr>
              <w:b/>
              <w:color w:val="000000" w:themeColor="text1"/>
              <w:sz w:val="28"/>
              <w:szCs w:val="28"/>
            </w:rPr>
            <w:fldChar w:fldCharType="end"/>
          </w:r>
          <w:r>
            <w:rPr>
              <w:b/>
              <w:color w:val="000000" w:themeColor="text1"/>
              <w:sz w:val="28"/>
              <w:szCs w:val="28"/>
            </w:rPr>
            <w:fldChar w:fldCharType="end"/>
          </w:r>
        </w:p>
        <w:p w14:paraId="17E49863">
          <w:pPr>
            <w:pStyle w:val="26"/>
            <w:tabs>
              <w:tab w:val="right" w:leader="dot" w:pos="8835"/>
            </w:tabs>
            <w:rPr>
              <w:b/>
              <w:color w:val="000000" w:themeColor="text1"/>
              <w:sz w:val="28"/>
              <w:szCs w:val="28"/>
            </w:rPr>
          </w:pPr>
          <w:r>
            <w:fldChar w:fldCharType="begin"/>
          </w:r>
          <w:r>
            <w:instrText xml:space="preserve"> HYPERLINK \l "_Toc138765843" </w:instrText>
          </w:r>
          <w:r>
            <w:fldChar w:fldCharType="separate"/>
          </w:r>
          <w:r>
            <w:rPr>
              <w:rStyle w:val="38"/>
              <w:rFonts w:hint="eastAsia"/>
              <w:b/>
              <w:color w:val="000000" w:themeColor="text1"/>
              <w:sz w:val="28"/>
              <w:szCs w:val="28"/>
            </w:rPr>
            <w:t>七、成交通知</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_Toc138765843 \h </w:instrText>
          </w:r>
          <w:r>
            <w:rPr>
              <w:b/>
              <w:color w:val="000000" w:themeColor="text1"/>
              <w:sz w:val="28"/>
              <w:szCs w:val="28"/>
            </w:rPr>
            <w:fldChar w:fldCharType="separate"/>
          </w:r>
          <w:r>
            <w:rPr>
              <w:b/>
              <w:color w:val="000000" w:themeColor="text1"/>
              <w:sz w:val="28"/>
              <w:szCs w:val="28"/>
            </w:rPr>
            <w:t>25</w:t>
          </w:r>
          <w:r>
            <w:rPr>
              <w:b/>
              <w:color w:val="000000" w:themeColor="text1"/>
              <w:sz w:val="28"/>
              <w:szCs w:val="28"/>
            </w:rPr>
            <w:fldChar w:fldCharType="end"/>
          </w:r>
          <w:r>
            <w:rPr>
              <w:b/>
              <w:color w:val="000000" w:themeColor="text1"/>
              <w:sz w:val="28"/>
              <w:szCs w:val="28"/>
            </w:rPr>
            <w:fldChar w:fldCharType="end"/>
          </w:r>
        </w:p>
        <w:p w14:paraId="12D8F8D2">
          <w:pPr>
            <w:pStyle w:val="26"/>
            <w:tabs>
              <w:tab w:val="right" w:leader="dot" w:pos="8835"/>
            </w:tabs>
            <w:rPr>
              <w:b/>
              <w:color w:val="000000" w:themeColor="text1"/>
              <w:sz w:val="28"/>
              <w:szCs w:val="28"/>
            </w:rPr>
          </w:pPr>
          <w:r>
            <w:fldChar w:fldCharType="begin"/>
          </w:r>
          <w:r>
            <w:instrText xml:space="preserve"> HYPERLINK \l "_Toc138765844" </w:instrText>
          </w:r>
          <w:r>
            <w:fldChar w:fldCharType="separate"/>
          </w:r>
          <w:r>
            <w:rPr>
              <w:rStyle w:val="38"/>
              <w:rFonts w:hint="eastAsia"/>
              <w:b/>
              <w:color w:val="000000" w:themeColor="text1"/>
              <w:sz w:val="28"/>
              <w:szCs w:val="28"/>
            </w:rPr>
            <w:t>八、合同授予</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_Toc138765844 \h </w:instrText>
          </w:r>
          <w:r>
            <w:rPr>
              <w:b/>
              <w:color w:val="000000" w:themeColor="text1"/>
              <w:sz w:val="28"/>
              <w:szCs w:val="28"/>
            </w:rPr>
            <w:fldChar w:fldCharType="separate"/>
          </w:r>
          <w:r>
            <w:rPr>
              <w:b/>
              <w:color w:val="000000" w:themeColor="text1"/>
              <w:sz w:val="28"/>
              <w:szCs w:val="28"/>
            </w:rPr>
            <w:t>25</w:t>
          </w:r>
          <w:r>
            <w:rPr>
              <w:b/>
              <w:color w:val="000000" w:themeColor="text1"/>
              <w:sz w:val="28"/>
              <w:szCs w:val="28"/>
            </w:rPr>
            <w:fldChar w:fldCharType="end"/>
          </w:r>
          <w:r>
            <w:rPr>
              <w:b/>
              <w:color w:val="000000" w:themeColor="text1"/>
              <w:sz w:val="28"/>
              <w:szCs w:val="28"/>
            </w:rPr>
            <w:fldChar w:fldCharType="end"/>
          </w:r>
        </w:p>
        <w:p w14:paraId="4EFD3F7A">
          <w:pPr>
            <w:pStyle w:val="26"/>
            <w:tabs>
              <w:tab w:val="right" w:leader="dot" w:pos="8835"/>
            </w:tabs>
            <w:rPr>
              <w:b/>
              <w:color w:val="000000" w:themeColor="text1"/>
              <w:sz w:val="28"/>
              <w:szCs w:val="28"/>
            </w:rPr>
          </w:pPr>
          <w:r>
            <w:fldChar w:fldCharType="begin"/>
          </w:r>
          <w:r>
            <w:instrText xml:space="preserve"> HYPERLINK \l "_Toc138765845" </w:instrText>
          </w:r>
          <w:r>
            <w:fldChar w:fldCharType="separate"/>
          </w:r>
          <w:r>
            <w:rPr>
              <w:rStyle w:val="38"/>
              <w:rFonts w:hint="eastAsia"/>
              <w:b/>
              <w:color w:val="000000" w:themeColor="text1"/>
              <w:sz w:val="28"/>
              <w:szCs w:val="28"/>
            </w:rPr>
            <w:t>九、质疑处理</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_Toc138765845 \h </w:instrText>
          </w:r>
          <w:r>
            <w:rPr>
              <w:b/>
              <w:color w:val="000000" w:themeColor="text1"/>
              <w:sz w:val="28"/>
              <w:szCs w:val="28"/>
            </w:rPr>
            <w:fldChar w:fldCharType="separate"/>
          </w:r>
          <w:r>
            <w:rPr>
              <w:b/>
              <w:color w:val="000000" w:themeColor="text1"/>
              <w:sz w:val="28"/>
              <w:szCs w:val="28"/>
            </w:rPr>
            <w:t>26</w:t>
          </w:r>
          <w:r>
            <w:rPr>
              <w:b/>
              <w:color w:val="000000" w:themeColor="text1"/>
              <w:sz w:val="28"/>
              <w:szCs w:val="28"/>
            </w:rPr>
            <w:fldChar w:fldCharType="end"/>
          </w:r>
          <w:r>
            <w:rPr>
              <w:b/>
              <w:color w:val="000000" w:themeColor="text1"/>
              <w:sz w:val="28"/>
              <w:szCs w:val="28"/>
            </w:rPr>
            <w:fldChar w:fldCharType="end"/>
          </w:r>
        </w:p>
        <w:p w14:paraId="31D3D739">
          <w:pPr>
            <w:pStyle w:val="24"/>
            <w:tabs>
              <w:tab w:val="right" w:leader="dot" w:pos="8835"/>
            </w:tabs>
            <w:rPr>
              <w:rFonts w:asciiTheme="minorHAnsi" w:hAnsiTheme="minorHAnsi" w:eastAsiaTheme="minorEastAsia" w:cstheme="minorBidi"/>
              <w:b/>
              <w:caps w:val="0"/>
              <w:color w:val="000000" w:themeColor="text1"/>
              <w:sz w:val="28"/>
              <w:szCs w:val="28"/>
            </w:rPr>
          </w:pPr>
          <w:r>
            <w:fldChar w:fldCharType="begin"/>
          </w:r>
          <w:r>
            <w:instrText xml:space="preserve"> HYPERLINK \l "_Toc138765846" </w:instrText>
          </w:r>
          <w:r>
            <w:fldChar w:fldCharType="separate"/>
          </w:r>
          <w:r>
            <w:rPr>
              <w:rStyle w:val="38"/>
              <w:rFonts w:hint="eastAsia"/>
              <w:b/>
              <w:color w:val="000000" w:themeColor="text1"/>
              <w:sz w:val="28"/>
              <w:szCs w:val="28"/>
            </w:rPr>
            <w:t>第三章</w:t>
          </w:r>
          <w:r>
            <w:rPr>
              <w:rStyle w:val="38"/>
              <w:b/>
              <w:color w:val="000000" w:themeColor="text1"/>
              <w:sz w:val="28"/>
              <w:szCs w:val="28"/>
            </w:rPr>
            <w:t xml:space="preserve"> </w:t>
          </w:r>
          <w:r>
            <w:rPr>
              <w:rStyle w:val="38"/>
              <w:rFonts w:hint="eastAsia"/>
              <w:b/>
              <w:color w:val="000000" w:themeColor="text1"/>
              <w:sz w:val="28"/>
              <w:szCs w:val="28"/>
            </w:rPr>
            <w:t>采购项目内容及要求</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_Toc138765846 \h </w:instrText>
          </w:r>
          <w:r>
            <w:rPr>
              <w:b/>
              <w:color w:val="000000" w:themeColor="text1"/>
              <w:sz w:val="28"/>
              <w:szCs w:val="28"/>
            </w:rPr>
            <w:fldChar w:fldCharType="separate"/>
          </w:r>
          <w:r>
            <w:rPr>
              <w:b/>
              <w:color w:val="000000" w:themeColor="text1"/>
              <w:sz w:val="28"/>
              <w:szCs w:val="28"/>
            </w:rPr>
            <w:t>28</w:t>
          </w:r>
          <w:r>
            <w:rPr>
              <w:b/>
              <w:color w:val="000000" w:themeColor="text1"/>
              <w:sz w:val="28"/>
              <w:szCs w:val="28"/>
            </w:rPr>
            <w:fldChar w:fldCharType="end"/>
          </w:r>
          <w:r>
            <w:rPr>
              <w:b/>
              <w:color w:val="000000" w:themeColor="text1"/>
              <w:sz w:val="28"/>
              <w:szCs w:val="28"/>
            </w:rPr>
            <w:fldChar w:fldCharType="end"/>
          </w:r>
        </w:p>
        <w:p w14:paraId="0BF740F6">
          <w:pPr>
            <w:pStyle w:val="24"/>
            <w:tabs>
              <w:tab w:val="right" w:leader="dot" w:pos="8835"/>
            </w:tabs>
            <w:rPr>
              <w:rFonts w:asciiTheme="minorHAnsi" w:hAnsiTheme="minorHAnsi" w:eastAsiaTheme="minorEastAsia" w:cstheme="minorBidi"/>
              <w:b/>
              <w:caps w:val="0"/>
              <w:color w:val="000000" w:themeColor="text1"/>
              <w:sz w:val="28"/>
              <w:szCs w:val="28"/>
            </w:rPr>
          </w:pPr>
          <w:r>
            <w:fldChar w:fldCharType="begin"/>
          </w:r>
          <w:r>
            <w:instrText xml:space="preserve"> HYPERLINK \l "_Toc138765847" </w:instrText>
          </w:r>
          <w:r>
            <w:fldChar w:fldCharType="separate"/>
          </w:r>
          <w:r>
            <w:rPr>
              <w:rStyle w:val="38"/>
              <w:rFonts w:hint="eastAsia"/>
              <w:b/>
              <w:color w:val="000000" w:themeColor="text1"/>
              <w:sz w:val="28"/>
              <w:szCs w:val="28"/>
            </w:rPr>
            <w:t>第四章</w:t>
          </w:r>
          <w:r>
            <w:rPr>
              <w:rStyle w:val="38"/>
              <w:b/>
              <w:color w:val="000000" w:themeColor="text1"/>
              <w:sz w:val="28"/>
              <w:szCs w:val="28"/>
            </w:rPr>
            <w:t xml:space="preserve">  </w:t>
          </w:r>
          <w:r>
            <w:rPr>
              <w:rStyle w:val="38"/>
              <w:rFonts w:hint="eastAsia"/>
              <w:b/>
              <w:color w:val="000000" w:themeColor="text1"/>
              <w:sz w:val="28"/>
              <w:szCs w:val="28"/>
            </w:rPr>
            <w:t>响应性文件内容及格式</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_Toc138765847 \h </w:instrText>
          </w:r>
          <w:r>
            <w:rPr>
              <w:b/>
              <w:color w:val="000000" w:themeColor="text1"/>
              <w:sz w:val="28"/>
              <w:szCs w:val="28"/>
            </w:rPr>
            <w:fldChar w:fldCharType="separate"/>
          </w:r>
          <w:r>
            <w:rPr>
              <w:b/>
              <w:color w:val="000000" w:themeColor="text1"/>
              <w:sz w:val="28"/>
              <w:szCs w:val="28"/>
            </w:rPr>
            <w:t>36</w:t>
          </w:r>
          <w:r>
            <w:rPr>
              <w:b/>
              <w:color w:val="000000" w:themeColor="text1"/>
              <w:sz w:val="28"/>
              <w:szCs w:val="28"/>
            </w:rPr>
            <w:fldChar w:fldCharType="end"/>
          </w:r>
          <w:r>
            <w:rPr>
              <w:b/>
              <w:color w:val="000000" w:themeColor="text1"/>
              <w:sz w:val="28"/>
              <w:szCs w:val="28"/>
            </w:rPr>
            <w:fldChar w:fldCharType="end"/>
          </w:r>
        </w:p>
        <w:p w14:paraId="48FEA7E2">
          <w:pPr>
            <w:pStyle w:val="24"/>
            <w:tabs>
              <w:tab w:val="right" w:leader="dot" w:pos="8835"/>
            </w:tabs>
            <w:rPr>
              <w:rFonts w:asciiTheme="minorHAnsi" w:hAnsiTheme="minorHAnsi" w:eastAsiaTheme="minorEastAsia" w:cstheme="minorBidi"/>
              <w:b/>
              <w:caps w:val="0"/>
              <w:color w:val="000000" w:themeColor="text1"/>
              <w:sz w:val="28"/>
              <w:szCs w:val="28"/>
            </w:rPr>
          </w:pPr>
          <w:r>
            <w:fldChar w:fldCharType="begin"/>
          </w:r>
          <w:r>
            <w:instrText xml:space="preserve"> HYPERLINK \l "_Toc138765850" </w:instrText>
          </w:r>
          <w:r>
            <w:fldChar w:fldCharType="separate"/>
          </w:r>
          <w:r>
            <w:rPr>
              <w:rStyle w:val="38"/>
              <w:rFonts w:hint="eastAsia"/>
              <w:b/>
              <w:color w:val="000000" w:themeColor="text1"/>
              <w:sz w:val="28"/>
              <w:szCs w:val="28"/>
            </w:rPr>
            <w:t>第五章</w:t>
          </w:r>
          <w:r>
            <w:rPr>
              <w:rStyle w:val="38"/>
              <w:b/>
              <w:color w:val="000000" w:themeColor="text1"/>
              <w:sz w:val="28"/>
              <w:szCs w:val="28"/>
            </w:rPr>
            <w:t xml:space="preserve">  </w:t>
          </w:r>
          <w:r>
            <w:rPr>
              <w:rStyle w:val="38"/>
              <w:rFonts w:hint="eastAsia"/>
              <w:b/>
              <w:color w:val="000000" w:themeColor="text1"/>
              <w:w w:val="92"/>
              <w:sz w:val="28"/>
              <w:szCs w:val="28"/>
            </w:rPr>
            <w:t>周口市</w:t>
          </w:r>
          <w:r>
            <w:rPr>
              <w:rStyle w:val="38"/>
              <w:rFonts w:hint="eastAsia"/>
              <w:b/>
              <w:color w:val="000000" w:themeColor="text1"/>
              <w:sz w:val="28"/>
              <w:szCs w:val="28"/>
            </w:rPr>
            <w:t>政府采购合同（服务类）标准文本</w:t>
          </w:r>
          <w:r>
            <w:rPr>
              <w:b/>
              <w:color w:val="000000" w:themeColor="text1"/>
              <w:sz w:val="28"/>
              <w:szCs w:val="28"/>
            </w:rPr>
            <w:tab/>
          </w:r>
          <w:r>
            <w:rPr>
              <w:b/>
              <w:color w:val="000000" w:themeColor="text1"/>
              <w:sz w:val="28"/>
              <w:szCs w:val="28"/>
            </w:rPr>
            <w:fldChar w:fldCharType="begin"/>
          </w:r>
          <w:r>
            <w:rPr>
              <w:b/>
              <w:color w:val="000000" w:themeColor="text1"/>
              <w:sz w:val="28"/>
              <w:szCs w:val="28"/>
            </w:rPr>
            <w:instrText xml:space="preserve"> PAGEREF _Toc138765850 \h </w:instrText>
          </w:r>
          <w:r>
            <w:rPr>
              <w:b/>
              <w:color w:val="000000" w:themeColor="text1"/>
              <w:sz w:val="28"/>
              <w:szCs w:val="28"/>
            </w:rPr>
            <w:fldChar w:fldCharType="separate"/>
          </w:r>
          <w:r>
            <w:rPr>
              <w:b/>
              <w:color w:val="000000" w:themeColor="text1"/>
              <w:sz w:val="28"/>
              <w:szCs w:val="28"/>
            </w:rPr>
            <w:t>49</w:t>
          </w:r>
          <w:r>
            <w:rPr>
              <w:b/>
              <w:color w:val="000000" w:themeColor="text1"/>
              <w:sz w:val="28"/>
              <w:szCs w:val="28"/>
            </w:rPr>
            <w:fldChar w:fldCharType="end"/>
          </w:r>
          <w:r>
            <w:rPr>
              <w:b/>
              <w:color w:val="000000" w:themeColor="text1"/>
              <w:sz w:val="28"/>
              <w:szCs w:val="28"/>
            </w:rPr>
            <w:fldChar w:fldCharType="end"/>
          </w:r>
        </w:p>
        <w:p w14:paraId="60538041">
          <w:pPr>
            <w:rPr>
              <w:color w:val="000000" w:themeColor="text1"/>
            </w:rPr>
          </w:pPr>
          <w:r>
            <w:rPr>
              <w:b/>
              <w:bCs/>
              <w:color w:val="000000" w:themeColor="text1"/>
              <w:sz w:val="28"/>
              <w:szCs w:val="28"/>
              <w:lang w:val="zh-CN"/>
            </w:rPr>
            <w:fldChar w:fldCharType="end"/>
          </w:r>
        </w:p>
      </w:sdtContent>
    </w:sdt>
    <w:p w14:paraId="5EC16513">
      <w:pPr>
        <w:rPr>
          <w:rFonts w:ascii="宋体" w:hAnsi="宋体" w:cs="宋体"/>
          <w:b/>
          <w:color w:val="000000" w:themeColor="text1"/>
          <w:sz w:val="32"/>
          <w:szCs w:val="32"/>
        </w:rPr>
      </w:pPr>
    </w:p>
    <w:p w14:paraId="4D5C400F">
      <w:pPr>
        <w:spacing w:line="800" w:lineRule="exact"/>
        <w:ind w:firstLine="2249" w:firstLineChars="700"/>
        <w:rPr>
          <w:rFonts w:ascii="宋体" w:hAnsi="宋体" w:cs="宋体"/>
          <w:b/>
          <w:color w:val="000000" w:themeColor="text1"/>
          <w:sz w:val="32"/>
          <w:szCs w:val="32"/>
        </w:rPr>
      </w:pPr>
    </w:p>
    <w:p w14:paraId="6F9EAEAA">
      <w:pPr>
        <w:spacing w:line="800" w:lineRule="exact"/>
        <w:ind w:firstLine="2249" w:firstLineChars="700"/>
        <w:rPr>
          <w:rFonts w:ascii="宋体" w:hAnsi="宋体" w:cs="宋体"/>
          <w:b/>
          <w:color w:val="000000" w:themeColor="text1"/>
          <w:sz w:val="32"/>
          <w:szCs w:val="32"/>
        </w:rPr>
      </w:pPr>
    </w:p>
    <w:p w14:paraId="67C12863">
      <w:pPr>
        <w:pStyle w:val="4"/>
        <w:jc w:val="center"/>
        <w:rPr>
          <w:color w:val="000000" w:themeColor="text1"/>
        </w:rPr>
      </w:pPr>
      <w:r>
        <w:rPr>
          <w:rFonts w:hint="eastAsia" w:ascii="仿宋_GB2312" w:eastAsia="仿宋_GB2312"/>
          <w:color w:val="000000" w:themeColor="text1"/>
        </w:rPr>
        <w:br w:type="page"/>
      </w:r>
      <w:bookmarkStart w:id="0" w:name="_Toc138765827"/>
      <w:r>
        <w:rPr>
          <w:rFonts w:hint="eastAsia"/>
          <w:color w:val="000000" w:themeColor="text1"/>
        </w:rPr>
        <w:t>第一章    竞争性磋商邀请函</w:t>
      </w:r>
      <w:bookmarkEnd w:id="0"/>
    </w:p>
    <w:p w14:paraId="4D6CB2D2">
      <w:pPr>
        <w:spacing w:line="500" w:lineRule="exact"/>
        <w:ind w:firstLine="480" w:firstLineChars="20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项目概况</w:t>
      </w:r>
    </w:p>
    <w:p w14:paraId="14523E80">
      <w:pPr>
        <w:spacing w:line="500" w:lineRule="exact"/>
        <w:ind w:firstLine="480" w:firstLineChars="200"/>
        <w:jc w:val="left"/>
        <w:rPr>
          <w:rFonts w:asciiTheme="minorEastAsia" w:hAnsiTheme="minorEastAsia" w:eastAsiaTheme="minorEastAsia" w:cstheme="minorEastAsia"/>
          <w:color w:val="000000" w:themeColor="text1"/>
          <w:sz w:val="24"/>
        </w:rPr>
      </w:pPr>
      <w:r>
        <w:rPr>
          <w:rFonts w:hint="eastAsia" w:cs="宋体" w:asciiTheme="minorEastAsia" w:hAnsiTheme="minorEastAsia" w:eastAsiaTheme="minorEastAsia"/>
          <w:color w:val="000000" w:themeColor="text1"/>
          <w:sz w:val="24"/>
        </w:rPr>
        <w:t>河南省周口市西华县公安局西华县公安局红绿灯、道路交通技术监控设施、智能卡口维护项目的潜在投标人应在周口市公共资源交易中心网（http://jyzx.zhoukou.gov.cn）获取招标文件，并于2025年  月  日10点00分（北京时间）前递交投标文件。</w:t>
      </w:r>
    </w:p>
    <w:p w14:paraId="49C643ED">
      <w:pPr>
        <w:spacing w:line="500" w:lineRule="exact"/>
        <w:rPr>
          <w:rFonts w:asciiTheme="minorEastAsia" w:hAnsiTheme="minorEastAsia" w:eastAsiaTheme="minorEastAsia"/>
          <w:color w:val="000000" w:themeColor="text1"/>
          <w:sz w:val="24"/>
        </w:rPr>
      </w:pPr>
      <w:bookmarkStart w:id="1" w:name="_Toc35393798"/>
      <w:bookmarkStart w:id="2" w:name="_Toc35393629"/>
      <w:bookmarkStart w:id="3" w:name="_Toc138765828"/>
      <w:bookmarkStart w:id="4" w:name="_Toc28359012"/>
      <w:bookmarkStart w:id="5" w:name="_Toc28359089"/>
      <w:r>
        <w:rPr>
          <w:rFonts w:hint="eastAsia" w:asciiTheme="minorEastAsia" w:hAnsiTheme="minorEastAsia" w:eastAsiaTheme="minorEastAsia"/>
          <w:color w:val="000000" w:themeColor="text1"/>
          <w:sz w:val="24"/>
        </w:rPr>
        <w:t>一、项目基本情况</w:t>
      </w:r>
      <w:bookmarkEnd w:id="1"/>
      <w:bookmarkEnd w:id="2"/>
      <w:bookmarkEnd w:id="3"/>
      <w:bookmarkEnd w:id="4"/>
      <w:bookmarkEnd w:id="5"/>
    </w:p>
    <w:p w14:paraId="6BD590D9">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项目编号：西华磋商采购-2025-13</w:t>
      </w:r>
    </w:p>
    <w:p w14:paraId="7E874C8D">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项目名称：河南省周口市西华县公安局西华县公安局红绿灯、道路交通技术监控设施、智能卡口维护项目</w:t>
      </w:r>
    </w:p>
    <w:p w14:paraId="77A32467">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采购方式：竞争性磋商</w:t>
      </w:r>
    </w:p>
    <w:p w14:paraId="0905C5D4">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预算金额：85万元</w:t>
      </w:r>
    </w:p>
    <w:p w14:paraId="78851161">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最高限价：85万元</w:t>
      </w:r>
    </w:p>
    <w:p w14:paraId="0D416DF7">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包划分：1个包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899"/>
        <w:gridCol w:w="1995"/>
      </w:tblGrid>
      <w:tr w14:paraId="0676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Align w:val="center"/>
          </w:tcPr>
          <w:p w14:paraId="3596318B">
            <w:pPr>
              <w:spacing w:line="500" w:lineRule="exact"/>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包号</w:t>
            </w:r>
          </w:p>
        </w:tc>
        <w:tc>
          <w:tcPr>
            <w:tcW w:w="5899" w:type="dxa"/>
            <w:vAlign w:val="center"/>
          </w:tcPr>
          <w:p w14:paraId="200DBB97">
            <w:pPr>
              <w:spacing w:line="500" w:lineRule="exact"/>
              <w:jc w:val="center"/>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包名称</w:t>
            </w:r>
          </w:p>
        </w:tc>
        <w:tc>
          <w:tcPr>
            <w:tcW w:w="1995" w:type="dxa"/>
            <w:vAlign w:val="center"/>
          </w:tcPr>
          <w:p w14:paraId="13BD39D9">
            <w:pPr>
              <w:spacing w:line="500" w:lineRule="exact"/>
              <w:jc w:val="center"/>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包最高限价万元</w:t>
            </w:r>
          </w:p>
        </w:tc>
      </w:tr>
      <w:tr w14:paraId="20F7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 w:type="dxa"/>
            <w:vAlign w:val="center"/>
          </w:tcPr>
          <w:p w14:paraId="65B81207">
            <w:pPr>
              <w:spacing w:line="500" w:lineRule="exact"/>
              <w:jc w:val="center"/>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w:t>
            </w:r>
          </w:p>
        </w:tc>
        <w:tc>
          <w:tcPr>
            <w:tcW w:w="5899" w:type="dxa"/>
          </w:tcPr>
          <w:p w14:paraId="1CDA665A">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河南省周口市西华县公安局西华县公安局红绿灯、道路交通技术监控设施、智能卡口维护项目</w:t>
            </w:r>
          </w:p>
        </w:tc>
        <w:tc>
          <w:tcPr>
            <w:tcW w:w="1995" w:type="dxa"/>
            <w:vAlign w:val="center"/>
          </w:tcPr>
          <w:p w14:paraId="2A004012">
            <w:pPr>
              <w:spacing w:line="500" w:lineRule="exact"/>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85</w:t>
            </w:r>
          </w:p>
        </w:tc>
      </w:tr>
    </w:tbl>
    <w:p w14:paraId="4414138C">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采购需求：（包括但不限于标的的名称、数量、简要技术需求或服务要求等）</w:t>
      </w:r>
    </w:p>
    <w:p w14:paraId="651FC063">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河南省周口市西华县公安局西华县公安局红绿灯、道路交通技术监控设施、智能卡口维护项目（详见采购文件）</w:t>
      </w:r>
    </w:p>
    <w:p w14:paraId="5599F319">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合同履行期限：一年</w:t>
      </w:r>
    </w:p>
    <w:p w14:paraId="624A8984">
      <w:pPr>
        <w:spacing w:line="500" w:lineRule="exact"/>
        <w:rPr>
          <w:rFonts w:cs="宋体" w:asciiTheme="minorEastAsia" w:hAnsiTheme="minorEastAsia" w:eastAsiaTheme="minorEastAsia"/>
          <w:color w:val="000000" w:themeColor="text1"/>
          <w:sz w:val="24"/>
        </w:rPr>
      </w:pPr>
      <w:bookmarkStart w:id="6" w:name="_Toc28359090"/>
      <w:bookmarkStart w:id="7" w:name="_Toc35393799"/>
      <w:bookmarkStart w:id="8" w:name="_Toc35393630"/>
      <w:bookmarkStart w:id="9" w:name="_Toc28359013"/>
      <w:r>
        <w:rPr>
          <w:rFonts w:hint="eastAsia" w:cs="宋体" w:asciiTheme="minorEastAsia" w:hAnsiTheme="minorEastAsia" w:eastAsiaTheme="minorEastAsia"/>
          <w:color w:val="000000" w:themeColor="text1"/>
          <w:sz w:val="24"/>
        </w:rPr>
        <w:t>是否接受进口产品：否</w:t>
      </w:r>
    </w:p>
    <w:p w14:paraId="4E95D41E">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本项目是否接受联合体投标：否</w:t>
      </w:r>
    </w:p>
    <w:p w14:paraId="5A7CE2FD">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本项目是否为只面向中小企业采购：否</w:t>
      </w:r>
    </w:p>
    <w:p w14:paraId="606B613F">
      <w:pPr>
        <w:spacing w:line="500" w:lineRule="exact"/>
        <w:rPr>
          <w:rFonts w:asciiTheme="minorEastAsia" w:hAnsiTheme="minorEastAsia" w:eastAsiaTheme="minorEastAsia"/>
          <w:color w:val="000000" w:themeColor="text1"/>
          <w:sz w:val="24"/>
        </w:rPr>
      </w:pPr>
      <w:bookmarkStart w:id="10" w:name="_Toc138765829"/>
      <w:r>
        <w:rPr>
          <w:rFonts w:hint="eastAsia" w:asciiTheme="minorEastAsia" w:hAnsiTheme="minorEastAsia" w:eastAsiaTheme="minorEastAsia"/>
          <w:color w:val="000000" w:themeColor="text1"/>
          <w:sz w:val="24"/>
        </w:rPr>
        <w:t>二、申请人的资格要求：</w:t>
      </w:r>
      <w:bookmarkEnd w:id="6"/>
      <w:bookmarkEnd w:id="7"/>
      <w:bookmarkEnd w:id="8"/>
      <w:bookmarkEnd w:id="9"/>
      <w:bookmarkEnd w:id="10"/>
    </w:p>
    <w:p w14:paraId="16A53783">
      <w:pPr>
        <w:spacing w:line="500" w:lineRule="exact"/>
        <w:rPr>
          <w:rFonts w:asciiTheme="minorEastAsia" w:hAnsiTheme="minorEastAsia" w:eastAsiaTheme="minorEastAsia"/>
          <w:color w:val="000000" w:themeColor="text1"/>
          <w:sz w:val="24"/>
        </w:rPr>
      </w:pPr>
      <w:bookmarkStart w:id="11" w:name="_Toc35393800"/>
      <w:bookmarkStart w:id="12" w:name="_Toc35393631"/>
      <w:bookmarkStart w:id="13" w:name="_Toc28359091"/>
      <w:bookmarkStart w:id="14" w:name="_Toc28359014"/>
      <w:bookmarkStart w:id="15" w:name="_Toc138765830"/>
      <w:r>
        <w:rPr>
          <w:rFonts w:hint="eastAsia" w:asciiTheme="minorEastAsia" w:hAnsiTheme="minorEastAsia" w:eastAsiaTheme="minorEastAsia"/>
          <w:color w:val="000000" w:themeColor="text1"/>
          <w:sz w:val="24"/>
        </w:rPr>
        <w:t>1.满足《中华人民共和国政府采购法》第二十二条规定；</w:t>
      </w:r>
    </w:p>
    <w:p w14:paraId="1743FB0F">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（1）具有独立承担民事责任的能力（企业营业执照等证明文件）；</w:t>
      </w:r>
    </w:p>
    <w:p w14:paraId="2261DFF7">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（2）具有良好的商业信誉和健全的财务会计制度；</w:t>
      </w:r>
    </w:p>
    <w:p w14:paraId="5D3DFC51">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（3）具有履行合同所必需的设备和专业技术能力；</w:t>
      </w:r>
    </w:p>
    <w:p w14:paraId="6CFD2457">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（4）有依法缴纳税收和社会保障资金的良好记录（缴纳的税收凭据、社会保险凭据，依法免税或不需要缴纳社会保障资金的供应商应提供相应的证明文件）；</w:t>
      </w:r>
    </w:p>
    <w:p w14:paraId="53FC9A44">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（5）参加政府采购活动前三年内，在经营活动中没有重大违法记录（提供没有重大违法记录的书面声明函，格式自拟）；</w:t>
      </w:r>
    </w:p>
    <w:p w14:paraId="339B6C55">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743DDED8">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本项目的特定资格要求：（1）根据《关于在政府采购活动中查询及使用信用记录有关问题的通知》(财库[2016]125号)和豫财购【2016】15号的规定，对列入“信用中国”网站（www.creditchina.gov.cn）的“失信被执行人”、“重大税收违法失信主体”、“政府采购严重违法失信行为记录名单”的供应商和法定代表人和“中国政府采购”网站(www.ccgp.gov.cn)的“政府采购严重违法失信行为记录名单”的供应商，将拒绝其参加政府采购活动；在标书中附加盖公章的网页查询扫描件，查询日期为公告发布之日起至投标截止之日止。</w:t>
      </w:r>
    </w:p>
    <w:p w14:paraId="3943BC10">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单位负责人为同一人或者存在直接控股、管理关系的不同供应商，不得参加同一合同项下的政府采购活动。供应商需出具（http://www.gsxt.gov.cn/index.html）《国家企业信息公示系统》中查询到的与本单位存在有控股、管理关系的具体情况网页截图。</w:t>
      </w:r>
    </w:p>
    <w:p w14:paraId="39A2ACB3">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（3）本项目不接受联合体投标。</w:t>
      </w:r>
    </w:p>
    <w:p w14:paraId="1274E2A6">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三、获取采购文件</w:t>
      </w:r>
      <w:bookmarkEnd w:id="11"/>
      <w:bookmarkEnd w:id="12"/>
      <w:bookmarkEnd w:id="13"/>
      <w:bookmarkEnd w:id="14"/>
      <w:bookmarkEnd w:id="15"/>
    </w:p>
    <w:p w14:paraId="546465E1">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时间：</w:t>
      </w:r>
      <w:r>
        <w:rPr>
          <w:rFonts w:hint="eastAsia" w:asciiTheme="minorEastAsia" w:hAnsiTheme="minorEastAsia" w:eastAsiaTheme="minorEastAsia"/>
          <w:color w:val="000000" w:themeColor="text1"/>
          <w:sz w:val="24"/>
          <w:u w:val="single"/>
        </w:rPr>
        <w:t>2025年</w:t>
      </w:r>
      <w:r>
        <w:rPr>
          <w:rFonts w:hint="eastAsia" w:asciiTheme="minorEastAsia" w:hAnsiTheme="minorEastAsia" w:eastAsiaTheme="minorEastAsia"/>
          <w:color w:val="000000" w:themeColor="text1"/>
          <w:sz w:val="24"/>
          <w:u w:val="single"/>
          <w:lang w:val="en-US" w:eastAsia="zh-CN"/>
        </w:rPr>
        <w:t>3</w:t>
      </w:r>
      <w:r>
        <w:rPr>
          <w:rFonts w:hint="eastAsia" w:asciiTheme="minorEastAsia" w:hAnsiTheme="minorEastAsia" w:eastAsiaTheme="minorEastAsia"/>
          <w:color w:val="000000" w:themeColor="text1"/>
          <w:sz w:val="24"/>
          <w:u w:val="single"/>
        </w:rPr>
        <w:t>月</w:t>
      </w:r>
      <w:r>
        <w:rPr>
          <w:rFonts w:hint="eastAsia" w:asciiTheme="minorEastAsia" w:hAnsiTheme="minorEastAsia" w:eastAsiaTheme="minorEastAsia"/>
          <w:color w:val="000000" w:themeColor="text1"/>
          <w:sz w:val="24"/>
          <w:u w:val="single"/>
          <w:lang w:val="en-US" w:eastAsia="zh-CN"/>
        </w:rPr>
        <w:t>19</w:t>
      </w:r>
      <w:r>
        <w:rPr>
          <w:rFonts w:hint="eastAsia" w:asciiTheme="minorEastAsia" w:hAnsiTheme="minorEastAsia" w:eastAsiaTheme="minorEastAsia"/>
          <w:color w:val="000000" w:themeColor="text1"/>
          <w:sz w:val="24"/>
          <w:u w:val="single"/>
        </w:rPr>
        <w:t>日</w:t>
      </w:r>
      <w:r>
        <w:rPr>
          <w:rFonts w:hint="eastAsia" w:asciiTheme="minorEastAsia" w:hAnsiTheme="minorEastAsia" w:eastAsiaTheme="minorEastAsia"/>
          <w:color w:val="000000" w:themeColor="text1"/>
          <w:sz w:val="24"/>
        </w:rPr>
        <w:t>至</w:t>
      </w:r>
      <w:r>
        <w:rPr>
          <w:rFonts w:hint="eastAsia" w:asciiTheme="minorEastAsia" w:hAnsiTheme="minorEastAsia" w:eastAsiaTheme="minorEastAsia"/>
          <w:color w:val="000000" w:themeColor="text1"/>
          <w:sz w:val="24"/>
          <w:u w:val="single"/>
        </w:rPr>
        <w:t>2025年</w:t>
      </w:r>
      <w:r>
        <w:rPr>
          <w:rFonts w:hint="eastAsia" w:asciiTheme="minorEastAsia" w:hAnsiTheme="minorEastAsia" w:eastAsiaTheme="minorEastAsia"/>
          <w:color w:val="000000" w:themeColor="text1"/>
          <w:sz w:val="24"/>
          <w:u w:val="single"/>
          <w:lang w:val="en-US" w:eastAsia="zh-CN"/>
        </w:rPr>
        <w:t>3</w:t>
      </w:r>
      <w:r>
        <w:rPr>
          <w:rFonts w:hint="eastAsia" w:asciiTheme="minorEastAsia" w:hAnsiTheme="minorEastAsia" w:eastAsiaTheme="minorEastAsia"/>
          <w:color w:val="000000" w:themeColor="text1"/>
          <w:sz w:val="24"/>
          <w:u w:val="single"/>
        </w:rPr>
        <w:t>月</w:t>
      </w:r>
      <w:r>
        <w:rPr>
          <w:rFonts w:hint="eastAsia" w:asciiTheme="minorEastAsia" w:hAnsiTheme="minorEastAsia" w:eastAsiaTheme="minorEastAsia"/>
          <w:color w:val="000000" w:themeColor="text1"/>
          <w:sz w:val="24"/>
          <w:u w:val="single"/>
          <w:lang w:val="en-US" w:eastAsia="zh-CN"/>
        </w:rPr>
        <w:t>26</w:t>
      </w:r>
      <w:r>
        <w:rPr>
          <w:rFonts w:hint="eastAsia" w:asciiTheme="minorEastAsia" w:hAnsiTheme="minorEastAsia" w:eastAsiaTheme="minorEastAsia"/>
          <w:color w:val="000000" w:themeColor="text1"/>
          <w:sz w:val="24"/>
          <w:u w:val="single"/>
        </w:rPr>
        <w:t>日</w:t>
      </w:r>
      <w:r>
        <w:rPr>
          <w:rFonts w:hint="eastAsia" w:asciiTheme="minorEastAsia" w:hAnsiTheme="minorEastAsia" w:eastAsiaTheme="minorEastAsia"/>
          <w:color w:val="000000" w:themeColor="text1"/>
          <w:sz w:val="24"/>
        </w:rPr>
        <w:t>（北京时间，法定节假日除外 ）</w:t>
      </w:r>
    </w:p>
    <w:p w14:paraId="32EB0979">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地点：周口市公共资源交易中心网（http://jyzx.zhoukou.gov.cn）</w:t>
      </w:r>
    </w:p>
    <w:p w14:paraId="2DC4C8E8">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方式：供应商请在网站自主注册后下载采购文件（zkzf格式）及资料，需办理CA数字证书后方可提交响应文件，具体办理事宜请查阅周口市公共资源交易中心网站。</w:t>
      </w:r>
    </w:p>
    <w:p w14:paraId="3276528D">
      <w:pPr>
        <w:spacing w:line="500" w:lineRule="exac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售价：0</w:t>
      </w:r>
    </w:p>
    <w:p w14:paraId="68CF4E65">
      <w:pPr>
        <w:spacing w:line="500" w:lineRule="exact"/>
        <w:rPr>
          <w:rFonts w:asciiTheme="minorEastAsia" w:hAnsiTheme="minorEastAsia" w:eastAsiaTheme="minorEastAsia"/>
          <w:color w:val="000000" w:themeColor="text1"/>
          <w:sz w:val="24"/>
        </w:rPr>
      </w:pPr>
      <w:bookmarkStart w:id="16" w:name="_Toc35393632"/>
      <w:bookmarkStart w:id="17" w:name="_Toc35393801"/>
      <w:bookmarkStart w:id="18" w:name="_Toc138765831"/>
      <w:bookmarkStart w:id="19" w:name="_Toc28359015"/>
      <w:bookmarkStart w:id="20" w:name="_Toc28359092"/>
      <w:r>
        <w:rPr>
          <w:rFonts w:hint="eastAsia" w:asciiTheme="minorEastAsia" w:hAnsiTheme="minorEastAsia" w:eastAsiaTheme="minorEastAsia"/>
          <w:color w:val="000000" w:themeColor="text1"/>
          <w:sz w:val="24"/>
        </w:rPr>
        <w:t>四、响应文件提交</w:t>
      </w:r>
      <w:bookmarkEnd w:id="16"/>
      <w:bookmarkEnd w:id="17"/>
      <w:bookmarkEnd w:id="18"/>
      <w:bookmarkEnd w:id="19"/>
      <w:bookmarkEnd w:id="20"/>
    </w:p>
    <w:p w14:paraId="03EADAF0">
      <w:pPr>
        <w:spacing w:line="500" w:lineRule="exact"/>
        <w:rPr>
          <w:rFonts w:asciiTheme="minorEastAsia" w:hAnsiTheme="minorEastAsia" w:eastAsiaTheme="minorEastAsia"/>
          <w:bCs/>
          <w:color w:val="000000" w:themeColor="text1"/>
          <w:sz w:val="24"/>
          <w:u w:val="single"/>
        </w:rPr>
      </w:pPr>
      <w:r>
        <w:rPr>
          <w:rFonts w:hint="eastAsia" w:asciiTheme="minorEastAsia" w:hAnsiTheme="minorEastAsia" w:eastAsiaTheme="minorEastAsia"/>
          <w:color w:val="000000" w:themeColor="text1"/>
          <w:sz w:val="24"/>
        </w:rPr>
        <w:t>截止时间：</w:t>
      </w:r>
      <w:r>
        <w:rPr>
          <w:rFonts w:hint="eastAsia" w:asciiTheme="minorEastAsia" w:hAnsiTheme="minorEastAsia" w:eastAsiaTheme="minorEastAsia"/>
          <w:color w:val="000000" w:themeColor="text1"/>
          <w:sz w:val="24"/>
          <w:u w:val="single"/>
        </w:rPr>
        <w:t>2025年</w:t>
      </w:r>
      <w:r>
        <w:rPr>
          <w:rFonts w:hint="eastAsia" w:asciiTheme="minorEastAsia" w:hAnsiTheme="minorEastAsia" w:eastAsiaTheme="minorEastAsia"/>
          <w:color w:val="000000" w:themeColor="text1"/>
          <w:sz w:val="24"/>
          <w:u w:val="single"/>
          <w:lang w:val="en-US" w:eastAsia="zh-CN"/>
        </w:rPr>
        <w:t>3</w:t>
      </w:r>
      <w:r>
        <w:rPr>
          <w:rFonts w:hint="eastAsia" w:asciiTheme="minorEastAsia" w:hAnsiTheme="minorEastAsia" w:eastAsiaTheme="minorEastAsia"/>
          <w:color w:val="000000" w:themeColor="text1"/>
          <w:sz w:val="24"/>
          <w:u w:val="single"/>
        </w:rPr>
        <w:t>月</w:t>
      </w:r>
      <w:r>
        <w:rPr>
          <w:rFonts w:hint="eastAsia" w:asciiTheme="minorEastAsia" w:hAnsiTheme="minorEastAsia" w:eastAsiaTheme="minorEastAsia"/>
          <w:color w:val="000000" w:themeColor="text1"/>
          <w:sz w:val="24"/>
          <w:u w:val="single"/>
          <w:lang w:val="en-US" w:eastAsia="zh-CN"/>
        </w:rPr>
        <w:t>31</w:t>
      </w:r>
      <w:r>
        <w:rPr>
          <w:rFonts w:hint="eastAsia" w:asciiTheme="minorEastAsia" w:hAnsiTheme="minorEastAsia" w:eastAsiaTheme="minorEastAsia"/>
          <w:color w:val="000000" w:themeColor="text1"/>
          <w:sz w:val="24"/>
          <w:u w:val="single"/>
        </w:rPr>
        <w:t>日</w:t>
      </w:r>
      <w:r>
        <w:rPr>
          <w:rFonts w:hint="eastAsia" w:asciiTheme="minorEastAsia" w:hAnsiTheme="minorEastAsia" w:eastAsiaTheme="minorEastAsia"/>
          <w:bCs/>
          <w:color w:val="000000" w:themeColor="text1"/>
          <w:sz w:val="24"/>
          <w:u w:val="single"/>
        </w:rPr>
        <w:t>10点00分</w:t>
      </w:r>
      <w:r>
        <w:rPr>
          <w:rFonts w:hint="eastAsia" w:asciiTheme="minorEastAsia" w:hAnsiTheme="minorEastAsia" w:eastAsiaTheme="minorEastAsia"/>
          <w:bCs/>
          <w:color w:val="000000" w:themeColor="text1"/>
          <w:sz w:val="24"/>
        </w:rPr>
        <w:t>（北京时间）</w:t>
      </w:r>
    </w:p>
    <w:p w14:paraId="3AF5ECF5">
      <w:pPr>
        <w:spacing w:line="500" w:lineRule="exact"/>
        <w:rPr>
          <w:rFonts w:asciiTheme="minorEastAsia" w:hAnsiTheme="minorEastAsia" w:eastAsiaTheme="minorEastAsia"/>
          <w:bCs/>
          <w:color w:val="000000" w:themeColor="text1"/>
          <w:sz w:val="24"/>
          <w:u w:val="single"/>
        </w:rPr>
      </w:pPr>
      <w:r>
        <w:rPr>
          <w:rFonts w:hint="eastAsia" w:asciiTheme="minorEastAsia" w:hAnsiTheme="minorEastAsia" w:eastAsiaTheme="minorEastAsia"/>
          <w:color w:val="000000" w:themeColor="text1"/>
          <w:sz w:val="24"/>
        </w:rPr>
        <w:t>地点：加密电子响应文件须在投标截止时间前通过</w:t>
      </w:r>
      <w:r>
        <w:rPr>
          <w:rFonts w:hint="eastAsia" w:asciiTheme="minorEastAsia" w:hAnsiTheme="minorEastAsia" w:eastAsiaTheme="minorEastAsia"/>
          <w:color w:val="000000" w:themeColor="text1"/>
          <w:spacing w:val="-6"/>
          <w:sz w:val="24"/>
        </w:rPr>
        <w:t>周口市公共资源交易中心网</w:t>
      </w:r>
      <w:r>
        <w:rPr>
          <w:rFonts w:hint="eastAsia" w:asciiTheme="minorEastAsia" w:hAnsiTheme="minorEastAsia" w:eastAsiaTheme="minorEastAsia"/>
          <w:color w:val="000000" w:themeColor="text1"/>
          <w:sz w:val="24"/>
        </w:rPr>
        <w:t>（网址http://jyzx.zhoukou.gov.cn）。</w:t>
      </w:r>
    </w:p>
    <w:p w14:paraId="7266444D">
      <w:pPr>
        <w:spacing w:line="500" w:lineRule="exact"/>
        <w:rPr>
          <w:rFonts w:asciiTheme="minorEastAsia" w:hAnsiTheme="minorEastAsia" w:eastAsiaTheme="minorEastAsia"/>
          <w:color w:val="000000" w:themeColor="text1"/>
          <w:sz w:val="24"/>
        </w:rPr>
      </w:pPr>
      <w:bookmarkStart w:id="21" w:name="_Toc138765832"/>
      <w:bookmarkStart w:id="22" w:name="_Toc28359016"/>
      <w:bookmarkStart w:id="23" w:name="_Toc35393802"/>
      <w:bookmarkStart w:id="24" w:name="_Toc35393633"/>
      <w:bookmarkStart w:id="25" w:name="_Toc28359093"/>
      <w:r>
        <w:rPr>
          <w:rFonts w:hint="eastAsia" w:asciiTheme="minorEastAsia" w:hAnsiTheme="minorEastAsia" w:eastAsiaTheme="minorEastAsia"/>
          <w:color w:val="000000" w:themeColor="text1"/>
          <w:sz w:val="24"/>
        </w:rPr>
        <w:t>五、开启（竞争性磋商方式必须填写）</w:t>
      </w:r>
      <w:bookmarkEnd w:id="21"/>
      <w:bookmarkEnd w:id="22"/>
      <w:bookmarkEnd w:id="23"/>
      <w:bookmarkEnd w:id="24"/>
      <w:bookmarkEnd w:id="25"/>
    </w:p>
    <w:p w14:paraId="0A6BC32F">
      <w:pPr>
        <w:spacing w:line="500" w:lineRule="exact"/>
        <w:rPr>
          <w:rFonts w:asciiTheme="minorEastAsia" w:hAnsiTheme="minorEastAsia" w:eastAsiaTheme="minorEastAsia"/>
          <w:bCs/>
          <w:color w:val="000000" w:themeColor="text1"/>
          <w:sz w:val="24"/>
          <w:u w:val="single"/>
        </w:rPr>
      </w:pPr>
      <w:r>
        <w:rPr>
          <w:rFonts w:hint="eastAsia" w:asciiTheme="minorEastAsia" w:hAnsiTheme="minorEastAsia" w:eastAsiaTheme="minorEastAsia"/>
          <w:color w:val="000000" w:themeColor="text1"/>
          <w:sz w:val="24"/>
        </w:rPr>
        <w:t>时间：</w:t>
      </w:r>
      <w:r>
        <w:rPr>
          <w:rFonts w:hint="eastAsia" w:asciiTheme="minorEastAsia" w:hAnsiTheme="minorEastAsia" w:eastAsiaTheme="minorEastAsia"/>
          <w:color w:val="000000" w:themeColor="text1"/>
          <w:sz w:val="24"/>
          <w:u w:val="single"/>
        </w:rPr>
        <w:t>2025年</w:t>
      </w:r>
      <w:r>
        <w:rPr>
          <w:rFonts w:hint="eastAsia" w:asciiTheme="minorEastAsia" w:hAnsiTheme="minorEastAsia" w:eastAsiaTheme="minorEastAsia"/>
          <w:color w:val="000000" w:themeColor="text1"/>
          <w:sz w:val="24"/>
          <w:u w:val="single"/>
          <w:lang w:val="en-US" w:eastAsia="zh-CN"/>
        </w:rPr>
        <w:t>3</w:t>
      </w:r>
      <w:r>
        <w:rPr>
          <w:rFonts w:hint="eastAsia" w:asciiTheme="minorEastAsia" w:hAnsiTheme="minorEastAsia" w:eastAsiaTheme="minorEastAsia"/>
          <w:color w:val="000000" w:themeColor="text1"/>
          <w:sz w:val="24"/>
          <w:u w:val="single"/>
        </w:rPr>
        <w:t>月</w:t>
      </w:r>
      <w:r>
        <w:rPr>
          <w:rFonts w:hint="eastAsia" w:asciiTheme="minorEastAsia" w:hAnsiTheme="minorEastAsia" w:eastAsiaTheme="minorEastAsia"/>
          <w:color w:val="000000" w:themeColor="text1"/>
          <w:sz w:val="24"/>
          <w:u w:val="single"/>
          <w:lang w:val="en-US" w:eastAsia="zh-CN"/>
        </w:rPr>
        <w:t>31</w:t>
      </w:r>
      <w:r>
        <w:rPr>
          <w:rFonts w:hint="eastAsia" w:asciiTheme="minorEastAsia" w:hAnsiTheme="minorEastAsia" w:eastAsiaTheme="minorEastAsia"/>
          <w:color w:val="000000" w:themeColor="text1"/>
          <w:sz w:val="24"/>
          <w:u w:val="single"/>
        </w:rPr>
        <w:t>日</w:t>
      </w:r>
      <w:r>
        <w:rPr>
          <w:rFonts w:hint="eastAsia" w:asciiTheme="minorEastAsia" w:hAnsiTheme="minorEastAsia" w:eastAsiaTheme="minorEastAsia"/>
          <w:bCs/>
          <w:color w:val="000000" w:themeColor="text1"/>
          <w:sz w:val="24"/>
          <w:u w:val="single"/>
        </w:rPr>
        <w:t>10点00分</w:t>
      </w:r>
      <w:r>
        <w:rPr>
          <w:rFonts w:hint="eastAsia" w:asciiTheme="minorEastAsia" w:hAnsiTheme="minorEastAsia" w:eastAsiaTheme="minorEastAsia"/>
          <w:bCs/>
          <w:color w:val="000000" w:themeColor="text1"/>
          <w:sz w:val="24"/>
        </w:rPr>
        <w:t>（北京时间）</w:t>
      </w:r>
    </w:p>
    <w:p w14:paraId="1988BB11">
      <w:pPr>
        <w:spacing w:line="500" w:lineRule="exact"/>
        <w:rPr>
          <w:rFonts w:asciiTheme="minorEastAsia" w:hAnsiTheme="minorEastAsia" w:eastAsiaTheme="minorEastAsia"/>
          <w:bCs/>
          <w:color w:val="000000" w:themeColor="text1"/>
          <w:sz w:val="24"/>
          <w:u w:val="single"/>
        </w:rPr>
      </w:pPr>
      <w:r>
        <w:rPr>
          <w:rFonts w:hint="eastAsia" w:asciiTheme="minorEastAsia" w:hAnsiTheme="minorEastAsia" w:eastAsiaTheme="minorEastAsia"/>
          <w:color w:val="000000" w:themeColor="text1"/>
          <w:sz w:val="24"/>
        </w:rPr>
        <w:t>地点：</w:t>
      </w:r>
      <w:r>
        <w:rPr>
          <w:rFonts w:hint="eastAsia" w:cs="宋体" w:asciiTheme="minorEastAsia" w:hAnsiTheme="minorEastAsia" w:eastAsiaTheme="minorEastAsia"/>
          <w:color w:val="000000" w:themeColor="text1"/>
          <w:sz w:val="24"/>
        </w:rPr>
        <w:t>周口市公共资源交易中心开标室</w:t>
      </w:r>
    </w:p>
    <w:p w14:paraId="3FC3892C">
      <w:pPr>
        <w:spacing w:line="500" w:lineRule="exact"/>
        <w:rPr>
          <w:rFonts w:asciiTheme="minorEastAsia" w:hAnsiTheme="minorEastAsia" w:eastAsiaTheme="minorEastAsia"/>
          <w:color w:val="000000" w:themeColor="text1"/>
          <w:sz w:val="24"/>
        </w:rPr>
      </w:pPr>
      <w:bookmarkStart w:id="26" w:name="_Toc35393803"/>
      <w:bookmarkStart w:id="27" w:name="_Toc28359094"/>
      <w:bookmarkStart w:id="28" w:name="_Toc35393634"/>
      <w:bookmarkStart w:id="29" w:name="_Toc138765833"/>
      <w:bookmarkStart w:id="30" w:name="_Toc28359017"/>
      <w:r>
        <w:rPr>
          <w:rFonts w:hint="eastAsia" w:asciiTheme="minorEastAsia" w:hAnsiTheme="minorEastAsia" w:eastAsiaTheme="minorEastAsia"/>
          <w:color w:val="000000" w:themeColor="text1"/>
          <w:sz w:val="24"/>
        </w:rPr>
        <w:t>六、公告期限</w:t>
      </w:r>
      <w:bookmarkEnd w:id="26"/>
      <w:bookmarkEnd w:id="27"/>
      <w:bookmarkEnd w:id="28"/>
      <w:bookmarkEnd w:id="29"/>
      <w:bookmarkEnd w:id="30"/>
    </w:p>
    <w:p w14:paraId="4E253F22">
      <w:pPr>
        <w:spacing w:line="500" w:lineRule="exac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自本公告发布之日起3个工作日。</w:t>
      </w:r>
    </w:p>
    <w:p w14:paraId="6619CE2E">
      <w:pPr>
        <w:spacing w:line="500" w:lineRule="exact"/>
        <w:rPr>
          <w:rFonts w:asciiTheme="minorEastAsia" w:hAnsiTheme="minorEastAsia" w:eastAsiaTheme="minorEastAsia"/>
          <w:color w:val="000000" w:themeColor="text1"/>
          <w:sz w:val="24"/>
        </w:rPr>
      </w:pPr>
      <w:bookmarkStart w:id="31" w:name="_Toc138765834"/>
      <w:bookmarkStart w:id="32" w:name="_Toc35393804"/>
      <w:bookmarkStart w:id="33" w:name="_Toc35393635"/>
      <w:r>
        <w:rPr>
          <w:rFonts w:hint="eastAsia" w:asciiTheme="minorEastAsia" w:hAnsiTheme="minorEastAsia" w:eastAsiaTheme="minorEastAsia"/>
          <w:color w:val="000000" w:themeColor="text1"/>
          <w:sz w:val="24"/>
        </w:rPr>
        <w:t>七、其他补充事宜</w:t>
      </w:r>
      <w:bookmarkEnd w:id="31"/>
      <w:bookmarkEnd w:id="32"/>
      <w:bookmarkEnd w:id="33"/>
    </w:p>
    <w:p w14:paraId="4C0EE9B4">
      <w:pPr>
        <w:spacing w:line="500" w:lineRule="exact"/>
        <w:rPr>
          <w:rFonts w:asciiTheme="minorEastAsia" w:hAnsiTheme="minorEastAsia" w:eastAsiaTheme="minorEastAsia"/>
          <w:color w:val="000000" w:themeColor="text1"/>
          <w:sz w:val="24"/>
        </w:rPr>
      </w:pPr>
      <w:bookmarkStart w:id="34" w:name="_Toc35393805"/>
      <w:bookmarkStart w:id="35" w:name="_Toc28359018"/>
      <w:bookmarkStart w:id="36" w:name="_Toc28359095"/>
      <w:bookmarkStart w:id="37" w:name="_Toc138765835"/>
      <w:bookmarkStart w:id="38" w:name="_Toc35393636"/>
      <w:r>
        <w:rPr>
          <w:rFonts w:hint="eastAsia" w:asciiTheme="minorEastAsia" w:hAnsiTheme="minorEastAsia" w:eastAsiaTheme="minorEastAsia"/>
          <w:color w:val="000000" w:themeColor="text1"/>
          <w:sz w:val="24"/>
        </w:rPr>
        <w:t>八、凡对本次采购提出询问，请按以下方式联系。</w:t>
      </w:r>
      <w:bookmarkEnd w:id="34"/>
      <w:bookmarkEnd w:id="35"/>
      <w:bookmarkEnd w:id="36"/>
      <w:bookmarkEnd w:id="37"/>
      <w:bookmarkEnd w:id="38"/>
    </w:p>
    <w:p w14:paraId="125A12F2">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1.采购人信息</w:t>
      </w:r>
    </w:p>
    <w:p w14:paraId="5B86E568">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名称：西华县公安局</w:t>
      </w:r>
    </w:p>
    <w:p w14:paraId="0ED8ADE2">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地址：河南省周口市西华县安康大道</w:t>
      </w:r>
    </w:p>
    <w:p w14:paraId="7933C038">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联系人：宋耀磊        联系方式：</w:t>
      </w:r>
      <w:r>
        <w:rPr>
          <w:rFonts w:cs="宋体" w:asciiTheme="minorEastAsia" w:hAnsiTheme="minorEastAsia" w:eastAsiaTheme="minorEastAsia"/>
          <w:color w:val="000000" w:themeColor="text1"/>
          <w:sz w:val="24"/>
        </w:rPr>
        <w:t>18838321955</w:t>
      </w:r>
      <w:r>
        <w:rPr>
          <w:rFonts w:hint="eastAsia" w:cs="宋体" w:asciiTheme="minorEastAsia" w:hAnsiTheme="minorEastAsia" w:eastAsiaTheme="minorEastAsia"/>
          <w:color w:val="000000" w:themeColor="text1"/>
          <w:sz w:val="24"/>
        </w:rPr>
        <w:t xml:space="preserve"> </w:t>
      </w:r>
      <w:bookmarkStart w:id="39" w:name="_Toc28359009"/>
      <w:bookmarkStart w:id="40" w:name="_Toc28359086"/>
    </w:p>
    <w:p w14:paraId="2B07F0EC">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2.采购代理机构信息</w:t>
      </w:r>
      <w:bookmarkEnd w:id="39"/>
      <w:bookmarkEnd w:id="40"/>
    </w:p>
    <w:p w14:paraId="29BA8C6E">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名称：周口市公共资源交易中心政府采购中心　　　　　　　　　　　　</w:t>
      </w:r>
    </w:p>
    <w:p w14:paraId="0A84BEAC">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地址：周口市光明路与政通路交叉口向北100米路东</w:t>
      </w:r>
    </w:p>
    <w:p w14:paraId="370345F6">
      <w:pPr>
        <w:spacing w:line="500" w:lineRule="exact"/>
        <w:rPr>
          <w:rFonts w:hint="default" w:cs="宋体" w:asciiTheme="minorEastAsia" w:hAnsiTheme="minorEastAsia" w:eastAsiaTheme="minorEastAsia"/>
          <w:color w:val="000000" w:themeColor="text1"/>
          <w:sz w:val="24"/>
          <w:lang w:val="en-US" w:eastAsia="zh-CN"/>
        </w:rPr>
      </w:pPr>
      <w:r>
        <w:rPr>
          <w:rFonts w:hint="eastAsia" w:cs="宋体" w:asciiTheme="minorEastAsia" w:hAnsiTheme="minorEastAsia" w:eastAsiaTheme="minorEastAsia"/>
          <w:color w:val="000000" w:themeColor="text1"/>
          <w:sz w:val="24"/>
        </w:rPr>
        <w:t>项目联系人：</w:t>
      </w:r>
      <w:r>
        <w:rPr>
          <w:rFonts w:hint="eastAsia" w:cs="宋体" w:asciiTheme="minorEastAsia" w:hAnsiTheme="minorEastAsia" w:eastAsiaTheme="minorEastAsia"/>
          <w:color w:val="000000" w:themeColor="text1"/>
          <w:sz w:val="24"/>
          <w:lang w:val="en-US" w:eastAsia="zh-CN"/>
        </w:rPr>
        <w:t>郭战伟</w:t>
      </w:r>
      <w:r>
        <w:rPr>
          <w:rFonts w:hint="eastAsia" w:cs="宋体" w:asciiTheme="minorEastAsia" w:hAnsiTheme="minorEastAsia" w:eastAsiaTheme="minorEastAsia"/>
          <w:color w:val="000000" w:themeColor="text1"/>
          <w:sz w:val="24"/>
        </w:rPr>
        <w:t xml:space="preserve">   联系方式：</w:t>
      </w:r>
      <w:bookmarkStart w:id="41" w:name="_Toc28359010"/>
      <w:bookmarkStart w:id="42" w:name="_Toc28359087"/>
      <w:r>
        <w:rPr>
          <w:rFonts w:cs="宋体" w:asciiTheme="minorEastAsia" w:hAnsiTheme="minorEastAsia" w:eastAsiaTheme="minorEastAsia"/>
          <w:color w:val="000000" w:themeColor="text1"/>
          <w:sz w:val="24"/>
        </w:rPr>
        <w:t>0394-8106517</w:t>
      </w:r>
      <w:r>
        <w:rPr>
          <w:rFonts w:hint="eastAsia" w:cs="宋体" w:asciiTheme="minorEastAsia" w:hAnsiTheme="minorEastAsia" w:eastAsiaTheme="minorEastAsia"/>
          <w:color w:val="000000" w:themeColor="text1"/>
          <w:sz w:val="24"/>
          <w:lang w:val="en-US" w:eastAsia="zh-CN"/>
        </w:rPr>
        <w:t xml:space="preserve"> 19913276009</w:t>
      </w:r>
    </w:p>
    <w:bookmarkEnd w:id="41"/>
    <w:bookmarkEnd w:id="42"/>
    <w:p w14:paraId="30353550">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3.监督单位：西华县采购办</w:t>
      </w:r>
    </w:p>
    <w:p w14:paraId="4D856AD5">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联系方式：0394-2551650</w:t>
      </w:r>
    </w:p>
    <w:p w14:paraId="379360EA">
      <w:pPr>
        <w:pStyle w:val="2"/>
        <w:ind w:firstLine="210"/>
        <w:rPr>
          <w:color w:val="000000" w:themeColor="text1"/>
        </w:rPr>
      </w:pPr>
    </w:p>
    <w:p w14:paraId="4437D5D1">
      <w:pPr>
        <w:pStyle w:val="2"/>
        <w:ind w:firstLine="210"/>
        <w:rPr>
          <w:color w:val="000000" w:themeColor="text1"/>
        </w:rPr>
      </w:pPr>
    </w:p>
    <w:p w14:paraId="72797BA5">
      <w:pPr>
        <w:spacing w:line="500" w:lineRule="exact"/>
        <w:jc w:val="righ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周口市公共资源交易中心政府采购中心</w:t>
      </w:r>
    </w:p>
    <w:p w14:paraId="5D8986EE">
      <w:pPr>
        <w:spacing w:line="500" w:lineRule="exact"/>
        <w:jc w:val="righ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2025年</w:t>
      </w:r>
      <w:r>
        <w:rPr>
          <w:rFonts w:hint="eastAsia" w:cs="宋体" w:asciiTheme="minorEastAsia" w:hAnsiTheme="minorEastAsia" w:eastAsiaTheme="minorEastAsia"/>
          <w:color w:val="000000" w:themeColor="text1"/>
          <w:sz w:val="24"/>
          <w:lang w:val="en-US" w:eastAsia="zh-CN"/>
        </w:rPr>
        <w:t>3</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lang w:val="en-US" w:eastAsia="zh-CN"/>
        </w:rPr>
        <w:t>19</w:t>
      </w:r>
      <w:r>
        <w:rPr>
          <w:rFonts w:hint="eastAsia" w:cs="宋体" w:asciiTheme="minorEastAsia" w:hAnsiTheme="minorEastAsia" w:eastAsiaTheme="minorEastAsia"/>
          <w:color w:val="000000" w:themeColor="text1"/>
          <w:sz w:val="24"/>
        </w:rPr>
        <w:t>日</w:t>
      </w:r>
    </w:p>
    <w:p w14:paraId="574E9E3D">
      <w:pPr>
        <w:rPr>
          <w:rFonts w:cs="宋体" w:asciiTheme="minorEastAsia" w:hAnsiTheme="minorEastAsia" w:eastAsiaTheme="minorEastAsia"/>
          <w:color w:val="000000" w:themeColor="text1"/>
          <w:sz w:val="28"/>
          <w:szCs w:val="28"/>
        </w:rPr>
      </w:pPr>
    </w:p>
    <w:p w14:paraId="06ED9902">
      <w:pPr>
        <w:pStyle w:val="25"/>
        <w:adjustRightInd w:val="0"/>
        <w:spacing w:line="500" w:lineRule="exact"/>
        <w:ind w:firstLine="6000" w:firstLineChars="2500"/>
        <w:rPr>
          <w:rFonts w:ascii="宋体" w:hAnsi="宋体" w:cs="宋体"/>
          <w:color w:val="000000" w:themeColor="text1"/>
          <w:sz w:val="24"/>
          <w:szCs w:val="24"/>
        </w:rPr>
      </w:pPr>
    </w:p>
    <w:p w14:paraId="0D65BE78">
      <w:pPr>
        <w:pStyle w:val="25"/>
        <w:adjustRightInd w:val="0"/>
        <w:spacing w:line="500" w:lineRule="exact"/>
        <w:ind w:firstLine="6000" w:firstLineChars="2500"/>
        <w:rPr>
          <w:rFonts w:ascii="宋体" w:hAnsi="宋体" w:cs="宋体"/>
          <w:color w:val="000000" w:themeColor="text1"/>
          <w:sz w:val="24"/>
          <w:szCs w:val="24"/>
        </w:rPr>
      </w:pPr>
    </w:p>
    <w:p w14:paraId="14C3A6B5">
      <w:pPr>
        <w:pStyle w:val="25"/>
        <w:adjustRightInd w:val="0"/>
        <w:spacing w:line="500" w:lineRule="exact"/>
        <w:ind w:firstLine="6000" w:firstLineChars="2500"/>
        <w:rPr>
          <w:rFonts w:ascii="宋体" w:hAnsi="宋体" w:cs="宋体"/>
          <w:color w:val="000000" w:themeColor="text1"/>
          <w:sz w:val="24"/>
          <w:szCs w:val="24"/>
        </w:rPr>
      </w:pPr>
    </w:p>
    <w:p w14:paraId="6BC27C06">
      <w:pPr>
        <w:pStyle w:val="25"/>
        <w:adjustRightInd w:val="0"/>
        <w:spacing w:line="500" w:lineRule="exact"/>
        <w:ind w:firstLine="6000" w:firstLineChars="2500"/>
        <w:rPr>
          <w:rFonts w:ascii="宋体" w:hAnsi="宋体" w:cs="宋体"/>
          <w:color w:val="000000" w:themeColor="text1"/>
          <w:sz w:val="24"/>
          <w:szCs w:val="24"/>
        </w:rPr>
      </w:pPr>
    </w:p>
    <w:p w14:paraId="190E79FB">
      <w:pPr>
        <w:pStyle w:val="25"/>
        <w:adjustRightInd w:val="0"/>
        <w:spacing w:line="500" w:lineRule="exact"/>
        <w:ind w:firstLine="6000" w:firstLineChars="2500"/>
        <w:rPr>
          <w:rFonts w:ascii="宋体" w:hAnsi="宋体" w:cs="宋体"/>
          <w:color w:val="000000" w:themeColor="text1"/>
          <w:sz w:val="24"/>
          <w:szCs w:val="24"/>
        </w:rPr>
      </w:pPr>
    </w:p>
    <w:p w14:paraId="798A434C">
      <w:pPr>
        <w:pStyle w:val="25"/>
        <w:adjustRightInd w:val="0"/>
        <w:spacing w:line="500" w:lineRule="exact"/>
        <w:ind w:firstLine="6000" w:firstLineChars="2500"/>
        <w:rPr>
          <w:rFonts w:ascii="宋体" w:hAnsi="宋体" w:cs="宋体"/>
          <w:color w:val="000000" w:themeColor="text1"/>
          <w:sz w:val="24"/>
          <w:szCs w:val="24"/>
        </w:rPr>
      </w:pPr>
    </w:p>
    <w:p w14:paraId="0B09387D">
      <w:pPr>
        <w:pStyle w:val="25"/>
        <w:adjustRightInd w:val="0"/>
        <w:spacing w:line="500" w:lineRule="exact"/>
        <w:ind w:firstLine="6000" w:firstLineChars="2500"/>
        <w:rPr>
          <w:rFonts w:ascii="宋体" w:hAnsi="宋体" w:cs="宋体"/>
          <w:color w:val="000000" w:themeColor="text1"/>
          <w:sz w:val="24"/>
          <w:szCs w:val="24"/>
        </w:rPr>
      </w:pPr>
    </w:p>
    <w:p w14:paraId="2098CB6A">
      <w:pPr>
        <w:pStyle w:val="25"/>
        <w:adjustRightInd w:val="0"/>
        <w:spacing w:line="500" w:lineRule="exact"/>
        <w:ind w:firstLine="6000" w:firstLineChars="2500"/>
        <w:rPr>
          <w:rFonts w:ascii="宋体" w:hAnsi="宋体" w:cs="宋体"/>
          <w:color w:val="000000" w:themeColor="text1"/>
          <w:sz w:val="24"/>
          <w:szCs w:val="24"/>
        </w:rPr>
      </w:pPr>
    </w:p>
    <w:p w14:paraId="7DD0BE9C">
      <w:pPr>
        <w:pStyle w:val="25"/>
        <w:adjustRightInd w:val="0"/>
        <w:spacing w:line="500" w:lineRule="exact"/>
        <w:ind w:firstLine="6000" w:firstLineChars="2500"/>
        <w:rPr>
          <w:rFonts w:ascii="宋体" w:hAnsi="宋体" w:cs="宋体"/>
          <w:color w:val="000000" w:themeColor="text1"/>
          <w:sz w:val="24"/>
          <w:szCs w:val="24"/>
        </w:rPr>
      </w:pPr>
    </w:p>
    <w:p w14:paraId="6FF703BF">
      <w:pPr>
        <w:pStyle w:val="25"/>
        <w:adjustRightInd w:val="0"/>
        <w:spacing w:line="500" w:lineRule="exact"/>
        <w:ind w:firstLine="6000" w:firstLineChars="2500"/>
        <w:rPr>
          <w:rFonts w:ascii="宋体" w:hAnsi="宋体" w:cs="宋体"/>
          <w:color w:val="000000" w:themeColor="text1"/>
          <w:sz w:val="24"/>
          <w:szCs w:val="24"/>
        </w:rPr>
      </w:pPr>
    </w:p>
    <w:p w14:paraId="294A028B">
      <w:pPr>
        <w:pStyle w:val="25"/>
        <w:adjustRightInd w:val="0"/>
        <w:spacing w:line="500" w:lineRule="exact"/>
        <w:ind w:firstLine="6000" w:firstLineChars="2500"/>
        <w:rPr>
          <w:rFonts w:ascii="宋体" w:hAnsi="宋体" w:cs="宋体"/>
          <w:color w:val="000000" w:themeColor="text1"/>
          <w:sz w:val="24"/>
          <w:szCs w:val="24"/>
        </w:rPr>
      </w:pPr>
    </w:p>
    <w:p w14:paraId="6B62F511">
      <w:pPr>
        <w:pStyle w:val="25"/>
        <w:adjustRightInd w:val="0"/>
        <w:spacing w:line="500" w:lineRule="exact"/>
        <w:ind w:firstLine="6000" w:firstLineChars="2500"/>
        <w:rPr>
          <w:rFonts w:ascii="宋体" w:hAnsi="宋体" w:cs="宋体"/>
          <w:color w:val="000000" w:themeColor="text1"/>
          <w:sz w:val="24"/>
          <w:szCs w:val="24"/>
        </w:rPr>
      </w:pPr>
    </w:p>
    <w:p w14:paraId="3FCAFF3E">
      <w:pPr>
        <w:pStyle w:val="25"/>
        <w:adjustRightInd w:val="0"/>
        <w:spacing w:line="500" w:lineRule="exact"/>
        <w:ind w:firstLine="6000" w:firstLineChars="2500"/>
        <w:rPr>
          <w:rFonts w:ascii="宋体" w:hAnsi="宋体" w:cs="宋体"/>
          <w:color w:val="000000" w:themeColor="text1"/>
          <w:sz w:val="24"/>
          <w:szCs w:val="24"/>
        </w:rPr>
      </w:pPr>
    </w:p>
    <w:p w14:paraId="4F9407E2">
      <w:pPr>
        <w:pStyle w:val="25"/>
        <w:adjustRightInd w:val="0"/>
        <w:spacing w:line="500" w:lineRule="exact"/>
        <w:ind w:firstLine="6000" w:firstLineChars="2500"/>
        <w:rPr>
          <w:rFonts w:ascii="宋体" w:hAnsi="宋体" w:cs="宋体"/>
          <w:color w:val="000000" w:themeColor="text1"/>
          <w:sz w:val="24"/>
          <w:szCs w:val="24"/>
        </w:rPr>
      </w:pPr>
    </w:p>
    <w:p w14:paraId="412D2C6E">
      <w:pPr>
        <w:pStyle w:val="25"/>
        <w:adjustRightInd w:val="0"/>
        <w:spacing w:line="500" w:lineRule="exact"/>
        <w:ind w:firstLine="6000" w:firstLineChars="2500"/>
        <w:rPr>
          <w:rFonts w:ascii="宋体" w:hAnsi="宋体" w:cs="宋体"/>
          <w:color w:val="000000" w:themeColor="text1"/>
          <w:sz w:val="24"/>
          <w:szCs w:val="24"/>
        </w:rPr>
      </w:pPr>
    </w:p>
    <w:p w14:paraId="532883B4">
      <w:pPr>
        <w:pStyle w:val="4"/>
        <w:jc w:val="center"/>
        <w:rPr>
          <w:color w:val="000000" w:themeColor="text1"/>
        </w:rPr>
      </w:pPr>
      <w:bookmarkStart w:id="43" w:name="_Toc138765836"/>
      <w:r>
        <w:rPr>
          <w:rFonts w:hint="eastAsia"/>
          <w:color w:val="000000" w:themeColor="text1"/>
        </w:rPr>
        <w:t>第二章    供应商须知</w:t>
      </w:r>
      <w:bookmarkEnd w:id="43"/>
    </w:p>
    <w:tbl>
      <w:tblPr>
        <w:tblStyle w:val="32"/>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06847B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3F9F77DE">
            <w:pPr>
              <w:spacing w:line="440" w:lineRule="exact"/>
              <w:jc w:val="center"/>
              <w:rPr>
                <w:rFonts w:ascii="宋体" w:hAnsi="宋体"/>
                <w:color w:val="000000" w:themeColor="text1"/>
                <w:sz w:val="24"/>
              </w:rPr>
            </w:pPr>
            <w:r>
              <w:rPr>
                <w:rFonts w:hint="eastAsia" w:ascii="宋体" w:hAnsi="宋体" w:cs="楷体_GB2312"/>
                <w:color w:val="000000" w:themeColor="text1"/>
                <w:sz w:val="24"/>
              </w:rPr>
              <w:t>供应商须知前附表</w:t>
            </w:r>
          </w:p>
        </w:tc>
      </w:tr>
      <w:tr w14:paraId="7B818C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06940416">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1995" w:type="dxa"/>
            <w:vAlign w:val="center"/>
          </w:tcPr>
          <w:p w14:paraId="349E4C48">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条款</w:t>
            </w:r>
          </w:p>
        </w:tc>
        <w:tc>
          <w:tcPr>
            <w:tcW w:w="6615" w:type="dxa"/>
            <w:vAlign w:val="center"/>
          </w:tcPr>
          <w:p w14:paraId="147C520A">
            <w:pPr>
              <w:spacing w:line="440" w:lineRule="exact"/>
              <w:rPr>
                <w:rFonts w:ascii="宋体" w:hAnsi="宋体" w:cs="宋体"/>
                <w:color w:val="000000" w:themeColor="text1"/>
                <w:sz w:val="24"/>
              </w:rPr>
            </w:pPr>
            <w:r>
              <w:rPr>
                <w:rFonts w:hint="eastAsia" w:ascii="宋体" w:hAnsi="宋体" w:cs="宋体"/>
                <w:color w:val="000000" w:themeColor="text1"/>
                <w:sz w:val="24"/>
              </w:rPr>
              <w:t>内  容</w:t>
            </w:r>
          </w:p>
        </w:tc>
      </w:tr>
      <w:tr w14:paraId="550B84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164683C7">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701FB252">
            <w:pPr>
              <w:spacing w:line="440" w:lineRule="exact"/>
              <w:jc w:val="center"/>
              <w:rPr>
                <w:rFonts w:ascii="宋体" w:hAnsi="宋体" w:cs="宋体"/>
                <w:color w:val="000000" w:themeColor="text1"/>
                <w:sz w:val="24"/>
              </w:rPr>
            </w:pPr>
            <w:r>
              <w:rPr>
                <w:rFonts w:hint="eastAsia" w:ascii="宋体" w:hAnsi="宋体" w:cs="宋体"/>
                <w:color w:val="000000" w:themeColor="text1"/>
                <w:sz w:val="24"/>
              </w:rPr>
              <w:t>项目概况</w:t>
            </w:r>
          </w:p>
        </w:tc>
        <w:tc>
          <w:tcPr>
            <w:tcW w:w="6615" w:type="dxa"/>
            <w:vAlign w:val="center"/>
          </w:tcPr>
          <w:p w14:paraId="67A41ED7">
            <w:pPr>
              <w:spacing w:line="440" w:lineRule="exact"/>
              <w:rPr>
                <w:rFonts w:ascii="宋体" w:hAnsi="宋体" w:cs="宋体"/>
                <w:color w:val="000000" w:themeColor="text1"/>
                <w:sz w:val="24"/>
              </w:rPr>
            </w:pPr>
            <w:r>
              <w:rPr>
                <w:rFonts w:hint="eastAsia" w:ascii="宋体" w:hAnsi="宋体" w:cs="宋体"/>
                <w:color w:val="000000" w:themeColor="text1"/>
                <w:sz w:val="24"/>
              </w:rPr>
              <w:t>项目名称：河南省周口市西华县公安局西华县公安局红绿灯、道路交通技术监控设施、智能卡口维护项目</w:t>
            </w:r>
          </w:p>
          <w:p w14:paraId="2546016D">
            <w:pPr>
              <w:spacing w:line="440" w:lineRule="exact"/>
              <w:rPr>
                <w:rFonts w:ascii="宋体" w:hAnsi="宋体" w:cs="宋体"/>
                <w:color w:val="000000" w:themeColor="text1"/>
                <w:sz w:val="24"/>
              </w:rPr>
            </w:pPr>
            <w:r>
              <w:rPr>
                <w:rFonts w:hint="eastAsia" w:ascii="宋体" w:hAnsi="宋体" w:cs="宋体"/>
                <w:color w:val="000000" w:themeColor="text1"/>
                <w:sz w:val="24"/>
              </w:rPr>
              <w:t>采购内容：红绿灯、道路交通技术监控设施、智能卡口维护</w:t>
            </w:r>
            <w:r>
              <w:rPr>
                <w:rFonts w:hint="eastAsia" w:asciiTheme="minorEastAsia" w:hAnsiTheme="minorEastAsia" w:eastAsiaTheme="minorEastAsia" w:cstheme="minorEastAsia"/>
                <w:color w:val="000000" w:themeColor="text1"/>
                <w:sz w:val="24"/>
              </w:rPr>
              <w:t>（详见采购文件）</w:t>
            </w:r>
          </w:p>
          <w:p w14:paraId="75F833C6">
            <w:pPr>
              <w:spacing w:line="440" w:lineRule="exact"/>
              <w:rPr>
                <w:rFonts w:ascii="宋体" w:hAnsi="宋体" w:cs="宋体"/>
                <w:color w:val="000000" w:themeColor="text1"/>
                <w:sz w:val="24"/>
              </w:rPr>
            </w:pPr>
            <w:r>
              <w:rPr>
                <w:rFonts w:hint="eastAsia" w:ascii="宋体" w:hAnsi="宋体" w:cs="宋体"/>
                <w:color w:val="000000" w:themeColor="text1"/>
                <w:sz w:val="24"/>
              </w:rPr>
              <w:t>采购人：西华县公安局</w:t>
            </w:r>
          </w:p>
          <w:p w14:paraId="718F3D32">
            <w:pPr>
              <w:spacing w:line="440" w:lineRule="exact"/>
              <w:rPr>
                <w:rFonts w:ascii="宋体" w:hAnsi="宋体" w:cs="宋体"/>
                <w:color w:val="000000" w:themeColor="text1"/>
                <w:sz w:val="24"/>
              </w:rPr>
            </w:pPr>
            <w:r>
              <w:rPr>
                <w:rFonts w:hint="eastAsia" w:ascii="宋体" w:hAnsi="宋体" w:cs="宋体"/>
                <w:color w:val="000000" w:themeColor="text1"/>
                <w:sz w:val="24"/>
              </w:rPr>
              <w:t>采购代理机构：周口市公共资源交易中心政府采购中心</w:t>
            </w:r>
          </w:p>
        </w:tc>
      </w:tr>
      <w:tr w14:paraId="18D106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51419C30">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1E004191">
            <w:pPr>
              <w:spacing w:before="156" w:beforeLines="50" w:line="440" w:lineRule="exact"/>
              <w:ind w:left="-4" w:leftChars="-4" w:hanging="4" w:hangingChars="2"/>
              <w:jc w:val="center"/>
              <w:rPr>
                <w:rFonts w:ascii="宋体" w:hAnsi="宋体" w:cs="宋体"/>
                <w:color w:val="000000" w:themeColor="text1"/>
                <w:sz w:val="24"/>
              </w:rPr>
            </w:pPr>
            <w:r>
              <w:rPr>
                <w:rFonts w:hint="eastAsia" w:ascii="宋体" w:hAnsi="宋体" w:cs="宋体"/>
                <w:color w:val="000000" w:themeColor="text1"/>
                <w:sz w:val="24"/>
              </w:rPr>
              <w:t>对供应商的资格要求</w:t>
            </w:r>
          </w:p>
        </w:tc>
        <w:tc>
          <w:tcPr>
            <w:tcW w:w="6615" w:type="dxa"/>
            <w:vAlign w:val="center"/>
          </w:tcPr>
          <w:p w14:paraId="7ACA83FF">
            <w:pPr>
              <w:spacing w:before="156" w:beforeLines="50" w:line="440" w:lineRule="exact"/>
              <w:ind w:left="-4" w:leftChars="-4" w:hanging="4" w:hangingChars="2"/>
              <w:rPr>
                <w:rFonts w:ascii="宋体" w:hAnsi="宋体" w:cs="宋体"/>
                <w:color w:val="000000" w:themeColor="text1"/>
                <w:sz w:val="24"/>
              </w:rPr>
            </w:pPr>
            <w:r>
              <w:rPr>
                <w:rFonts w:hint="eastAsia" w:ascii="宋体" w:hAnsi="宋体" w:cs="宋体"/>
                <w:color w:val="000000" w:themeColor="text1"/>
                <w:sz w:val="24"/>
              </w:rPr>
              <w:t>见竞争性磋商邀请函</w:t>
            </w:r>
          </w:p>
        </w:tc>
      </w:tr>
      <w:tr w14:paraId="16F2F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1E7EE5EB">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494656A9">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报价费用</w:t>
            </w:r>
          </w:p>
        </w:tc>
        <w:tc>
          <w:tcPr>
            <w:tcW w:w="6615" w:type="dxa"/>
            <w:vAlign w:val="center"/>
          </w:tcPr>
          <w:p w14:paraId="564CE43A">
            <w:pPr>
              <w:spacing w:line="440" w:lineRule="exact"/>
              <w:rPr>
                <w:rFonts w:ascii="宋体" w:hAnsi="宋体" w:cs="宋体"/>
                <w:color w:val="000000" w:themeColor="text1"/>
                <w:sz w:val="24"/>
              </w:rPr>
            </w:pPr>
            <w:r>
              <w:rPr>
                <w:rFonts w:hint="eastAsia" w:ascii="宋体" w:hAnsi="宋体" w:cs="宋体"/>
                <w:color w:val="000000" w:themeColor="text1"/>
                <w:sz w:val="24"/>
              </w:rPr>
              <w:t>无论报价和磋商的过程和结果如何，供应商自行承担所有与参加报价及磋商有关活动的全部费用。</w:t>
            </w:r>
          </w:p>
        </w:tc>
      </w:tr>
      <w:tr w14:paraId="513295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06F43469">
            <w:pPr>
              <w:numPr>
                <w:ilvl w:val="0"/>
                <w:numId w:val="1"/>
              </w:numPr>
              <w:spacing w:before="156" w:beforeLines="50" w:line="440" w:lineRule="exact"/>
              <w:rPr>
                <w:rFonts w:ascii="宋体" w:hAnsi="宋体" w:cs="宋体"/>
                <w:color w:val="000000" w:themeColor="text1"/>
                <w:sz w:val="24"/>
              </w:rPr>
            </w:pPr>
          </w:p>
        </w:tc>
        <w:tc>
          <w:tcPr>
            <w:tcW w:w="1995" w:type="dxa"/>
            <w:vAlign w:val="center"/>
          </w:tcPr>
          <w:p w14:paraId="35E7A265">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响应文件语言</w:t>
            </w:r>
          </w:p>
        </w:tc>
        <w:tc>
          <w:tcPr>
            <w:tcW w:w="6615" w:type="dxa"/>
            <w:vAlign w:val="center"/>
          </w:tcPr>
          <w:p w14:paraId="23E82861">
            <w:pPr>
              <w:snapToGrid w:val="0"/>
              <w:spacing w:line="440" w:lineRule="exact"/>
              <w:rPr>
                <w:rFonts w:ascii="宋体" w:hAnsi="宋体" w:cs="宋体"/>
                <w:color w:val="000000" w:themeColor="text1"/>
                <w:sz w:val="24"/>
              </w:rPr>
            </w:pPr>
            <w:r>
              <w:rPr>
                <w:rFonts w:hint="eastAsia" w:ascii="宋体" w:hAnsi="宋体" w:cs="宋体"/>
                <w:color w:val="000000" w:themeColor="text1"/>
                <w:sz w:val="24"/>
              </w:rPr>
              <w:t>中文</w:t>
            </w:r>
          </w:p>
        </w:tc>
      </w:tr>
      <w:tr w14:paraId="16DE5A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50A21042">
            <w:pPr>
              <w:numPr>
                <w:ilvl w:val="0"/>
                <w:numId w:val="1"/>
              </w:numPr>
              <w:spacing w:before="156" w:beforeLines="50" w:line="440" w:lineRule="exact"/>
              <w:rPr>
                <w:rFonts w:ascii="宋体" w:hAnsi="宋体" w:cs="宋体"/>
                <w:color w:val="000000" w:themeColor="text1"/>
                <w:sz w:val="24"/>
              </w:rPr>
            </w:pPr>
          </w:p>
        </w:tc>
        <w:tc>
          <w:tcPr>
            <w:tcW w:w="1995" w:type="dxa"/>
            <w:vAlign w:val="center"/>
          </w:tcPr>
          <w:p w14:paraId="79B8D437">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报价货币</w:t>
            </w:r>
          </w:p>
        </w:tc>
        <w:tc>
          <w:tcPr>
            <w:tcW w:w="6615" w:type="dxa"/>
            <w:vAlign w:val="center"/>
          </w:tcPr>
          <w:p w14:paraId="584B8082">
            <w:pPr>
              <w:spacing w:line="440" w:lineRule="exact"/>
              <w:rPr>
                <w:rFonts w:ascii="宋体" w:hAnsi="宋体" w:cs="宋体"/>
                <w:color w:val="000000" w:themeColor="text1"/>
                <w:sz w:val="24"/>
              </w:rPr>
            </w:pPr>
            <w:r>
              <w:rPr>
                <w:rFonts w:hint="eastAsia" w:ascii="宋体" w:hAnsi="宋体" w:cs="宋体"/>
                <w:color w:val="000000" w:themeColor="text1"/>
                <w:sz w:val="24"/>
              </w:rPr>
              <w:t>人民币</w:t>
            </w:r>
          </w:p>
        </w:tc>
      </w:tr>
      <w:tr w14:paraId="518F5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7690DB73">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193E2BDE">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报价范围及说明</w:t>
            </w:r>
          </w:p>
        </w:tc>
        <w:tc>
          <w:tcPr>
            <w:tcW w:w="6615" w:type="dxa"/>
            <w:vAlign w:val="center"/>
          </w:tcPr>
          <w:p w14:paraId="17106394">
            <w:pPr>
              <w:spacing w:line="440" w:lineRule="exact"/>
              <w:rPr>
                <w:rFonts w:ascii="宋体" w:hAnsi="宋体" w:cs="宋体"/>
                <w:color w:val="000000" w:themeColor="text1"/>
                <w:sz w:val="24"/>
              </w:rPr>
            </w:pPr>
            <w:r>
              <w:rPr>
                <w:rFonts w:hint="eastAsia" w:ascii="宋体" w:hAnsi="宋体" w:cs="宋体"/>
                <w:color w:val="000000" w:themeColor="text1"/>
                <w:sz w:val="24"/>
              </w:rPr>
              <w:t>报价包括本项目所招标的服务、保险、税费、验收等（采购项目技术规格、参数及要求）</w:t>
            </w:r>
          </w:p>
        </w:tc>
      </w:tr>
      <w:tr w14:paraId="3C96F6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088370F3">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2D4A3E29">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响应文件有效期</w:t>
            </w:r>
          </w:p>
        </w:tc>
        <w:tc>
          <w:tcPr>
            <w:tcW w:w="6615" w:type="dxa"/>
            <w:vAlign w:val="center"/>
          </w:tcPr>
          <w:p w14:paraId="17743630">
            <w:pPr>
              <w:spacing w:line="440" w:lineRule="exact"/>
              <w:rPr>
                <w:rFonts w:ascii="宋体" w:hAnsi="宋体" w:cs="宋体"/>
                <w:color w:val="000000" w:themeColor="text1"/>
                <w:sz w:val="24"/>
              </w:rPr>
            </w:pPr>
            <w:r>
              <w:rPr>
                <w:rFonts w:hint="eastAsia" w:ascii="宋体" w:hAnsi="宋体" w:cs="宋体"/>
                <w:color w:val="000000" w:themeColor="text1"/>
                <w:sz w:val="24"/>
              </w:rPr>
              <w:t>响应文件递交截止期后60日内有效</w:t>
            </w:r>
          </w:p>
        </w:tc>
      </w:tr>
      <w:tr w14:paraId="28401E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6DED6724">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3B662708">
            <w:pPr>
              <w:tabs>
                <w:tab w:val="left" w:pos="8640"/>
              </w:tabs>
              <w:spacing w:before="156" w:beforeLines="50" w:line="440" w:lineRule="exact"/>
              <w:ind w:left="-2" w:leftChars="-1"/>
              <w:jc w:val="center"/>
              <w:rPr>
                <w:rFonts w:ascii="宋体" w:hAnsi="宋体" w:cs="宋体"/>
                <w:color w:val="000000" w:themeColor="text1"/>
                <w:sz w:val="24"/>
              </w:rPr>
            </w:pPr>
            <w:r>
              <w:rPr>
                <w:rFonts w:hint="eastAsia" w:ascii="宋体" w:hAnsi="宋体" w:cs="宋体"/>
                <w:color w:val="000000" w:themeColor="text1"/>
                <w:sz w:val="24"/>
              </w:rPr>
              <w:t>响应文件的组成</w:t>
            </w:r>
          </w:p>
        </w:tc>
        <w:tc>
          <w:tcPr>
            <w:tcW w:w="6615" w:type="dxa"/>
            <w:vAlign w:val="center"/>
          </w:tcPr>
          <w:p w14:paraId="55AA3C3F">
            <w:pPr>
              <w:spacing w:line="440" w:lineRule="exact"/>
              <w:rPr>
                <w:rFonts w:ascii="宋体" w:hAnsi="宋体" w:cs="宋体"/>
                <w:color w:val="000000" w:themeColor="text1"/>
                <w:sz w:val="24"/>
              </w:rPr>
            </w:pPr>
            <w:r>
              <w:rPr>
                <w:rFonts w:hint="eastAsia" w:ascii="宋体" w:hAnsi="宋体" w:cs="宋体"/>
                <w:color w:val="000000" w:themeColor="text1"/>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70E04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57E66C3D">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31B2ADFB">
            <w:pPr>
              <w:tabs>
                <w:tab w:val="left" w:pos="8640"/>
              </w:tabs>
              <w:spacing w:before="156" w:beforeLines="50" w:line="440" w:lineRule="exact"/>
              <w:ind w:left="-2" w:leftChars="-1"/>
              <w:jc w:val="center"/>
              <w:rPr>
                <w:rFonts w:ascii="宋体" w:hAnsi="宋体" w:cs="宋体"/>
                <w:color w:val="000000" w:themeColor="text1"/>
                <w:sz w:val="24"/>
              </w:rPr>
            </w:pPr>
            <w:r>
              <w:rPr>
                <w:rFonts w:hint="eastAsia" w:ascii="宋体" w:hAnsi="宋体" w:cs="宋体"/>
                <w:color w:val="000000" w:themeColor="text1"/>
                <w:sz w:val="24"/>
              </w:rPr>
              <w:t>响应文件封面要求</w:t>
            </w:r>
          </w:p>
        </w:tc>
        <w:tc>
          <w:tcPr>
            <w:tcW w:w="6615" w:type="dxa"/>
            <w:vAlign w:val="center"/>
          </w:tcPr>
          <w:p w14:paraId="5AD9849C">
            <w:pPr>
              <w:tabs>
                <w:tab w:val="left" w:pos="8640"/>
              </w:tabs>
              <w:spacing w:line="440" w:lineRule="exact"/>
              <w:rPr>
                <w:rFonts w:ascii="宋体" w:hAnsi="宋体" w:cs="宋体"/>
                <w:color w:val="000000" w:themeColor="text1"/>
                <w:sz w:val="24"/>
              </w:rPr>
            </w:pPr>
            <w:r>
              <w:rPr>
                <w:rFonts w:hint="eastAsia" w:ascii="宋体" w:hAnsi="宋体" w:cs="宋体"/>
                <w:color w:val="000000" w:themeColor="text1"/>
                <w:sz w:val="24"/>
              </w:rPr>
              <w:t>无</w:t>
            </w:r>
          </w:p>
        </w:tc>
      </w:tr>
      <w:tr w14:paraId="031B9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FFAAFCA">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3CAD3770">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响应文件份数要求</w:t>
            </w:r>
          </w:p>
        </w:tc>
        <w:tc>
          <w:tcPr>
            <w:tcW w:w="6615" w:type="dxa"/>
            <w:vAlign w:val="center"/>
          </w:tcPr>
          <w:p w14:paraId="0117C781">
            <w:pPr>
              <w:tabs>
                <w:tab w:val="left" w:pos="8640"/>
              </w:tabs>
              <w:spacing w:line="440" w:lineRule="exact"/>
              <w:ind w:left="-2" w:leftChars="-1"/>
              <w:rPr>
                <w:rFonts w:ascii="宋体" w:hAnsi="宋体" w:cs="宋体"/>
                <w:color w:val="000000" w:themeColor="text1"/>
                <w:sz w:val="24"/>
              </w:rPr>
            </w:pPr>
            <w:r>
              <w:rPr>
                <w:rFonts w:hint="eastAsia" w:ascii="宋体" w:hAnsi="宋体" w:cs="宋体"/>
                <w:color w:val="000000" w:themeColor="text1"/>
                <w:sz w:val="24"/>
              </w:rPr>
              <w:t>加密的电子投标文件须在投标截止时间前成功上传</w:t>
            </w:r>
          </w:p>
        </w:tc>
      </w:tr>
      <w:tr w14:paraId="006D6B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C51A506">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7D04C141">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响应文件装订和密封要求</w:t>
            </w:r>
          </w:p>
        </w:tc>
        <w:tc>
          <w:tcPr>
            <w:tcW w:w="6615" w:type="dxa"/>
            <w:vAlign w:val="center"/>
          </w:tcPr>
          <w:p w14:paraId="51AAC4B1">
            <w:pPr>
              <w:spacing w:line="440" w:lineRule="exact"/>
              <w:rPr>
                <w:rFonts w:ascii="宋体" w:hAnsi="宋体" w:cs="宋体"/>
                <w:color w:val="000000" w:themeColor="text1"/>
                <w:sz w:val="24"/>
              </w:rPr>
            </w:pPr>
            <w:r>
              <w:rPr>
                <w:rFonts w:hint="eastAsia" w:ascii="宋体" w:hAnsi="宋体" w:cs="宋体"/>
                <w:color w:val="000000" w:themeColor="text1"/>
                <w:sz w:val="24"/>
              </w:rPr>
              <w:t>无</w:t>
            </w:r>
          </w:p>
        </w:tc>
      </w:tr>
      <w:tr w14:paraId="03943A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A82BA3B">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68223B2D">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竞争性磋商文件的澄清</w:t>
            </w:r>
          </w:p>
        </w:tc>
        <w:tc>
          <w:tcPr>
            <w:tcW w:w="6615" w:type="dxa"/>
            <w:vAlign w:val="center"/>
          </w:tcPr>
          <w:p w14:paraId="2AC15495">
            <w:pPr>
              <w:spacing w:line="440" w:lineRule="exact"/>
              <w:rPr>
                <w:rFonts w:ascii="宋体" w:hAnsi="宋体" w:cs="宋体"/>
                <w:color w:val="000000" w:themeColor="text1"/>
                <w:sz w:val="24"/>
              </w:rPr>
            </w:pPr>
            <w:r>
              <w:rPr>
                <w:rFonts w:hint="eastAsia" w:ascii="宋体" w:hAnsi="宋体" w:cs="宋体"/>
                <w:color w:val="000000" w:themeColor="text1"/>
                <w:sz w:val="24"/>
              </w:rPr>
              <w:t>对竞争性磋商文件进行的澄清，以网上公告的方式通知供应商。澄清或修改的内容可能影响响应文件编制的，采购人、采购代理机构应当在提交响应文件截止时间至少5日前。</w:t>
            </w:r>
          </w:p>
        </w:tc>
      </w:tr>
      <w:tr w14:paraId="2D5E26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39B97346">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4E499A20">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响应文件递交截止时间</w:t>
            </w:r>
          </w:p>
        </w:tc>
        <w:tc>
          <w:tcPr>
            <w:tcW w:w="6615" w:type="dxa"/>
            <w:vAlign w:val="center"/>
          </w:tcPr>
          <w:p w14:paraId="22F26663">
            <w:pPr>
              <w:spacing w:line="440" w:lineRule="exact"/>
              <w:rPr>
                <w:rFonts w:ascii="宋体" w:hAnsi="宋体" w:cs="宋体"/>
                <w:color w:val="000000" w:themeColor="text1"/>
                <w:sz w:val="24"/>
              </w:rPr>
            </w:pPr>
            <w:r>
              <w:rPr>
                <w:rFonts w:hint="eastAsia" w:ascii="宋体" w:hAnsi="宋体" w:cs="宋体"/>
                <w:color w:val="000000" w:themeColor="text1"/>
                <w:sz w:val="24"/>
              </w:rPr>
              <w:t xml:space="preserve">2025年  月  日10点00分 （见磋商公告） </w:t>
            </w:r>
          </w:p>
        </w:tc>
      </w:tr>
      <w:tr w14:paraId="4011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6B45C28">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2C29262A">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响应文件递交地点</w:t>
            </w:r>
          </w:p>
        </w:tc>
        <w:tc>
          <w:tcPr>
            <w:tcW w:w="6615" w:type="dxa"/>
            <w:vAlign w:val="center"/>
          </w:tcPr>
          <w:p w14:paraId="21332FE8">
            <w:pPr>
              <w:spacing w:line="440" w:lineRule="exact"/>
              <w:rPr>
                <w:rFonts w:ascii="宋体" w:hAnsi="宋体" w:cs="宋体"/>
                <w:color w:val="000000" w:themeColor="text1"/>
                <w:sz w:val="24"/>
              </w:rPr>
            </w:pPr>
            <w:r>
              <w:rPr>
                <w:rFonts w:hint="eastAsia" w:ascii="宋体" w:hAnsi="宋体" w:cs="宋体"/>
                <w:color w:val="000000" w:themeColor="text1"/>
                <w:sz w:val="24"/>
              </w:rPr>
              <w:t>周口市公共资源交易中心网</w:t>
            </w:r>
          </w:p>
          <w:p w14:paraId="6E923AD4">
            <w:pPr>
              <w:spacing w:line="440" w:lineRule="exact"/>
              <w:rPr>
                <w:rFonts w:ascii="宋体" w:hAnsi="宋体" w:cs="宋体"/>
                <w:color w:val="000000" w:themeColor="text1"/>
                <w:sz w:val="24"/>
              </w:rPr>
            </w:pPr>
            <w:r>
              <w:rPr>
                <w:rFonts w:hint="eastAsia" w:ascii="宋体" w:hAnsi="宋体" w:cs="宋体"/>
                <w:color w:val="000000" w:themeColor="text1"/>
                <w:sz w:val="24"/>
              </w:rPr>
              <w:t>网址：周口市公共资源电子交易服务平台会员系统（网址http://jyzx.zhoukou.gov.cn）</w:t>
            </w:r>
          </w:p>
          <w:p w14:paraId="66211B72">
            <w:pPr>
              <w:spacing w:line="440" w:lineRule="exact"/>
              <w:rPr>
                <w:rFonts w:ascii="宋体" w:hAnsi="宋体" w:cs="宋体"/>
                <w:color w:val="000000" w:themeColor="text1"/>
                <w:sz w:val="24"/>
              </w:rPr>
            </w:pPr>
            <w:r>
              <w:rPr>
                <w:rFonts w:hint="eastAsia" w:ascii="宋体" w:hAnsi="宋体" w:cs="宋体"/>
                <w:color w:val="000000" w:themeColor="text1"/>
                <w:sz w:val="24"/>
              </w:rPr>
              <w:t>（本项目实行网上远程开标无须到现场提交响应文件）</w:t>
            </w:r>
          </w:p>
        </w:tc>
      </w:tr>
      <w:tr w14:paraId="4FF1B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3BBE2071">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77AB681D">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磋商时间</w:t>
            </w:r>
          </w:p>
        </w:tc>
        <w:tc>
          <w:tcPr>
            <w:tcW w:w="6615" w:type="dxa"/>
            <w:vAlign w:val="center"/>
          </w:tcPr>
          <w:p w14:paraId="1CB59FA9">
            <w:pPr>
              <w:spacing w:line="440" w:lineRule="exact"/>
              <w:rPr>
                <w:rFonts w:ascii="宋体" w:hAnsi="宋体" w:cs="宋体"/>
                <w:color w:val="000000" w:themeColor="text1"/>
                <w:sz w:val="24"/>
              </w:rPr>
            </w:pPr>
            <w:r>
              <w:rPr>
                <w:rFonts w:hint="eastAsia" w:ascii="宋体" w:hAnsi="宋体" w:cs="宋体"/>
                <w:color w:val="000000" w:themeColor="text1"/>
                <w:sz w:val="24"/>
              </w:rPr>
              <w:t xml:space="preserve">2025年  月  日10点00分见磋商公告  </w:t>
            </w:r>
          </w:p>
        </w:tc>
      </w:tr>
      <w:tr w14:paraId="3554D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4987CC3A">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5DCB1056">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磋商程序和内容</w:t>
            </w:r>
          </w:p>
        </w:tc>
        <w:tc>
          <w:tcPr>
            <w:tcW w:w="6615" w:type="dxa"/>
            <w:vAlign w:val="center"/>
          </w:tcPr>
          <w:p w14:paraId="5B1987CB">
            <w:pPr>
              <w:tabs>
                <w:tab w:val="left" w:pos="8640"/>
              </w:tabs>
              <w:spacing w:line="440" w:lineRule="exact"/>
              <w:rPr>
                <w:rFonts w:ascii="宋体" w:hAnsi="宋体" w:cs="宋体"/>
                <w:color w:val="000000" w:themeColor="text1"/>
                <w:sz w:val="24"/>
              </w:rPr>
            </w:pPr>
            <w:r>
              <w:rPr>
                <w:rFonts w:hint="eastAsia" w:ascii="宋体" w:hAnsi="宋体" w:cs="宋体"/>
                <w:color w:val="000000" w:themeColor="text1"/>
                <w:sz w:val="24"/>
              </w:rPr>
              <w:t>详见磋商文件第二章</w:t>
            </w:r>
          </w:p>
        </w:tc>
      </w:tr>
      <w:tr w14:paraId="6ABC9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71418363">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1E310B76">
            <w:pPr>
              <w:spacing w:before="156" w:beforeLines="50" w:line="440" w:lineRule="exact"/>
              <w:jc w:val="center"/>
              <w:rPr>
                <w:rFonts w:ascii="宋体" w:hAnsi="宋体" w:cs="宋体"/>
                <w:color w:val="000000" w:themeColor="text1"/>
                <w:sz w:val="24"/>
              </w:rPr>
            </w:pPr>
            <w:r>
              <w:rPr>
                <w:rFonts w:hint="eastAsia" w:ascii="宋体" w:hAnsi="宋体" w:cs="宋体"/>
                <w:color w:val="000000" w:themeColor="text1"/>
                <w:sz w:val="24"/>
              </w:rPr>
              <w:t>授予合同</w:t>
            </w:r>
          </w:p>
        </w:tc>
        <w:tc>
          <w:tcPr>
            <w:tcW w:w="6615" w:type="dxa"/>
            <w:vAlign w:val="center"/>
          </w:tcPr>
          <w:p w14:paraId="68F3E52F">
            <w:pPr>
              <w:tabs>
                <w:tab w:val="left" w:pos="8640"/>
              </w:tabs>
              <w:spacing w:line="440" w:lineRule="exact"/>
              <w:jc w:val="left"/>
              <w:rPr>
                <w:rFonts w:ascii="宋体" w:hAnsi="宋体" w:cs="宋体"/>
                <w:color w:val="000000" w:themeColor="text1"/>
                <w:sz w:val="24"/>
              </w:rPr>
            </w:pPr>
            <w:r>
              <w:rPr>
                <w:rFonts w:hint="eastAsia" w:ascii="宋体" w:hAnsi="宋体" w:cs="宋体"/>
                <w:color w:val="000000" w:themeColor="text1"/>
                <w:sz w:val="24"/>
              </w:rPr>
              <w:t>采购人根据磋商小组的推荐意见，确定成交供应商。采购代理机构向成交供应商发出成交通知书。</w:t>
            </w:r>
          </w:p>
        </w:tc>
      </w:tr>
      <w:tr w14:paraId="0DC3C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0BC2E133">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129F855C">
            <w:pPr>
              <w:spacing w:before="156" w:beforeLines="50" w:line="440" w:lineRule="exact"/>
              <w:ind w:firstLine="14" w:firstLineChars="6"/>
              <w:jc w:val="center"/>
              <w:rPr>
                <w:rFonts w:ascii="宋体" w:hAnsi="宋体" w:cs="宋体"/>
                <w:color w:val="000000" w:themeColor="text1"/>
                <w:sz w:val="24"/>
              </w:rPr>
            </w:pPr>
            <w:r>
              <w:rPr>
                <w:rFonts w:hint="eastAsia" w:ascii="宋体" w:hAnsi="宋体" w:cs="宋体"/>
                <w:color w:val="000000" w:themeColor="text1"/>
                <w:sz w:val="24"/>
              </w:rPr>
              <w:t>签订合同</w:t>
            </w:r>
          </w:p>
        </w:tc>
        <w:tc>
          <w:tcPr>
            <w:tcW w:w="6615" w:type="dxa"/>
            <w:vAlign w:val="center"/>
          </w:tcPr>
          <w:p w14:paraId="037C8C34">
            <w:pPr>
              <w:tabs>
                <w:tab w:val="left" w:pos="8640"/>
              </w:tabs>
              <w:spacing w:line="440" w:lineRule="exact"/>
              <w:ind w:left="-2" w:leftChars="-1"/>
              <w:rPr>
                <w:rFonts w:ascii="宋体" w:hAnsi="宋体" w:cs="宋体"/>
                <w:color w:val="000000" w:themeColor="text1"/>
                <w:sz w:val="24"/>
              </w:rPr>
            </w:pPr>
            <w:r>
              <w:rPr>
                <w:rFonts w:hint="eastAsia" w:ascii="宋体" w:hAnsi="宋体" w:cs="宋体"/>
                <w:color w:val="000000" w:themeColor="text1"/>
                <w:sz w:val="24"/>
              </w:rPr>
              <w:t>1）接到成交通知书30天内，成交供应商应与采购人签订采购合同。</w:t>
            </w:r>
          </w:p>
          <w:p w14:paraId="6590939F">
            <w:pPr>
              <w:tabs>
                <w:tab w:val="left" w:pos="8640"/>
              </w:tabs>
              <w:spacing w:line="440" w:lineRule="exact"/>
              <w:ind w:left="-2" w:leftChars="-1"/>
              <w:rPr>
                <w:rFonts w:ascii="宋体" w:hAnsi="宋体" w:cs="宋体"/>
                <w:color w:val="000000" w:themeColor="text1"/>
                <w:sz w:val="24"/>
              </w:rPr>
            </w:pPr>
            <w:r>
              <w:rPr>
                <w:rFonts w:hint="eastAsia" w:ascii="宋体" w:hAnsi="宋体" w:cs="宋体"/>
                <w:color w:val="000000" w:themeColor="text1"/>
                <w:sz w:val="24"/>
              </w:rPr>
              <w:t>2）本磋商文件、响应文件及磋商、评审过程中有关澄清、承诺文件的内容，将作为签订合同的主要内容。</w:t>
            </w:r>
          </w:p>
        </w:tc>
      </w:tr>
      <w:tr w14:paraId="7FCE9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07E72CA">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00FF8C11">
            <w:pPr>
              <w:spacing w:before="156" w:beforeLines="50" w:line="440" w:lineRule="exact"/>
              <w:ind w:firstLine="14" w:firstLineChars="6"/>
              <w:jc w:val="center"/>
              <w:rPr>
                <w:rFonts w:ascii="宋体" w:hAnsi="宋体" w:cs="宋体"/>
                <w:color w:val="000000" w:themeColor="text1"/>
                <w:sz w:val="24"/>
              </w:rPr>
            </w:pPr>
            <w:r>
              <w:rPr>
                <w:rFonts w:hint="eastAsia" w:ascii="宋体" w:hAnsi="宋体" w:cs="宋体"/>
                <w:color w:val="000000" w:themeColor="text1"/>
                <w:sz w:val="24"/>
              </w:rPr>
              <w:t>投标保证金</w:t>
            </w:r>
          </w:p>
        </w:tc>
        <w:tc>
          <w:tcPr>
            <w:tcW w:w="6615" w:type="dxa"/>
            <w:vAlign w:val="center"/>
          </w:tcPr>
          <w:p w14:paraId="6428AFB4">
            <w:pPr>
              <w:tabs>
                <w:tab w:val="left" w:pos="8640"/>
              </w:tabs>
              <w:spacing w:line="440" w:lineRule="exact"/>
              <w:ind w:left="-2" w:leftChars="-1"/>
              <w:rPr>
                <w:rFonts w:ascii="宋体" w:hAnsi="宋体" w:cs="宋体"/>
                <w:color w:val="000000" w:themeColor="text1"/>
                <w:sz w:val="24"/>
              </w:rPr>
            </w:pPr>
            <w:r>
              <w:rPr>
                <w:rFonts w:hint="eastAsia" w:ascii="宋体" w:hAnsi="宋体" w:cs="宋体"/>
                <w:color w:val="000000" w:themeColor="text1"/>
                <w:sz w:val="24"/>
              </w:rPr>
              <w:t>不需要缴纳投标保证金（按照相关文件要求货物、服务类政府采购活动不收取投标保证金、履约、质量保证金、合同中预留资金作为质量保证金等无法律依据的保证金。政府采购工程推广以承诺书替代保证金）。</w:t>
            </w:r>
          </w:p>
        </w:tc>
      </w:tr>
      <w:tr w14:paraId="783CA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44CE1C1">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01131353">
            <w:pPr>
              <w:spacing w:line="440" w:lineRule="exact"/>
              <w:jc w:val="center"/>
              <w:rPr>
                <w:rFonts w:ascii="宋体" w:hAnsi="宋体" w:cs="宋体"/>
                <w:color w:val="000000" w:themeColor="text1"/>
                <w:sz w:val="24"/>
              </w:rPr>
            </w:pPr>
            <w:r>
              <w:rPr>
                <w:rFonts w:hint="eastAsia" w:ascii="宋体" w:hAnsi="宋体" w:cs="宋体"/>
                <w:color w:val="000000" w:themeColor="text1"/>
                <w:sz w:val="24"/>
              </w:rPr>
              <w:t>服务期限</w:t>
            </w:r>
          </w:p>
        </w:tc>
        <w:tc>
          <w:tcPr>
            <w:tcW w:w="6615" w:type="dxa"/>
            <w:vAlign w:val="center"/>
          </w:tcPr>
          <w:p w14:paraId="68F6DBEC">
            <w:pPr>
              <w:spacing w:line="440" w:lineRule="exact"/>
              <w:jc w:val="left"/>
              <w:rPr>
                <w:rFonts w:ascii="宋体" w:hAnsi="宋体" w:cs="宋体"/>
                <w:color w:val="000000" w:themeColor="text1"/>
                <w:sz w:val="24"/>
              </w:rPr>
            </w:pPr>
            <w:r>
              <w:rPr>
                <w:rFonts w:hint="eastAsia" w:ascii="宋体" w:hAnsi="宋体" w:cs="宋体"/>
                <w:color w:val="000000" w:themeColor="text1"/>
                <w:sz w:val="24"/>
              </w:rPr>
              <w:t>一年</w:t>
            </w:r>
          </w:p>
        </w:tc>
      </w:tr>
      <w:tr w14:paraId="3FC54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416AA1BF">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584D4FC4">
            <w:pPr>
              <w:spacing w:before="156" w:beforeLines="50" w:line="440" w:lineRule="exact"/>
              <w:ind w:firstLine="14" w:firstLineChars="6"/>
              <w:jc w:val="center"/>
              <w:rPr>
                <w:rFonts w:ascii="宋体" w:hAnsi="宋体" w:cs="宋体"/>
                <w:color w:val="000000" w:themeColor="text1"/>
                <w:sz w:val="24"/>
              </w:rPr>
            </w:pPr>
            <w:r>
              <w:rPr>
                <w:rFonts w:hint="eastAsia" w:ascii="宋体" w:hAnsi="宋体" w:cs="宋体"/>
                <w:color w:val="000000" w:themeColor="text1"/>
                <w:sz w:val="24"/>
              </w:rPr>
              <w:t>付款方式（要求详细填写）</w:t>
            </w:r>
          </w:p>
        </w:tc>
        <w:tc>
          <w:tcPr>
            <w:tcW w:w="6615" w:type="dxa"/>
            <w:vAlign w:val="center"/>
          </w:tcPr>
          <w:p w14:paraId="23E6AD26">
            <w:pPr>
              <w:ind w:firstLine="480" w:firstLineChars="200"/>
              <w:rPr>
                <w:color w:val="000000" w:themeColor="text1"/>
                <w:sz w:val="24"/>
              </w:rPr>
            </w:pPr>
            <w:r>
              <w:rPr>
                <w:rFonts w:hint="eastAsia" w:ascii="宋体" w:hAnsi="宋体" w:cs="宋体"/>
                <w:color w:val="000000" w:themeColor="text1"/>
                <w:sz w:val="24"/>
              </w:rPr>
              <w:t>详细付款方式：</w:t>
            </w:r>
            <w:r>
              <w:rPr>
                <w:rFonts w:hint="eastAsia"/>
                <w:color w:val="000000" w:themeColor="text1"/>
                <w:sz w:val="24"/>
              </w:rPr>
              <w:t>以年维护费用中标价为依据，每月支付一次；甲方在次月月底前付清上月应付款。</w:t>
            </w:r>
          </w:p>
          <w:p w14:paraId="45A3D93C">
            <w:pPr>
              <w:ind w:firstLine="420" w:firstLineChars="200"/>
              <w:rPr>
                <w:color w:val="000000" w:themeColor="text1"/>
              </w:rPr>
            </w:pPr>
            <w:r>
              <w:rPr>
                <w:rFonts w:hint="eastAsia"/>
                <w:color w:val="000000" w:themeColor="text1"/>
              </w:rPr>
              <w:t>提醒：请采购人按照相关文件要求对本次采购活动填写</w:t>
            </w:r>
            <w:r>
              <w:rPr>
                <w:rFonts w:hint="eastAsia" w:ascii="宋体" w:hAnsi="宋体" w:cs="宋体"/>
                <w:color w:val="000000" w:themeColor="text1"/>
              </w:rPr>
              <w:t>详细</w:t>
            </w:r>
            <w:r>
              <w:rPr>
                <w:rFonts w:hint="eastAsia"/>
                <w:color w:val="000000" w:themeColor="text1"/>
              </w:rPr>
              <w:t>支付方式。</w:t>
            </w:r>
          </w:p>
          <w:p w14:paraId="39ED3D64">
            <w:pPr>
              <w:ind w:firstLine="420" w:firstLineChars="200"/>
              <w:rPr>
                <w:color w:val="000000" w:themeColor="text1"/>
              </w:rPr>
            </w:pPr>
            <w:r>
              <w:rPr>
                <w:color w:val="000000" w:themeColor="text1"/>
              </w:rPr>
              <w:t>(本次政府采购活动鼓励采购人在政府采购合同中约定预付款，原则上预付款比例不低于合同金额的40%，对于中小企业的预付款比例不低于合同金额的60%。采购人可根据项目特点、供应商信用情况等，要求供应商应提供预付款保函或其他非现金担保。政府采购项目预付款应在合同备案通过、具备约定支付条件后3个工作日内完成支付。政府采购工程以及与工程建设有关的货物、服务，采用招标方式采购的，预付款从其有关规定执行。</w:t>
            </w:r>
          </w:p>
          <w:p w14:paraId="3870BD2F">
            <w:pPr>
              <w:ind w:firstLine="420" w:firstLineChars="200"/>
              <w:rPr>
                <w:color w:val="000000" w:themeColor="text1"/>
              </w:rPr>
            </w:pPr>
            <w:r>
              <w:rPr>
                <w:rFonts w:hint="eastAsia"/>
                <w:color w:val="000000" w:themeColor="text1"/>
              </w:rPr>
              <w:t>对于未实行预付款的政府采购项目鼓励采购人在合同中明确首付款支付比例。原则上首付款支付比例不低于合同金额的</w:t>
            </w:r>
            <w:r>
              <w:rPr>
                <w:color w:val="000000" w:themeColor="text1"/>
              </w:rPr>
              <w:t>50%;对于中小企业的首付款支付比例不低于合同金额的70%。政府采购工程以及与工程建设有关的货物、服务，采用招标方式采购的，首付款从其有关规定执行)。</w:t>
            </w:r>
          </w:p>
        </w:tc>
      </w:tr>
      <w:tr w14:paraId="10D2F0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679E82E9">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693A7E16">
            <w:pPr>
              <w:spacing w:before="156" w:beforeLines="50" w:line="440" w:lineRule="exact"/>
              <w:ind w:firstLine="14" w:firstLineChars="6"/>
              <w:jc w:val="center"/>
              <w:rPr>
                <w:rFonts w:ascii="宋体" w:hAnsi="宋体" w:cs="宋体"/>
                <w:color w:val="000000" w:themeColor="text1"/>
                <w:sz w:val="24"/>
              </w:rPr>
            </w:pPr>
            <w:r>
              <w:rPr>
                <w:rFonts w:hint="eastAsia" w:ascii="宋体" w:hAnsi="宋体" w:cs="宋体"/>
                <w:color w:val="000000" w:themeColor="text1"/>
                <w:sz w:val="24"/>
              </w:rPr>
              <w:t>勘察现场</w:t>
            </w:r>
          </w:p>
        </w:tc>
        <w:tc>
          <w:tcPr>
            <w:tcW w:w="6615" w:type="dxa"/>
            <w:vAlign w:val="center"/>
          </w:tcPr>
          <w:p w14:paraId="07B74C19">
            <w:pPr>
              <w:tabs>
                <w:tab w:val="left" w:pos="8640"/>
              </w:tabs>
              <w:spacing w:line="440" w:lineRule="exact"/>
              <w:jc w:val="left"/>
              <w:rPr>
                <w:rFonts w:ascii="宋体" w:hAnsi="宋体" w:cs="宋体"/>
                <w:color w:val="000000" w:themeColor="text1"/>
                <w:sz w:val="24"/>
              </w:rPr>
            </w:pPr>
            <w:r>
              <w:rPr>
                <w:rFonts w:hint="eastAsia" w:ascii="宋体" w:hAnsi="宋体" w:cs="宋体"/>
                <w:color w:val="000000" w:themeColor="text1"/>
                <w:sz w:val="24"/>
              </w:rPr>
              <w:t>不组织</w:t>
            </w:r>
          </w:p>
        </w:tc>
      </w:tr>
      <w:tr w14:paraId="355295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2AF4785F">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505E98FF">
            <w:pPr>
              <w:spacing w:line="440" w:lineRule="exact"/>
              <w:jc w:val="center"/>
              <w:rPr>
                <w:rFonts w:ascii="宋体" w:hAnsi="宋体"/>
                <w:color w:val="000000" w:themeColor="text1"/>
                <w:sz w:val="24"/>
              </w:rPr>
            </w:pPr>
            <w:r>
              <w:rPr>
                <w:rFonts w:hint="eastAsia" w:ascii="宋体" w:hAnsi="宋体"/>
                <w:color w:val="000000" w:themeColor="text1"/>
                <w:sz w:val="24"/>
              </w:rPr>
              <w:t>评标委员会的组建</w:t>
            </w:r>
          </w:p>
        </w:tc>
        <w:tc>
          <w:tcPr>
            <w:tcW w:w="6615" w:type="dxa"/>
            <w:vAlign w:val="center"/>
          </w:tcPr>
          <w:p w14:paraId="499BBD25">
            <w:pPr>
              <w:spacing w:line="440" w:lineRule="exact"/>
              <w:rPr>
                <w:rFonts w:ascii="宋体" w:hAnsi="宋体"/>
                <w:color w:val="000000" w:themeColor="text1"/>
                <w:sz w:val="24"/>
              </w:rPr>
            </w:pPr>
            <w:r>
              <w:rPr>
                <w:rFonts w:hint="eastAsia" w:ascii="宋体" w:hAnsi="宋体"/>
                <w:color w:val="000000" w:themeColor="text1"/>
                <w:sz w:val="24"/>
              </w:rPr>
              <w:t>评标委员会构成：</w:t>
            </w:r>
            <w:r>
              <w:rPr>
                <w:rFonts w:hint="eastAsia" w:ascii="宋体" w:hAnsi="宋体"/>
                <w:color w:val="000000" w:themeColor="text1"/>
                <w:sz w:val="24"/>
                <w:shd w:val="clear" w:color="auto" w:fill="FFFFFF"/>
              </w:rPr>
              <w:t>3</w:t>
            </w:r>
            <w:r>
              <w:rPr>
                <w:rFonts w:hint="eastAsia" w:ascii="宋体" w:hAnsi="宋体"/>
                <w:color w:val="000000" w:themeColor="text1"/>
                <w:sz w:val="24"/>
              </w:rPr>
              <w:t>人及以上单数，由采购人代表和技术、经济专家</w:t>
            </w:r>
            <w:r>
              <w:rPr>
                <w:rFonts w:hint="eastAsia" w:ascii="宋体" w:hAnsi="宋体"/>
                <w:color w:val="000000" w:themeColor="text1"/>
                <w:sz w:val="24"/>
                <w:shd w:val="clear" w:color="auto" w:fill="FFFFFF"/>
              </w:rPr>
              <w:t>组成，其中评审专家不得少于成员总数的三分之二</w:t>
            </w:r>
            <w:r>
              <w:rPr>
                <w:rFonts w:hint="eastAsia" w:ascii="宋体" w:hAnsi="宋体"/>
                <w:color w:val="000000" w:themeColor="text1"/>
                <w:sz w:val="24"/>
              </w:rPr>
              <w:t>；</w:t>
            </w:r>
          </w:p>
          <w:p w14:paraId="10B19645">
            <w:pPr>
              <w:spacing w:line="440" w:lineRule="exact"/>
              <w:rPr>
                <w:rFonts w:ascii="宋体" w:hAnsi="宋体"/>
                <w:color w:val="000000" w:themeColor="text1"/>
                <w:sz w:val="24"/>
              </w:rPr>
            </w:pPr>
            <w:r>
              <w:rPr>
                <w:rFonts w:hint="eastAsia" w:ascii="宋体" w:hAnsi="宋体"/>
                <w:color w:val="000000" w:themeColor="text1"/>
                <w:sz w:val="24"/>
              </w:rPr>
              <w:t>评标专家确定方式：在评标前从相关政府采购评审专家库中随机抽取选定。</w:t>
            </w:r>
          </w:p>
        </w:tc>
      </w:tr>
      <w:tr w14:paraId="1CE30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3AB0817A">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118CA123">
            <w:pPr>
              <w:spacing w:line="440" w:lineRule="exact"/>
              <w:jc w:val="center"/>
              <w:rPr>
                <w:rFonts w:ascii="宋体" w:hAnsi="宋体"/>
                <w:color w:val="000000" w:themeColor="text1"/>
                <w:sz w:val="24"/>
              </w:rPr>
            </w:pPr>
            <w:r>
              <w:rPr>
                <w:rFonts w:hint="eastAsia" w:ascii="宋体" w:hAnsi="宋体"/>
                <w:color w:val="000000" w:themeColor="text1"/>
                <w:sz w:val="24"/>
              </w:rPr>
              <w:t>项目所属行业类别</w:t>
            </w:r>
          </w:p>
        </w:tc>
        <w:tc>
          <w:tcPr>
            <w:tcW w:w="6615" w:type="dxa"/>
            <w:vAlign w:val="center"/>
          </w:tcPr>
          <w:p w14:paraId="4A0AE066">
            <w:pPr>
              <w:spacing w:line="440" w:lineRule="exact"/>
              <w:rPr>
                <w:rFonts w:ascii="宋体" w:hAnsi="宋体"/>
                <w:color w:val="000000" w:themeColor="text1"/>
                <w:sz w:val="24"/>
              </w:rPr>
            </w:pPr>
            <w:r>
              <w:rPr>
                <w:rFonts w:hint="eastAsia" w:ascii="宋体" w:hAnsi="宋体" w:cs="宋体"/>
                <w:color w:val="000000" w:themeColor="text1"/>
                <w:kern w:val="0"/>
                <w:sz w:val="24"/>
                <w:lang w:bidi="ar"/>
              </w:rPr>
              <w:t>软件和信息技术服务业</w:t>
            </w:r>
          </w:p>
        </w:tc>
      </w:tr>
      <w:tr w14:paraId="7E654A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5CB3BB59">
            <w:pPr>
              <w:numPr>
                <w:ilvl w:val="0"/>
                <w:numId w:val="1"/>
              </w:numPr>
              <w:spacing w:before="156" w:beforeLines="50" w:line="440" w:lineRule="exact"/>
              <w:jc w:val="center"/>
              <w:rPr>
                <w:rFonts w:ascii="宋体" w:hAnsi="宋体" w:cs="宋体"/>
                <w:color w:val="000000" w:themeColor="text1"/>
                <w:sz w:val="24"/>
              </w:rPr>
            </w:pPr>
          </w:p>
        </w:tc>
        <w:tc>
          <w:tcPr>
            <w:tcW w:w="1995" w:type="dxa"/>
            <w:vAlign w:val="center"/>
          </w:tcPr>
          <w:p w14:paraId="1C30E53F">
            <w:pPr>
              <w:spacing w:before="156" w:beforeLines="50" w:line="440" w:lineRule="exact"/>
              <w:ind w:firstLine="14" w:firstLineChars="6"/>
              <w:jc w:val="center"/>
              <w:rPr>
                <w:rFonts w:ascii="宋体" w:hAnsi="宋体" w:cs="宋体"/>
                <w:b/>
                <w:bCs/>
                <w:color w:val="000000" w:themeColor="text1"/>
                <w:sz w:val="24"/>
              </w:rPr>
            </w:pPr>
            <w:r>
              <w:rPr>
                <w:rFonts w:hint="eastAsia" w:ascii="宋体" w:hAnsi="宋体" w:cs="宋体"/>
                <w:b/>
                <w:bCs/>
                <w:color w:val="000000" w:themeColor="text1"/>
                <w:sz w:val="24"/>
              </w:rPr>
              <w:t>报价</w:t>
            </w:r>
          </w:p>
        </w:tc>
        <w:tc>
          <w:tcPr>
            <w:tcW w:w="6615" w:type="dxa"/>
            <w:vAlign w:val="center"/>
          </w:tcPr>
          <w:p w14:paraId="210E0E1E">
            <w:pPr>
              <w:tabs>
                <w:tab w:val="left" w:pos="8640"/>
              </w:tabs>
              <w:spacing w:line="440" w:lineRule="exact"/>
              <w:jc w:val="left"/>
              <w:rPr>
                <w:rFonts w:ascii="宋体" w:hAnsi="宋体" w:cs="宋体"/>
                <w:b/>
                <w:bCs/>
                <w:color w:val="000000" w:themeColor="text1"/>
                <w:sz w:val="24"/>
                <w:u w:val="single"/>
              </w:rPr>
            </w:pPr>
            <w:r>
              <w:rPr>
                <w:rFonts w:hint="eastAsia" w:ascii="宋体" w:hAnsi="宋体" w:cs="宋体"/>
                <w:b/>
                <w:bCs/>
                <w:color w:val="000000" w:themeColor="text1"/>
                <w:sz w:val="24"/>
              </w:rPr>
              <w:t xml:space="preserve">一次报价 </w:t>
            </w:r>
          </w:p>
        </w:tc>
      </w:tr>
    </w:tbl>
    <w:p w14:paraId="1372075A">
      <w:pPr>
        <w:pStyle w:val="31"/>
        <w:ind w:firstLine="0" w:firstLineChars="0"/>
        <w:rPr>
          <w:rFonts w:ascii="宋体" w:hAnsi="宋体" w:cs="宋体"/>
          <w:b/>
          <w:color w:val="000000" w:themeColor="text1"/>
          <w:sz w:val="30"/>
          <w:szCs w:val="30"/>
        </w:rPr>
      </w:pPr>
    </w:p>
    <w:p w14:paraId="2DE6A5AC">
      <w:pPr>
        <w:pStyle w:val="31"/>
        <w:ind w:firstLine="0" w:firstLineChars="0"/>
        <w:rPr>
          <w:rFonts w:ascii="宋体" w:hAnsi="宋体" w:cs="宋体"/>
          <w:b/>
          <w:color w:val="000000" w:themeColor="text1"/>
          <w:sz w:val="30"/>
          <w:szCs w:val="30"/>
        </w:rPr>
      </w:pPr>
    </w:p>
    <w:p w14:paraId="0B49F5B4">
      <w:pPr>
        <w:pStyle w:val="31"/>
        <w:ind w:firstLine="0" w:firstLineChars="0"/>
        <w:rPr>
          <w:rFonts w:ascii="宋体" w:hAnsi="宋体" w:cs="宋体"/>
          <w:b/>
          <w:color w:val="000000" w:themeColor="text1"/>
          <w:sz w:val="30"/>
          <w:szCs w:val="30"/>
        </w:rPr>
      </w:pPr>
    </w:p>
    <w:p w14:paraId="5BB20FE3">
      <w:pPr>
        <w:pStyle w:val="31"/>
        <w:ind w:firstLine="0" w:firstLineChars="0"/>
        <w:rPr>
          <w:rFonts w:ascii="宋体" w:hAnsi="宋体" w:cs="宋体"/>
          <w:b/>
          <w:color w:val="000000" w:themeColor="text1"/>
          <w:sz w:val="30"/>
          <w:szCs w:val="30"/>
        </w:rPr>
      </w:pPr>
    </w:p>
    <w:p w14:paraId="3C883893">
      <w:pPr>
        <w:pStyle w:val="31"/>
        <w:ind w:firstLine="0" w:firstLineChars="0"/>
        <w:rPr>
          <w:rFonts w:ascii="宋体" w:hAnsi="宋体" w:cs="宋体"/>
          <w:b/>
          <w:color w:val="000000" w:themeColor="text1"/>
          <w:sz w:val="30"/>
          <w:szCs w:val="30"/>
        </w:rPr>
      </w:pPr>
    </w:p>
    <w:p w14:paraId="1F9D7489">
      <w:pPr>
        <w:pStyle w:val="5"/>
        <w:rPr>
          <w:b/>
          <w:color w:val="000000" w:themeColor="text1"/>
        </w:rPr>
      </w:pPr>
      <w:bookmarkStart w:id="44" w:name="_Toc138765837"/>
    </w:p>
    <w:p w14:paraId="5F18B57C">
      <w:pPr>
        <w:pStyle w:val="5"/>
        <w:rPr>
          <w:b/>
          <w:color w:val="000000" w:themeColor="text1"/>
        </w:rPr>
      </w:pPr>
      <w:r>
        <w:rPr>
          <w:rFonts w:hint="eastAsia"/>
          <w:b/>
          <w:color w:val="000000" w:themeColor="text1"/>
        </w:rPr>
        <w:t>一、总则</w:t>
      </w:r>
      <w:bookmarkEnd w:id="44"/>
    </w:p>
    <w:p w14:paraId="57D7C5EB">
      <w:pPr>
        <w:spacing w:line="560" w:lineRule="exact"/>
        <w:ind w:firstLine="482" w:firstLineChars="200"/>
        <w:rPr>
          <w:rFonts w:ascii="宋体" w:hAnsi="宋体" w:cs="宋体"/>
          <w:color w:val="000000" w:themeColor="text1"/>
          <w:sz w:val="24"/>
        </w:rPr>
      </w:pPr>
      <w:r>
        <w:rPr>
          <w:rFonts w:hint="eastAsia" w:ascii="宋体" w:hAnsi="宋体" w:cs="宋体"/>
          <w:b/>
          <w:color w:val="000000" w:themeColor="text1"/>
          <w:sz w:val="24"/>
        </w:rPr>
        <w:t>1．适用范围</w:t>
      </w:r>
    </w:p>
    <w:p w14:paraId="6F3CEEB6">
      <w:pPr>
        <w:spacing w:line="560" w:lineRule="exact"/>
        <w:ind w:firstLine="480" w:firstLineChars="200"/>
        <w:rPr>
          <w:rFonts w:ascii="宋体" w:hAnsi="宋体" w:cs="宋体"/>
          <w:bCs/>
          <w:color w:val="000000" w:themeColor="text1"/>
          <w:sz w:val="24"/>
        </w:rPr>
      </w:pPr>
      <w:r>
        <w:rPr>
          <w:rFonts w:hint="eastAsia" w:ascii="宋体" w:hAnsi="宋体" w:cs="宋体"/>
          <w:color w:val="000000" w:themeColor="text1"/>
          <w:sz w:val="24"/>
        </w:rPr>
        <w:t>1.1本竞争性磋商文件仅适用于本次竞争性磋商邀请函中所述</w:t>
      </w:r>
      <w:r>
        <w:rPr>
          <w:rFonts w:hint="eastAsia" w:ascii="宋体" w:hAnsi="宋体" w:cs="宋体"/>
          <w:bCs/>
          <w:color w:val="000000" w:themeColor="text1"/>
          <w:sz w:val="24"/>
        </w:rPr>
        <w:t>项目。</w:t>
      </w:r>
    </w:p>
    <w:p w14:paraId="1A73FF94">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2．定义</w:t>
      </w:r>
    </w:p>
    <w:p w14:paraId="5AE6342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2.1“采购代理机构”：周口市公共资源交易中心政府采购中心。</w:t>
      </w:r>
    </w:p>
    <w:p w14:paraId="278D09CD">
      <w:pPr>
        <w:tabs>
          <w:tab w:val="left" w:pos="0"/>
        </w:tabs>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2.2“采购人”：西华县公安局</w:t>
      </w:r>
    </w:p>
    <w:p w14:paraId="740781C7">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2.3“供应商”系指按竞争性磋商文件规定取得竞争性磋商文件并参加竞争性磋商活动的法人、其他组织或者自然人。</w:t>
      </w:r>
    </w:p>
    <w:p w14:paraId="696511A1">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2.4“供应商代表”：系指代表供应商参加本次竞争性磋商活动的供应商的法定代表人或其委托代理人。</w:t>
      </w:r>
    </w:p>
    <w:p w14:paraId="789775C5">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2.5“服务”：系指本项目所采购的服务及其他要求等。</w:t>
      </w:r>
    </w:p>
    <w:p w14:paraId="0095FD4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68CFFB93">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2.7“重大违法记录”系指供应商因违法经营受到刑事处罚或者责令停产停业、吊销许可证或者执照、较大数额罚款等行政处罚。</w:t>
      </w:r>
    </w:p>
    <w:p w14:paraId="7176AFC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2.8“不具备良好的商业信誉”是指：</w:t>
      </w:r>
    </w:p>
    <w:p w14:paraId="302296D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（1）有重大违法记录的（满三年的除外）；</w:t>
      </w:r>
    </w:p>
    <w:p w14:paraId="2F352E7E">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（2）被各级财政部门列入政府采购严重违法失信行为信息记录的（期限已满的除外）；</w:t>
      </w:r>
    </w:p>
    <w:p w14:paraId="787B4ABD">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（3）被各级政府采购监督管理部门禁止在一定期限内参加政府采购活动等处罚的（期限已满的除外）；</w:t>
      </w:r>
    </w:p>
    <w:p w14:paraId="1556171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（4）被各级法院列入失信名单的（已依法解除的除外）；</w:t>
      </w:r>
    </w:p>
    <w:p w14:paraId="142A86B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（5）法律法规规定的其他情形。</w:t>
      </w:r>
    </w:p>
    <w:p w14:paraId="6C541087">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3.采购预算</w:t>
      </w:r>
    </w:p>
    <w:p w14:paraId="75CDA613">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3.1本次采购预算：见公告。</w:t>
      </w:r>
    </w:p>
    <w:p w14:paraId="2E83FEDA">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4.合格的供应商</w:t>
      </w:r>
    </w:p>
    <w:p w14:paraId="44265B6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4.1.1符合供应商资格条件（详见第一部分供应商资格条件）</w:t>
      </w:r>
    </w:p>
    <w:p w14:paraId="5A952D14">
      <w:pPr>
        <w:widowControl/>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4.1.2参加政府采购活动前三年内，在经营活动中没有重大违法记录的声明函；</w:t>
      </w:r>
    </w:p>
    <w:p w14:paraId="279FF61C">
      <w:pPr>
        <w:widowControl/>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4.1.3 政府采购供应商诚信承诺书；</w:t>
      </w:r>
    </w:p>
    <w:p w14:paraId="7C6CD941">
      <w:pPr>
        <w:pStyle w:val="74"/>
        <w:spacing w:line="360" w:lineRule="auto"/>
        <w:ind w:firstLine="480" w:firstLineChars="200"/>
        <w:rPr>
          <w:rFonts w:hAnsi="宋体" w:eastAsia="宋体"/>
          <w:color w:val="000000" w:themeColor="text1"/>
          <w:sz w:val="24"/>
        </w:rPr>
      </w:pPr>
      <w:r>
        <w:rPr>
          <w:rFonts w:hint="eastAsia" w:hAnsi="宋体" w:eastAsia="宋体"/>
          <w:color w:val="000000" w:themeColor="text1"/>
          <w:sz w:val="24"/>
        </w:rPr>
        <w:t>4.</w:t>
      </w:r>
      <w:r>
        <w:rPr>
          <w:rFonts w:hint="eastAsia" w:hAnsi="宋体" w:eastAsia="宋体"/>
          <w:color w:val="000000" w:themeColor="text1"/>
          <w:sz w:val="24"/>
          <w:lang w:val="en-US"/>
        </w:rPr>
        <w:t>1.4 供应商</w:t>
      </w:r>
      <w:r>
        <w:rPr>
          <w:rFonts w:hint="eastAsia" w:hAnsi="宋体" w:eastAsia="宋体"/>
          <w:color w:val="000000" w:themeColor="text1"/>
          <w:sz w:val="24"/>
        </w:rPr>
        <w:t>自觉抵制政府采购领域商业贿赂行为承诺书；</w:t>
      </w:r>
    </w:p>
    <w:p w14:paraId="3728FD2D">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4.2 </w:t>
      </w:r>
      <w:r>
        <w:rPr>
          <w:rFonts w:hint="eastAsia" w:ascii="宋体" w:hAnsi="宋体" w:cs="宋体"/>
          <w:color w:val="000000" w:themeColor="text1"/>
          <w:kern w:val="0"/>
          <w:sz w:val="24"/>
        </w:rPr>
        <w:t>供应商需提供售后服务体系与承诺</w:t>
      </w:r>
      <w:r>
        <w:rPr>
          <w:rFonts w:hint="eastAsia" w:ascii="宋体" w:hAnsi="宋体" w:cs="宋体"/>
          <w:color w:val="000000" w:themeColor="text1"/>
          <w:kern w:val="0"/>
          <w:sz w:val="24"/>
          <w:lang w:val="zh-CN"/>
        </w:rPr>
        <w:t>。</w:t>
      </w:r>
    </w:p>
    <w:p w14:paraId="3CD3B3F7">
      <w:pPr>
        <w:pStyle w:val="74"/>
        <w:spacing w:line="360" w:lineRule="auto"/>
        <w:ind w:firstLine="480" w:firstLineChars="200"/>
        <w:rPr>
          <w:rFonts w:hAnsi="宋体" w:eastAsia="宋体"/>
          <w:color w:val="000000" w:themeColor="text1"/>
          <w:sz w:val="24"/>
        </w:rPr>
      </w:pPr>
      <w:r>
        <w:rPr>
          <w:rFonts w:hint="eastAsia" w:hAnsi="宋体" w:eastAsia="宋体"/>
          <w:color w:val="000000" w:themeColor="text1"/>
          <w:sz w:val="24"/>
        </w:rPr>
        <w:t>4.</w:t>
      </w:r>
      <w:r>
        <w:rPr>
          <w:rFonts w:hint="eastAsia" w:hAnsi="宋体" w:eastAsia="宋体"/>
          <w:color w:val="000000" w:themeColor="text1"/>
          <w:sz w:val="24"/>
          <w:lang w:val="en-US"/>
        </w:rPr>
        <w:t>3</w:t>
      </w:r>
      <w:r>
        <w:rPr>
          <w:rFonts w:hint="eastAsia" w:hAnsi="宋体" w:eastAsia="宋体"/>
          <w:color w:val="000000" w:themeColor="text1"/>
          <w:sz w:val="24"/>
        </w:rPr>
        <w:t>符合本竞争性磋商文件规定的供应商资格要求及项目要求的其它条件，并按照要求提供相关证明材料。</w:t>
      </w:r>
      <w:r>
        <w:rPr>
          <w:rFonts w:hAnsi="宋体" w:eastAsia="宋体"/>
          <w:color w:val="000000" w:themeColor="text1"/>
          <w:sz w:val="24"/>
        </w:rPr>
        <w:t>所提供的相关材料须保证其真实有效性。</w:t>
      </w:r>
    </w:p>
    <w:p w14:paraId="145F4F0E">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4.4供应商应遵守国家法律、法规有关竞争性磋商的规定。</w:t>
      </w:r>
    </w:p>
    <w:p w14:paraId="4CE1F178">
      <w:pPr>
        <w:spacing w:line="360" w:lineRule="auto"/>
        <w:ind w:firstLine="480"/>
        <w:rPr>
          <w:rFonts w:ascii="宋体" w:hAnsi="宋体" w:cs="宋体"/>
          <w:color w:val="000000" w:themeColor="text1"/>
          <w:kern w:val="0"/>
          <w:sz w:val="24"/>
          <w:szCs w:val="22"/>
        </w:rPr>
      </w:pPr>
      <w:r>
        <w:rPr>
          <w:rFonts w:hint="eastAsia" w:ascii="宋体" w:hAnsi="宋体" w:cs="宋体"/>
          <w:color w:val="000000" w:themeColor="text1"/>
          <w:kern w:val="0"/>
          <w:sz w:val="24"/>
          <w:lang w:val="zh-CN"/>
        </w:rPr>
        <w:t>4.5 凡通过磋商小组符合性审查的供应商均为合格供应商。</w:t>
      </w:r>
      <w:r>
        <w:rPr>
          <w:rFonts w:ascii="宋体" w:hAnsi="宋体" w:cs="宋体"/>
          <w:color w:val="000000" w:themeColor="text1"/>
          <w:kern w:val="0"/>
          <w:sz w:val="24"/>
          <w:szCs w:val="22"/>
        </w:rPr>
        <w:t>未通过符合性审查的供应商将视为不响应本项目的竞争性磋商文件被否决。</w:t>
      </w:r>
    </w:p>
    <w:p w14:paraId="3B8ADC57">
      <w:pPr>
        <w:autoSpaceDE w:val="0"/>
        <w:autoSpaceDN w:val="0"/>
        <w:adjustRightInd w:val="0"/>
        <w:snapToGrid w:val="0"/>
        <w:spacing w:line="360" w:lineRule="auto"/>
        <w:ind w:firstLine="480" w:firstLineChars="200"/>
        <w:rPr>
          <w:rFonts w:ascii="宋体" w:hAnsi="宋体" w:cs="宋体"/>
          <w:color w:val="000000" w:themeColor="text1"/>
          <w:kern w:val="0"/>
          <w:sz w:val="24"/>
          <w:szCs w:val="22"/>
        </w:rPr>
      </w:pPr>
      <w:r>
        <w:rPr>
          <w:rFonts w:ascii="宋体" w:hAnsi="宋体" w:cs="宋体"/>
          <w:color w:val="000000" w:themeColor="text1"/>
          <w:kern w:val="0"/>
          <w:sz w:val="24"/>
          <w:szCs w:val="22"/>
        </w:rPr>
        <w:t xml:space="preserve">4.6 </w:t>
      </w:r>
      <w:r>
        <w:rPr>
          <w:rFonts w:hint="eastAsia" w:ascii="宋体" w:hAnsi="宋体" w:cs="宋体"/>
          <w:color w:val="000000" w:themeColor="text1"/>
          <w:kern w:val="0"/>
          <w:sz w:val="24"/>
          <w:szCs w:val="22"/>
        </w:rPr>
        <w:t>不组织勘察现场</w:t>
      </w:r>
    </w:p>
    <w:p w14:paraId="73A31FDF">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 xml:space="preserve">5.竞争性磋商文件的约束力 </w:t>
      </w:r>
    </w:p>
    <w:p w14:paraId="0BCD508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5.l供应商一旦参加竞争性磋商，即被认为接受了本竞争性磋商文件中的所有条款和规定。</w:t>
      </w:r>
    </w:p>
    <w:p w14:paraId="43E2AC74">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供应商如认为本竞争性磋商文件含有倾向性或排斥潜在供应商的条款而使自己的权益受到损害的，请以书面形式向采购人提出，否则，将视为对本竞争性磋商文件要求无任何异议，并出具无异议确认书，并不得因此在竞争性磋商会开始后提出任何异议。</w:t>
      </w:r>
    </w:p>
    <w:p w14:paraId="2B48A76D">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5.3本磋商文件由采购人负责解释。</w:t>
      </w:r>
    </w:p>
    <w:p w14:paraId="58F29F38">
      <w:pPr>
        <w:pStyle w:val="31"/>
        <w:ind w:firstLine="480"/>
        <w:rPr>
          <w:rFonts w:ascii="宋体" w:hAnsi="宋体" w:eastAsia="宋体" w:cs="宋体"/>
          <w:color w:val="000000" w:themeColor="text1"/>
          <w:sz w:val="24"/>
        </w:rPr>
      </w:pPr>
    </w:p>
    <w:p w14:paraId="78914B1D">
      <w:pPr>
        <w:pStyle w:val="5"/>
        <w:rPr>
          <w:b/>
          <w:color w:val="000000" w:themeColor="text1"/>
        </w:rPr>
      </w:pPr>
      <w:bookmarkStart w:id="45" w:name="_Toc138765838"/>
      <w:r>
        <w:rPr>
          <w:rFonts w:hint="eastAsia"/>
          <w:b/>
          <w:color w:val="000000" w:themeColor="text1"/>
        </w:rPr>
        <w:t>二、竞争性磋商文件</w:t>
      </w:r>
      <w:bookmarkEnd w:id="45"/>
    </w:p>
    <w:p w14:paraId="24CD09DB">
      <w:pPr>
        <w:tabs>
          <w:tab w:val="left" w:pos="632"/>
          <w:tab w:val="left" w:pos="790"/>
        </w:tabs>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6．竞争性磋商文件的组成</w:t>
      </w:r>
    </w:p>
    <w:p w14:paraId="0F583806">
      <w:pPr>
        <w:autoSpaceDE w:val="0"/>
        <w:autoSpaceDN w:val="0"/>
        <w:adjustRightInd w:val="0"/>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6.1竞争性磋商</w:t>
      </w:r>
      <w:r>
        <w:rPr>
          <w:rFonts w:hint="eastAsia" w:ascii="宋体" w:hAnsi="宋体" w:cs="宋体"/>
          <w:color w:val="000000" w:themeColor="text1"/>
          <w:sz w:val="24"/>
          <w:lang w:val="zh-CN"/>
        </w:rPr>
        <w:t>文件是用以阐明的采购需求、采购程序和合同格式等的规范性文件。竞争性磋商文件主要由以下部分组成：</w:t>
      </w:r>
    </w:p>
    <w:p w14:paraId="77DF536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（1）竞争性磋商邀请函；</w:t>
      </w:r>
    </w:p>
    <w:p w14:paraId="207A1FB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（2）供应商须知；</w:t>
      </w:r>
    </w:p>
    <w:p w14:paraId="636EBEE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（3）采购需求；</w:t>
      </w:r>
    </w:p>
    <w:p w14:paraId="60EF562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（4）响应性文件内容及格式；</w:t>
      </w:r>
    </w:p>
    <w:p w14:paraId="752EAF3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（5）合同主要条款。</w:t>
      </w:r>
    </w:p>
    <w:p w14:paraId="7B38C234">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2E822B5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6.3供应商被视为充分熟悉本采购项目所在地的与履行合同有关的各种情况，包括自然环境、气候条件、劳动力及公用设施等，本竞争性磋商文件不再对上述情况进行描述。</w:t>
      </w:r>
    </w:p>
    <w:p w14:paraId="5BDE003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6.4供应商必须详细阅竞争性磋商文件的所有条款、文件及表格格式等。供应商若未按竞争性磋商文件的要求和规范编制、提交响应性文件，将有可能导致响应性文件被拒绝接受或被视为无效。</w:t>
      </w:r>
    </w:p>
    <w:p w14:paraId="2C499489">
      <w:pPr>
        <w:widowControl/>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7.竞争性磋商文件的澄清与修改</w:t>
      </w:r>
    </w:p>
    <w:p w14:paraId="026377E1">
      <w:pPr>
        <w:autoSpaceDE w:val="0"/>
        <w:autoSpaceDN w:val="0"/>
        <w:adjustRightInd w:val="0"/>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7.1提交（接收）响应文件截止之日前，采购人可以对已发出的竞争性磋商文件进行必要的澄清或者修改，澄清或修改的内容作为竞争性磋商文件的组成部分。澄清或者修改的内容可能影响响应文件编制的，采购人将在提交响应文件截止时间至少5日前，在政府采购相关网站以变更公告的方式通知所有获取竞争性磋商文件的供应商，不足5日的，采购人顺延提交（接收）响应文件截止时间。</w:t>
      </w:r>
    </w:p>
    <w:p w14:paraId="7C774C63">
      <w:pPr>
        <w:pStyle w:val="5"/>
        <w:rPr>
          <w:b/>
          <w:color w:val="000000" w:themeColor="text1"/>
        </w:rPr>
      </w:pPr>
      <w:bookmarkStart w:id="46" w:name="_Toc138765839"/>
      <w:r>
        <w:rPr>
          <w:rFonts w:hint="eastAsia"/>
          <w:b/>
          <w:color w:val="000000" w:themeColor="text1"/>
        </w:rPr>
        <w:t>三、响应性文件的编制</w:t>
      </w:r>
      <w:bookmarkEnd w:id="46"/>
    </w:p>
    <w:p w14:paraId="227F1EB1">
      <w:pPr>
        <w:spacing w:line="56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8.要求</w:t>
      </w:r>
    </w:p>
    <w:p w14:paraId="56DF0E62">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1E773D0F">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8.2任何对竞争性磋商文件的忽略或误解不能作为响应性文件没有完全响应竞争性磋商文件的有效理由。</w:t>
      </w:r>
    </w:p>
    <w:p w14:paraId="224F545F">
      <w:pPr>
        <w:spacing w:line="560" w:lineRule="exact"/>
        <w:ind w:firstLine="480" w:firstLineChars="200"/>
        <w:rPr>
          <w:rFonts w:ascii="宋体" w:hAnsi="宋体" w:cs="宋体"/>
          <w:i/>
          <w:iCs/>
          <w:color w:val="000000" w:themeColor="text1"/>
          <w:sz w:val="24"/>
        </w:rPr>
      </w:pPr>
      <w:r>
        <w:rPr>
          <w:rFonts w:hint="eastAsia" w:ascii="宋体" w:hAnsi="宋体" w:cs="宋体"/>
          <w:color w:val="000000" w:themeColor="text1"/>
          <w:sz w:val="24"/>
        </w:rPr>
        <w:t>8.3供应商没有按照竞争性磋商文件要求提供全部资料，或者供应商没有对竞争性磋商文件在各方面都作出实质性响应是供应商的风险，并可能导致其响应性文件被拒绝。</w:t>
      </w:r>
    </w:p>
    <w:p w14:paraId="69D93B5B">
      <w:pPr>
        <w:widowControl/>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 xml:space="preserve">9.响应性文件的语言及度量衡 </w:t>
      </w:r>
    </w:p>
    <w:p w14:paraId="67CE505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9.1响应性文件以及供应商与采购代理机构之间的所有书面往来都应用简体中文书写。 </w:t>
      </w:r>
    </w:p>
    <w:p w14:paraId="3C4BD5E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9.2供应商使用其他语言的，以中文翻译为准。 </w:t>
      </w:r>
    </w:p>
    <w:p w14:paraId="6EE461A2">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9.3关于计量单位，竞争性磋商文件已有明确规定的，使用竞争性磋商文件规定的计量单位；竞争性磋商文件没有规定的，应采用中华人民共和国法定计量单位。</w:t>
      </w:r>
    </w:p>
    <w:p w14:paraId="3CE28F1D">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9.4本竞争性磋商文件所表述的时间均为北京时间。</w:t>
      </w:r>
    </w:p>
    <w:p w14:paraId="6C870DA7">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10.响应性文件的组成</w:t>
      </w:r>
    </w:p>
    <w:p w14:paraId="21B03A49">
      <w:pPr>
        <w:widowControl/>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10.1响应性文件由</w:t>
      </w:r>
      <w:r>
        <w:rPr>
          <w:rFonts w:hint="eastAsia" w:ascii="宋体" w:hAnsi="宋体" w:cs="宋体"/>
          <w:bCs/>
          <w:color w:val="000000" w:themeColor="text1"/>
          <w:sz w:val="24"/>
          <w:u w:val="single"/>
        </w:rPr>
        <w:t>资格性证明材料</w:t>
      </w:r>
      <w:r>
        <w:rPr>
          <w:rFonts w:hint="eastAsia" w:ascii="宋体" w:hAnsi="宋体" w:cs="宋体"/>
          <w:bCs/>
          <w:color w:val="000000" w:themeColor="text1"/>
          <w:sz w:val="24"/>
        </w:rPr>
        <w:t>、</w:t>
      </w:r>
      <w:r>
        <w:rPr>
          <w:rFonts w:hint="eastAsia" w:ascii="宋体" w:hAnsi="宋体" w:cs="宋体"/>
          <w:bCs/>
          <w:color w:val="000000" w:themeColor="text1"/>
          <w:sz w:val="24"/>
          <w:u w:val="single"/>
        </w:rPr>
        <w:t>符合性证明材料</w:t>
      </w:r>
      <w:r>
        <w:rPr>
          <w:rFonts w:hint="eastAsia" w:ascii="宋体" w:hAnsi="宋体" w:cs="宋体"/>
          <w:bCs/>
          <w:color w:val="000000" w:themeColor="text1"/>
          <w:sz w:val="24"/>
        </w:rPr>
        <w:t>、</w:t>
      </w:r>
      <w:r>
        <w:rPr>
          <w:rFonts w:hint="eastAsia" w:ascii="宋体" w:hAnsi="宋体" w:cs="宋体"/>
          <w:bCs/>
          <w:color w:val="000000" w:themeColor="text1"/>
          <w:sz w:val="24"/>
          <w:u w:val="single"/>
        </w:rPr>
        <w:t>其他材料</w:t>
      </w:r>
      <w:r>
        <w:rPr>
          <w:rFonts w:hint="eastAsia" w:ascii="宋体" w:hAnsi="宋体" w:cs="宋体"/>
          <w:color w:val="000000" w:themeColor="text1"/>
          <w:sz w:val="24"/>
        </w:rPr>
        <w:t>三部分组成。具体内容和格式见竞争性磋商文件</w:t>
      </w:r>
      <w:r>
        <w:rPr>
          <w:rFonts w:hint="eastAsia" w:ascii="宋体" w:hAnsi="宋体" w:cs="宋体"/>
          <w:bCs/>
          <w:color w:val="000000" w:themeColor="text1"/>
          <w:sz w:val="24"/>
        </w:rPr>
        <w:t>第四章</w:t>
      </w:r>
      <w:r>
        <w:rPr>
          <w:rFonts w:hint="eastAsia" w:ascii="宋体" w:hAnsi="宋体" w:cs="宋体"/>
          <w:color w:val="000000" w:themeColor="text1"/>
          <w:sz w:val="24"/>
        </w:rPr>
        <w:t>。</w:t>
      </w:r>
    </w:p>
    <w:p w14:paraId="14D3E79D">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11.响应性文件格式</w:t>
      </w:r>
    </w:p>
    <w:p w14:paraId="53146FDD">
      <w:pPr>
        <w:widowControl/>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DC2AE2D">
      <w:pPr>
        <w:widowControl/>
        <w:spacing w:line="560" w:lineRule="exact"/>
        <w:ind w:firstLine="482" w:firstLineChars="200"/>
        <w:rPr>
          <w:rFonts w:ascii="宋体" w:hAnsi="宋体" w:cs="宋体"/>
          <w:b/>
          <w:bCs/>
          <w:color w:val="000000" w:themeColor="text1"/>
          <w:kern w:val="0"/>
          <w:sz w:val="24"/>
        </w:rPr>
      </w:pPr>
      <w:r>
        <w:rPr>
          <w:rFonts w:hint="eastAsia" w:ascii="宋体" w:hAnsi="宋体" w:cs="宋体"/>
          <w:b/>
          <w:bCs/>
          <w:color w:val="000000" w:themeColor="text1"/>
          <w:kern w:val="0"/>
          <w:sz w:val="24"/>
        </w:rPr>
        <w:t>12.竞争性磋商报价</w:t>
      </w:r>
    </w:p>
    <w:p w14:paraId="66D89533">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12.1报价包括所投服务、保险、税费、检测、验收和交付后约定期限内免费维保等工作所发生的一切应有费用。</w:t>
      </w:r>
    </w:p>
    <w:p w14:paraId="70537A9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12.2经过磋商后进行的报价为供应商的最终报价。</w:t>
      </w:r>
    </w:p>
    <w:p w14:paraId="1E07685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12.3采购人不接受有选择的报价。</w:t>
      </w:r>
    </w:p>
    <w:p w14:paraId="6A0EC81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12.4最终报价不得超过采购预算。</w:t>
      </w:r>
    </w:p>
    <w:p w14:paraId="643D784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12.5报价均须以人民币为计算单位。</w:t>
      </w:r>
    </w:p>
    <w:p w14:paraId="162AFB4C">
      <w:pPr>
        <w:spacing w:line="56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 xml:space="preserve">13．响应性文件有效期 </w:t>
      </w:r>
    </w:p>
    <w:p w14:paraId="050418D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13.l供应商需承诺响应性文件有效期为自竞争性磋商开始之日起60天，有效期短于此规定的响应性文件将被视为无效。</w:t>
      </w:r>
    </w:p>
    <w:p w14:paraId="523866E2">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348ECF63">
      <w:pPr>
        <w:spacing w:line="56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14.响应性文件的签署、盖章</w:t>
      </w:r>
    </w:p>
    <w:p w14:paraId="1EE1D442">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14.1</w:t>
      </w:r>
      <w:r>
        <w:rPr>
          <w:rFonts w:hint="eastAsia" w:ascii="宋体" w:hAnsi="宋体" w:cs="宋体"/>
          <w:color w:val="000000" w:themeColor="text1"/>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0F41473D">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40FA499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14.3供应商提交的资料应证明其满足竞争性磋商文件要求，该文件可以是文字资料、图纸和数据等详细描述的资料。</w:t>
      </w:r>
    </w:p>
    <w:p w14:paraId="024528CF">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15电子投标文件制作，见周口市公共资源交易中心网站下载中心版块《投标单位-电子投标文件视频制作手册》的相关规定。</w:t>
      </w:r>
    </w:p>
    <w:p w14:paraId="5B017C3C">
      <w:pPr>
        <w:pStyle w:val="5"/>
        <w:spacing w:line="360" w:lineRule="auto"/>
        <w:rPr>
          <w:b/>
          <w:color w:val="000000" w:themeColor="text1"/>
        </w:rPr>
      </w:pPr>
      <w:bookmarkStart w:id="47" w:name="_Toc138765840"/>
      <w:r>
        <w:rPr>
          <w:rFonts w:hint="eastAsia"/>
          <w:b/>
          <w:color w:val="000000" w:themeColor="text1"/>
        </w:rPr>
        <w:t>四、响应性文件的递交</w:t>
      </w:r>
      <w:bookmarkEnd w:id="47"/>
    </w:p>
    <w:p w14:paraId="1B12B202">
      <w:pPr>
        <w:autoSpaceDE w:val="0"/>
        <w:autoSpaceDN w:val="0"/>
        <w:adjustRightInd w:val="0"/>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0546C76A">
      <w:pPr>
        <w:spacing w:line="360" w:lineRule="auto"/>
        <w:ind w:firstLine="550"/>
        <w:rPr>
          <w:rFonts w:ascii="宋体" w:hAnsi="宋体" w:cs="宋体"/>
          <w:color w:val="000000" w:themeColor="text1"/>
          <w:sz w:val="24"/>
        </w:rPr>
      </w:pPr>
      <w:r>
        <w:rPr>
          <w:rFonts w:hint="eastAsia" w:ascii="宋体" w:hAnsi="宋体" w:cs="宋体"/>
          <w:color w:val="000000" w:themeColor="text1"/>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62411B78">
      <w:pPr>
        <w:autoSpaceDE w:val="0"/>
        <w:autoSpaceDN w:val="0"/>
        <w:adjustRightInd w:val="0"/>
        <w:spacing w:line="500" w:lineRule="exact"/>
        <w:ind w:firstLine="240" w:firstLineChars="100"/>
        <w:rPr>
          <w:rFonts w:ascii="宋体" w:hAnsi="宋体" w:cs="宋体"/>
          <w:color w:val="000000" w:themeColor="text1"/>
          <w:sz w:val="24"/>
        </w:rPr>
      </w:pPr>
      <w:r>
        <w:rPr>
          <w:rFonts w:hint="eastAsia" w:ascii="宋体" w:hAnsi="宋体" w:cs="宋体"/>
          <w:color w:val="000000" w:themeColor="text1"/>
          <w:sz w:val="24"/>
        </w:rPr>
        <w:t>供应商须使用单位CA证书进行电子响应文件远程解密，详见周口市公共资源电子交易中心网站（网址：http://jyzx.zhoukou.gov.cn）办事指南</w:t>
      </w:r>
      <w:r>
        <w:rPr>
          <w:rFonts w:hint="eastAsia" w:ascii="宋体" w:hAnsi="宋体" w:cs="宋体"/>
          <w:bCs/>
          <w:color w:val="000000" w:themeColor="text1"/>
          <w:sz w:val="24"/>
        </w:rPr>
        <w:t>《不见面开标远程在线解密会员端操作手册操作指南》</w:t>
      </w:r>
      <w:r>
        <w:rPr>
          <w:rFonts w:hint="eastAsia" w:ascii="宋体" w:hAnsi="宋体" w:cs="宋体"/>
          <w:color w:val="000000" w:themeColor="text1"/>
          <w:sz w:val="24"/>
        </w:rPr>
        <w:t>。</w:t>
      </w:r>
    </w:p>
    <w:p w14:paraId="324C414B">
      <w:pPr>
        <w:spacing w:line="560" w:lineRule="exact"/>
        <w:rPr>
          <w:rFonts w:ascii="宋体" w:hAnsi="宋体" w:cs="宋体"/>
          <w:b/>
          <w:color w:val="000000" w:themeColor="text1"/>
          <w:sz w:val="24"/>
        </w:rPr>
      </w:pPr>
      <w:r>
        <w:rPr>
          <w:rFonts w:hint="eastAsia" w:ascii="宋体" w:hAnsi="宋体" w:cs="宋体"/>
          <w:b/>
          <w:color w:val="000000" w:themeColor="text1"/>
          <w:sz w:val="24"/>
        </w:rPr>
        <w:t>16.响应性文件的递交</w:t>
      </w:r>
    </w:p>
    <w:p w14:paraId="5AAD395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16.1供应商应在竞争性磋商邀请函中规定的截止日期和时间前，将响应性文件在会员系统成功上传，递交（接收）地点为竞争性磋商邀请函中规定的地址。</w:t>
      </w:r>
    </w:p>
    <w:p w14:paraId="39D21BD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16.2若采购人推迟了响应性文件接收截止时间，采购人和供应商受响应性文件接收截止时间制约的所有权利和义务均应以新的截止时间为准。 </w:t>
      </w:r>
    </w:p>
    <w:p w14:paraId="11818B24">
      <w:pPr>
        <w:pStyle w:val="58"/>
        <w:spacing w:line="560" w:lineRule="exact"/>
        <w:ind w:firstLine="482" w:firstLineChars="200"/>
        <w:rPr>
          <w:rFonts w:ascii="宋体" w:hAnsi="宋体"/>
          <w:b/>
          <w:color w:val="000000" w:themeColor="text1"/>
          <w:sz w:val="24"/>
          <w:szCs w:val="24"/>
        </w:rPr>
      </w:pPr>
      <w:r>
        <w:rPr>
          <w:rFonts w:hint="eastAsia" w:ascii="宋体" w:hAnsi="宋体"/>
          <w:b/>
          <w:bCs/>
          <w:color w:val="000000" w:themeColor="text1"/>
          <w:sz w:val="24"/>
          <w:szCs w:val="24"/>
        </w:rPr>
        <w:t>17</w:t>
      </w:r>
      <w:r>
        <w:rPr>
          <w:rFonts w:hint="eastAsia" w:ascii="宋体" w:hAnsi="宋体"/>
          <w:b/>
          <w:color w:val="000000" w:themeColor="text1"/>
          <w:sz w:val="24"/>
          <w:szCs w:val="24"/>
        </w:rPr>
        <w:t>.响应性文件的修改和撤回</w:t>
      </w:r>
    </w:p>
    <w:p w14:paraId="7BC599B6">
      <w:pPr>
        <w:pStyle w:val="58"/>
        <w:spacing w:line="560" w:lineRule="exact"/>
        <w:ind w:left="279" w:leftChars="133" w:firstLine="240" w:firstLineChars="100"/>
        <w:rPr>
          <w:rFonts w:ascii="宋体" w:hAnsi="宋体"/>
          <w:b/>
          <w:bCs/>
          <w:color w:val="000000" w:themeColor="text1"/>
          <w:sz w:val="24"/>
          <w:szCs w:val="24"/>
        </w:rPr>
      </w:pPr>
      <w:r>
        <w:rPr>
          <w:rFonts w:hint="eastAsia" w:ascii="宋体" w:hAnsi="宋体"/>
          <w:color w:val="000000" w:themeColor="text1"/>
          <w:sz w:val="24"/>
          <w:szCs w:val="24"/>
        </w:rPr>
        <w:t>17.1供应商在提交响应性文件截止时间前，可以对已上传的响应文件进行撤回补充、修改或撤回，补充、修改之后进行再次上传，再次上传内容作为响应性文件的组成部分。</w:t>
      </w:r>
    </w:p>
    <w:p w14:paraId="40AF8B7D">
      <w:pPr>
        <w:pStyle w:val="58"/>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17.2响应性文件的补充、修改文件应按照本竞争性磋商文件有关规定进行密封、签署，修改后的加密的电子投标文件须在投标截止时间前成功上传。 </w:t>
      </w:r>
    </w:p>
    <w:p w14:paraId="7FADDA83">
      <w:pPr>
        <w:pStyle w:val="58"/>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17.3供应商在响应性文件接收截止时间后不得修改、撤回响应性文件。供应商在响应性文件接收截止时间后修改响应性文件的，将被拒绝接受。</w:t>
      </w:r>
    </w:p>
    <w:p w14:paraId="34EAEE67">
      <w:pPr>
        <w:pStyle w:val="58"/>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17.4供应商有下列情形之一的，采购人将拒绝接受其响应性文件：</w:t>
      </w:r>
    </w:p>
    <w:p w14:paraId="5413468D">
      <w:pPr>
        <w:pStyle w:val="58"/>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17.4.1在竞争性磋商文件规定的响应性文件接收截止时间之后递交响应性文件的；</w:t>
      </w:r>
    </w:p>
    <w:p w14:paraId="53BCD07E">
      <w:pPr>
        <w:pStyle w:val="58"/>
        <w:spacing w:line="5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17.4.2响应性文件未按竞争性磋商文件规定密封、签署、盖章的；</w:t>
      </w:r>
    </w:p>
    <w:p w14:paraId="6C627F7E">
      <w:pPr>
        <w:pStyle w:val="58"/>
        <w:spacing w:line="560" w:lineRule="exact"/>
        <w:ind w:firstLine="480" w:firstLineChars="200"/>
        <w:rPr>
          <w:rFonts w:ascii="宋体" w:hAnsi="宋体"/>
          <w:b/>
          <w:color w:val="000000" w:themeColor="text1"/>
          <w:sz w:val="24"/>
          <w:szCs w:val="24"/>
        </w:rPr>
      </w:pPr>
      <w:r>
        <w:rPr>
          <w:rFonts w:hint="eastAsia" w:ascii="宋体" w:hAnsi="宋体"/>
          <w:color w:val="000000" w:themeColor="text1"/>
          <w:sz w:val="24"/>
          <w:szCs w:val="24"/>
        </w:rPr>
        <w:t>17.4.3一个供应商不止递交一套响应性文件的。</w:t>
      </w:r>
    </w:p>
    <w:p w14:paraId="7BA629A6">
      <w:pPr>
        <w:pStyle w:val="5"/>
        <w:spacing w:line="360" w:lineRule="auto"/>
        <w:rPr>
          <w:b/>
          <w:color w:val="000000" w:themeColor="text1"/>
        </w:rPr>
      </w:pPr>
      <w:bookmarkStart w:id="48" w:name="_Toc138765841"/>
      <w:r>
        <w:rPr>
          <w:rFonts w:hint="eastAsia"/>
          <w:b/>
          <w:color w:val="000000" w:themeColor="text1"/>
        </w:rPr>
        <w:t>五、竞争性磋商</w:t>
      </w:r>
      <w:bookmarkEnd w:id="48"/>
    </w:p>
    <w:p w14:paraId="69E8F3B6">
      <w:pPr>
        <w:spacing w:line="560" w:lineRule="exact"/>
        <w:ind w:firstLine="482" w:firstLineChars="200"/>
        <w:rPr>
          <w:rFonts w:ascii="宋体" w:hAnsi="宋体" w:cs="宋体"/>
          <w:b/>
          <w:color w:val="000000" w:themeColor="text1"/>
          <w:sz w:val="24"/>
          <w:lang w:val="zh-CN"/>
        </w:rPr>
      </w:pPr>
      <w:r>
        <w:rPr>
          <w:rFonts w:hint="eastAsia" w:ascii="宋体" w:hAnsi="宋体" w:cs="宋体"/>
          <w:b/>
          <w:color w:val="000000" w:themeColor="text1"/>
          <w:sz w:val="24"/>
        </w:rPr>
        <w:t>18.组建</w:t>
      </w:r>
      <w:r>
        <w:rPr>
          <w:rFonts w:hint="eastAsia" w:ascii="宋体" w:hAnsi="宋体" w:cs="宋体"/>
          <w:b/>
          <w:color w:val="000000" w:themeColor="text1"/>
          <w:sz w:val="24"/>
          <w:lang w:val="zh-CN"/>
        </w:rPr>
        <w:t>竞争性磋商小组</w:t>
      </w:r>
    </w:p>
    <w:p w14:paraId="017B90C7">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18.1采购人根据采购项目的特点依法组建竞争性磋商小组。</w:t>
      </w:r>
    </w:p>
    <w:p w14:paraId="133C10FF">
      <w:pPr>
        <w:spacing w:line="56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18.2竞争性磋商小组</w:t>
      </w:r>
      <w:r>
        <w:rPr>
          <w:rFonts w:hint="eastAsia" w:ascii="宋体" w:hAnsi="宋体" w:cs="宋体"/>
          <w:bCs/>
          <w:color w:val="000000" w:themeColor="text1"/>
          <w:kern w:val="0"/>
          <w:sz w:val="24"/>
        </w:rPr>
        <w:t>确认竞争性磋商文件，并</w:t>
      </w:r>
      <w:r>
        <w:rPr>
          <w:rFonts w:hint="eastAsia" w:ascii="宋体" w:hAnsi="宋体" w:cs="宋体"/>
          <w:color w:val="000000" w:themeColor="text1"/>
          <w:kern w:val="0"/>
          <w:sz w:val="24"/>
        </w:rPr>
        <w:t>负责具体评审事务，根据有关法律法规和竞争性磋商文件规定的评审程序，按照评审方法及评审标准独立履行竞争性磋商小组职责。</w:t>
      </w:r>
    </w:p>
    <w:p w14:paraId="2295DA27">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19.资格性和符合性审查</w:t>
      </w:r>
    </w:p>
    <w:p w14:paraId="725FE16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15508FF6">
      <w:pPr>
        <w:spacing w:line="560" w:lineRule="exact"/>
        <w:ind w:firstLine="480" w:firstLineChars="200"/>
        <w:rPr>
          <w:rFonts w:ascii="宋体" w:hAnsi="宋体" w:cs="宋体"/>
          <w:b/>
          <w:bCs/>
          <w:color w:val="000000" w:themeColor="text1"/>
          <w:sz w:val="24"/>
        </w:rPr>
      </w:pPr>
      <w:r>
        <w:rPr>
          <w:rFonts w:hint="eastAsia" w:ascii="宋体" w:hAnsi="宋体" w:cs="宋体"/>
          <w:color w:val="000000" w:themeColor="text1"/>
          <w:sz w:val="24"/>
        </w:rPr>
        <w:t>19.1.1资格性审查的内容包括：竞争性磋商文件规定的供应商资格条件；</w:t>
      </w:r>
    </w:p>
    <w:p w14:paraId="29FD8C83">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47C3AB2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19.2.1符合性审查的内容包括：</w:t>
      </w:r>
    </w:p>
    <w:p w14:paraId="6E7DFF0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（1）响应性文件的有效性(签署情况等)；</w:t>
      </w:r>
    </w:p>
    <w:p w14:paraId="4C819EC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（2）响应性文件的完整性；</w:t>
      </w:r>
    </w:p>
    <w:p w14:paraId="1776C3B7">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（3）对竞争性磋商文件的响应程度（是否存在重大负偏离等）。   </w:t>
      </w:r>
    </w:p>
    <w:p w14:paraId="3AD0CF7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u w:val="single"/>
        </w:rPr>
        <w:t>以上资格性审查和符合性审查的内容只要有一条不满足，则响应性文件无效，将不进入竞争性磋商程序。</w:t>
      </w:r>
    </w:p>
    <w:p w14:paraId="46AA238B">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注意事项：资格性、符合性证明材料见竞争性磋商文件第四章规定。  </w:t>
      </w:r>
    </w:p>
    <w:p w14:paraId="52DF4A1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19.3实质性响应的响应性文件是指与竞争性磋商文件的全部条款、条件和规格相符，没有重大偏离；重大负偏离的认定须经竞争性磋商小组三分之二以上同意。</w:t>
      </w:r>
    </w:p>
    <w:p w14:paraId="4568460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3B6C9DAB">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19.5如果响应性文件实质上没有响应竞争性磋商文件的要求，将作为无效处理，供应商不得再对响应性文件进行任何修正从而使其响应性文件成为实质上响应的文件；</w:t>
      </w:r>
    </w:p>
    <w:p w14:paraId="782265B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19.6竞争性磋商小组审定响应性文件的响应性只根据响应性文件本身的内容而不寻求外部证据。</w:t>
      </w:r>
    </w:p>
    <w:p w14:paraId="43C9C9E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19.7凡有下列情况之一的，其响应性文件也被视为未实质性响应竞争性磋商文件，按照无效处理（不再参加竞争性磋商）：</w:t>
      </w:r>
    </w:p>
    <w:p w14:paraId="58D93A6E">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19.7.1未按竞争性磋商文件规定要求</w:t>
      </w:r>
      <w:r>
        <w:rPr>
          <w:rFonts w:hint="eastAsia" w:ascii="宋体" w:hAnsi="宋体" w:cs="宋体"/>
          <w:color w:val="000000" w:themeColor="text1"/>
          <w:sz w:val="24"/>
          <w:lang w:val="zh-CN"/>
        </w:rPr>
        <w:t>签署、盖章的；</w:t>
      </w:r>
    </w:p>
    <w:p w14:paraId="5ECC5261">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19.7.2资格证明文件不全的，或不符合竞争性磋商文件中规定的资格要求的；</w:t>
      </w:r>
    </w:p>
    <w:p w14:paraId="30122305">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19.7.3供应商代表未能出具有效身份证明</w:t>
      </w:r>
      <w:r>
        <w:rPr>
          <w:rFonts w:ascii="宋体" w:hAnsi="宋体" w:cs="宋体"/>
          <w:color w:val="000000" w:themeColor="text1"/>
          <w:sz w:val="24"/>
        </w:rPr>
        <w:t>（包含劳动合同和企业为个人缴纳的个人参保证明）</w:t>
      </w:r>
      <w:r>
        <w:rPr>
          <w:rFonts w:hint="eastAsia" w:ascii="宋体" w:hAnsi="宋体" w:cs="宋体"/>
          <w:color w:val="000000" w:themeColor="text1"/>
          <w:sz w:val="24"/>
        </w:rPr>
        <w:t>，或与身份不符的；</w:t>
      </w:r>
    </w:p>
    <w:p w14:paraId="7BF9CED5">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19.7.4不符合竞争性磋商文件规定的实质性要求的；</w:t>
      </w:r>
    </w:p>
    <w:p w14:paraId="252A98FE">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19.7.5响应性文件内容不齐全或内容虚假的；</w:t>
      </w:r>
    </w:p>
    <w:p w14:paraId="4C80148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19.7.6响应性文件的实质性内容未使用中文表述；</w:t>
      </w:r>
    </w:p>
    <w:p w14:paraId="12048F1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19.7.7响应性文件的内容修改处未按规定签名或盖章的；</w:t>
      </w:r>
    </w:p>
    <w:p w14:paraId="366040C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19.7.8违反法律、行政法规、竞争性磋商文件规定的其他情形的。</w:t>
      </w:r>
    </w:p>
    <w:p w14:paraId="1138A8A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19.7.9不同供应商的电子投标（响应）文件上传计算机的网卡 MAC 地址、CPU 序列号和硬盘序列号等硬件信息相同的;</w:t>
      </w:r>
    </w:p>
    <w:p w14:paraId="75FB0D2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19.7.10不同供应商的投标（响应）文件由同一电子设备编制，打印、复印、加密或者上传的；</w:t>
      </w:r>
    </w:p>
    <w:p w14:paraId="04D92A5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19.7.11不同供应商的投标（响应）文件由同一人送达或者分发，或者不同供应商联系人为同一人或不同联系人的联系电话一致的；</w:t>
      </w:r>
    </w:p>
    <w:p w14:paraId="71610F7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19.7.12不同供应商的投标（响应）文件的内容存在两处以上细节错误一致；</w:t>
      </w:r>
    </w:p>
    <w:p w14:paraId="3CDE203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19.7.13不同供应商的法定代表人、委托代理人、项目经理、项目负责人等由同一个单位缴纳社会保险或者领取报酬的；</w:t>
      </w:r>
    </w:p>
    <w:p w14:paraId="744BE706">
      <w:pPr>
        <w:spacing w:line="360" w:lineRule="auto"/>
        <w:ind w:firstLine="480" w:firstLineChars="200"/>
        <w:rPr>
          <w:color w:val="000000" w:themeColor="text1"/>
        </w:rPr>
      </w:pPr>
      <w:r>
        <w:rPr>
          <w:rFonts w:hint="eastAsia" w:ascii="宋体" w:hAnsi="宋体" w:cs="宋体"/>
          <w:color w:val="000000" w:themeColor="text1"/>
          <w:sz w:val="24"/>
        </w:rPr>
        <w:t>19.7.14不同供应商投标（响应）文件中法定代表人或者负责人签字出自同一人之手。</w:t>
      </w:r>
    </w:p>
    <w:p w14:paraId="0C21A827">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19.7.15拟派</w:t>
      </w:r>
      <w:r>
        <w:rPr>
          <w:rFonts w:hint="eastAsia" w:ascii="宋体" w:hAnsi="宋体" w:cs="宋体"/>
          <w:color w:val="000000" w:themeColor="text1"/>
          <w:kern w:val="0"/>
          <w:sz w:val="24"/>
        </w:rPr>
        <w:t>项目负责人未提供劳动合同及社保部门开具的在本单位近6个月以来的社保证明的。</w:t>
      </w:r>
    </w:p>
    <w:p w14:paraId="3D35BFB2">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19.8在评审过程中，竞争性磋商小组发现供应商有下列情形之一的，视为供应商相互串通，按照无效处理并依据法律、法规追究其相关责任。具体表现形式如下：</w:t>
      </w:r>
    </w:p>
    <w:p w14:paraId="252E0105">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19.8.1不同供应商的响应性文件互相混装的；</w:t>
      </w:r>
    </w:p>
    <w:p w14:paraId="05C1CF4D">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19.8.2不同供应商授权同一人作为供应商委托代理人的；</w:t>
      </w:r>
    </w:p>
    <w:p w14:paraId="5E3AF597">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19.8.3不同供应商的响应性文件载明的项目管理成员为同一人的；</w:t>
      </w:r>
    </w:p>
    <w:p w14:paraId="52AFA002">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19.8.4有证据证明供应商与采购人、采购代理机构或者其他供应商串通的其他情形；</w:t>
      </w:r>
    </w:p>
    <w:p w14:paraId="09BDC9E3">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19.8.5竞争性磋商小组认定的其他串通情形。</w:t>
      </w:r>
    </w:p>
    <w:p w14:paraId="71F4C8DD">
      <w:pPr>
        <w:pStyle w:val="40"/>
        <w:rPr>
          <w:rFonts w:ascii="宋体" w:hAnsi="宋体" w:cs="宋体"/>
          <w:color w:val="000000" w:themeColor="text1"/>
          <w:sz w:val="24"/>
          <w:szCs w:val="24"/>
        </w:rPr>
      </w:pPr>
    </w:p>
    <w:tbl>
      <w:tblPr>
        <w:tblStyle w:val="3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4B46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581E4F50">
            <w:pPr>
              <w:pStyle w:val="75"/>
              <w:pBdr>
                <w:bottom w:val="none" w:color="auto" w:sz="0" w:space="0"/>
              </w:pBdr>
              <w:tabs>
                <w:tab w:val="clear" w:pos="4153"/>
                <w:tab w:val="clear" w:pos="8306"/>
              </w:tabs>
              <w:snapToGrid w:val="0"/>
              <w:spacing w:line="360" w:lineRule="auto"/>
              <w:ind w:right="-10"/>
              <w:textAlignment w:val="auto"/>
              <w:rPr>
                <w:rFonts w:ascii="宋体" w:hAnsi="宋体" w:cs="宋体"/>
                <w:b/>
                <w:color w:val="000000" w:themeColor="text1"/>
                <w:kern w:val="2"/>
                <w:szCs w:val="24"/>
              </w:rPr>
            </w:pPr>
            <w:r>
              <w:rPr>
                <w:rFonts w:hint="eastAsia" w:ascii="宋体" w:hAnsi="宋体" w:cs="宋体"/>
                <w:b/>
                <w:color w:val="000000" w:themeColor="text1"/>
                <w:kern w:val="2"/>
                <w:szCs w:val="24"/>
              </w:rPr>
              <w:t>项目符合性审查表</w:t>
            </w:r>
          </w:p>
        </w:tc>
      </w:tr>
      <w:tr w14:paraId="485B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5B2E2D8D">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序号</w:t>
            </w:r>
          </w:p>
        </w:tc>
        <w:tc>
          <w:tcPr>
            <w:tcW w:w="2665" w:type="dxa"/>
            <w:tcBorders>
              <w:bottom w:val="single" w:color="auto" w:sz="4" w:space="0"/>
            </w:tcBorders>
            <w:vAlign w:val="center"/>
          </w:tcPr>
          <w:p w14:paraId="28A978E3">
            <w:pPr>
              <w:pStyle w:val="75"/>
              <w:pBdr>
                <w:bottom w:val="none" w:color="auto" w:sz="0" w:space="0"/>
              </w:pBdr>
              <w:tabs>
                <w:tab w:val="clear" w:pos="4153"/>
                <w:tab w:val="clear" w:pos="8306"/>
              </w:tabs>
              <w:snapToGrid w:val="0"/>
              <w:spacing w:line="360" w:lineRule="auto"/>
              <w:ind w:right="-10"/>
              <w:textAlignment w:val="auto"/>
              <w:rPr>
                <w:rFonts w:ascii="宋体" w:hAnsi="宋体" w:cs="宋体"/>
                <w:color w:val="000000" w:themeColor="text1"/>
                <w:kern w:val="2"/>
                <w:szCs w:val="24"/>
              </w:rPr>
            </w:pPr>
            <w:r>
              <w:rPr>
                <w:rFonts w:hint="eastAsia" w:ascii="宋体" w:hAnsi="宋体" w:cs="宋体"/>
                <w:color w:val="000000" w:themeColor="text1"/>
                <w:kern w:val="2"/>
                <w:szCs w:val="24"/>
              </w:rPr>
              <w:t>指标名称</w:t>
            </w:r>
          </w:p>
        </w:tc>
        <w:tc>
          <w:tcPr>
            <w:tcW w:w="1937" w:type="dxa"/>
            <w:tcBorders>
              <w:bottom w:val="single" w:color="auto" w:sz="4" w:space="0"/>
            </w:tcBorders>
            <w:vAlign w:val="center"/>
          </w:tcPr>
          <w:p w14:paraId="452FF53B">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指标要求</w:t>
            </w:r>
          </w:p>
        </w:tc>
        <w:tc>
          <w:tcPr>
            <w:tcW w:w="825" w:type="dxa"/>
            <w:tcBorders>
              <w:bottom w:val="single" w:color="auto" w:sz="4" w:space="0"/>
            </w:tcBorders>
            <w:vAlign w:val="center"/>
          </w:tcPr>
          <w:p w14:paraId="579D7324">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是否</w:t>
            </w:r>
          </w:p>
          <w:p w14:paraId="1506FAEF">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通过</w:t>
            </w:r>
          </w:p>
        </w:tc>
        <w:tc>
          <w:tcPr>
            <w:tcW w:w="2371" w:type="dxa"/>
            <w:tcBorders>
              <w:bottom w:val="single" w:color="auto" w:sz="4" w:space="0"/>
            </w:tcBorders>
            <w:vAlign w:val="center"/>
          </w:tcPr>
          <w:p w14:paraId="3D1FD402">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投标文件格式及</w:t>
            </w:r>
          </w:p>
          <w:p w14:paraId="055EEEAC">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提交资料要求</w:t>
            </w:r>
          </w:p>
        </w:tc>
      </w:tr>
      <w:tr w14:paraId="0FA8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24E8120A">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w:t>
            </w:r>
          </w:p>
        </w:tc>
        <w:tc>
          <w:tcPr>
            <w:tcW w:w="2665" w:type="dxa"/>
            <w:vAlign w:val="center"/>
          </w:tcPr>
          <w:p w14:paraId="5B11871A">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营业执照</w:t>
            </w:r>
          </w:p>
        </w:tc>
        <w:tc>
          <w:tcPr>
            <w:tcW w:w="1937" w:type="dxa"/>
            <w:vAlign w:val="center"/>
          </w:tcPr>
          <w:p w14:paraId="3BF59014">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7223182B">
            <w:pPr>
              <w:adjustRightInd w:val="0"/>
              <w:snapToGrid w:val="0"/>
              <w:spacing w:line="360" w:lineRule="auto"/>
              <w:ind w:right="-10"/>
              <w:rPr>
                <w:rFonts w:ascii="宋体" w:hAnsi="宋体" w:cs="宋体"/>
                <w:color w:val="000000" w:themeColor="text1"/>
                <w:sz w:val="24"/>
              </w:rPr>
            </w:pPr>
          </w:p>
        </w:tc>
        <w:tc>
          <w:tcPr>
            <w:tcW w:w="2371" w:type="dxa"/>
            <w:vAlign w:val="center"/>
          </w:tcPr>
          <w:p w14:paraId="0F4B309D">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5B40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6EFF9B4">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2</w:t>
            </w:r>
          </w:p>
        </w:tc>
        <w:tc>
          <w:tcPr>
            <w:tcW w:w="2665" w:type="dxa"/>
            <w:vAlign w:val="center"/>
          </w:tcPr>
          <w:p w14:paraId="14E15120">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法定代表人及身份证</w:t>
            </w:r>
          </w:p>
        </w:tc>
        <w:tc>
          <w:tcPr>
            <w:tcW w:w="1937" w:type="dxa"/>
            <w:vAlign w:val="center"/>
          </w:tcPr>
          <w:p w14:paraId="648569EF">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3B8996C7">
            <w:pPr>
              <w:adjustRightInd w:val="0"/>
              <w:snapToGrid w:val="0"/>
              <w:spacing w:line="360" w:lineRule="auto"/>
              <w:ind w:right="-10"/>
              <w:rPr>
                <w:rFonts w:ascii="宋体" w:hAnsi="宋体" w:cs="宋体"/>
                <w:color w:val="000000" w:themeColor="text1"/>
                <w:sz w:val="24"/>
              </w:rPr>
            </w:pPr>
          </w:p>
        </w:tc>
        <w:tc>
          <w:tcPr>
            <w:tcW w:w="2371" w:type="dxa"/>
            <w:vAlign w:val="center"/>
          </w:tcPr>
          <w:p w14:paraId="46234D28">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066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6AB6573">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3</w:t>
            </w:r>
          </w:p>
        </w:tc>
        <w:tc>
          <w:tcPr>
            <w:tcW w:w="2665" w:type="dxa"/>
            <w:vAlign w:val="center"/>
          </w:tcPr>
          <w:p w14:paraId="376BD5B6">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纳税凭证和社保证明</w:t>
            </w:r>
          </w:p>
        </w:tc>
        <w:tc>
          <w:tcPr>
            <w:tcW w:w="1937" w:type="dxa"/>
            <w:vAlign w:val="center"/>
          </w:tcPr>
          <w:p w14:paraId="7FD9B764">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7DC3363E">
            <w:pPr>
              <w:adjustRightInd w:val="0"/>
              <w:snapToGrid w:val="0"/>
              <w:spacing w:line="360" w:lineRule="auto"/>
              <w:ind w:right="-10"/>
              <w:rPr>
                <w:rFonts w:ascii="宋体" w:hAnsi="宋体" w:cs="宋体"/>
                <w:color w:val="000000" w:themeColor="text1"/>
                <w:sz w:val="24"/>
              </w:rPr>
            </w:pPr>
          </w:p>
        </w:tc>
        <w:tc>
          <w:tcPr>
            <w:tcW w:w="2371" w:type="dxa"/>
            <w:vAlign w:val="center"/>
          </w:tcPr>
          <w:p w14:paraId="10BCDF9F">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5FC3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1BD0AF5F">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4</w:t>
            </w:r>
          </w:p>
        </w:tc>
        <w:tc>
          <w:tcPr>
            <w:tcW w:w="2665" w:type="dxa"/>
            <w:vAlign w:val="center"/>
          </w:tcPr>
          <w:p w14:paraId="609C3D0A">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财务审计报告</w:t>
            </w:r>
          </w:p>
        </w:tc>
        <w:tc>
          <w:tcPr>
            <w:tcW w:w="1937" w:type="dxa"/>
            <w:vAlign w:val="center"/>
          </w:tcPr>
          <w:p w14:paraId="0B0EB48B">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75C56EB2">
            <w:pPr>
              <w:adjustRightInd w:val="0"/>
              <w:snapToGrid w:val="0"/>
              <w:spacing w:line="360" w:lineRule="auto"/>
              <w:ind w:right="-10"/>
              <w:rPr>
                <w:rFonts w:ascii="宋体" w:hAnsi="宋体" w:cs="宋体"/>
                <w:color w:val="000000" w:themeColor="text1"/>
                <w:sz w:val="24"/>
              </w:rPr>
            </w:pPr>
          </w:p>
        </w:tc>
        <w:tc>
          <w:tcPr>
            <w:tcW w:w="2371" w:type="dxa"/>
            <w:vAlign w:val="center"/>
          </w:tcPr>
          <w:p w14:paraId="615FF9BE">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547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4447ED29">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5</w:t>
            </w:r>
          </w:p>
        </w:tc>
        <w:tc>
          <w:tcPr>
            <w:tcW w:w="2665" w:type="dxa"/>
            <w:vAlign w:val="center"/>
          </w:tcPr>
          <w:p w14:paraId="4DD579CF">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“信用中国”“中国政府采购网”查询</w:t>
            </w:r>
          </w:p>
        </w:tc>
        <w:tc>
          <w:tcPr>
            <w:tcW w:w="1937" w:type="dxa"/>
            <w:vAlign w:val="center"/>
          </w:tcPr>
          <w:p w14:paraId="2EDC7416">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5AE7D114">
            <w:pPr>
              <w:adjustRightInd w:val="0"/>
              <w:snapToGrid w:val="0"/>
              <w:spacing w:line="360" w:lineRule="auto"/>
              <w:ind w:right="-10"/>
              <w:rPr>
                <w:rFonts w:ascii="宋体" w:hAnsi="宋体" w:cs="宋体"/>
                <w:color w:val="000000" w:themeColor="text1"/>
                <w:sz w:val="24"/>
              </w:rPr>
            </w:pPr>
          </w:p>
        </w:tc>
        <w:tc>
          <w:tcPr>
            <w:tcW w:w="2371" w:type="dxa"/>
            <w:vAlign w:val="center"/>
          </w:tcPr>
          <w:p w14:paraId="653563A0">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700D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1F7CDC02">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6</w:t>
            </w:r>
          </w:p>
        </w:tc>
        <w:tc>
          <w:tcPr>
            <w:tcW w:w="2665" w:type="dxa"/>
            <w:vAlign w:val="center"/>
          </w:tcPr>
          <w:p w14:paraId="1710A56E">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投标文件签字盖章格式</w:t>
            </w:r>
          </w:p>
        </w:tc>
        <w:tc>
          <w:tcPr>
            <w:tcW w:w="1937" w:type="dxa"/>
            <w:vAlign w:val="center"/>
          </w:tcPr>
          <w:p w14:paraId="4261CB23">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08916BCD">
            <w:pPr>
              <w:adjustRightInd w:val="0"/>
              <w:snapToGrid w:val="0"/>
              <w:spacing w:line="360" w:lineRule="auto"/>
              <w:ind w:right="-10"/>
              <w:rPr>
                <w:rFonts w:ascii="宋体" w:hAnsi="宋体" w:cs="宋体"/>
                <w:color w:val="000000" w:themeColor="text1"/>
                <w:sz w:val="24"/>
              </w:rPr>
            </w:pPr>
          </w:p>
        </w:tc>
        <w:tc>
          <w:tcPr>
            <w:tcW w:w="2371" w:type="dxa"/>
            <w:vAlign w:val="center"/>
          </w:tcPr>
          <w:p w14:paraId="3736E29B">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32E3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03FC42A">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7</w:t>
            </w:r>
          </w:p>
        </w:tc>
        <w:tc>
          <w:tcPr>
            <w:tcW w:w="2665" w:type="dxa"/>
            <w:vAlign w:val="center"/>
          </w:tcPr>
          <w:p w14:paraId="54C88275">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合格供应商的声明函和承诺书</w:t>
            </w:r>
          </w:p>
        </w:tc>
        <w:tc>
          <w:tcPr>
            <w:tcW w:w="1937" w:type="dxa"/>
            <w:vAlign w:val="center"/>
          </w:tcPr>
          <w:p w14:paraId="2C284A09">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6EE11A58">
            <w:pPr>
              <w:adjustRightInd w:val="0"/>
              <w:snapToGrid w:val="0"/>
              <w:spacing w:line="360" w:lineRule="auto"/>
              <w:ind w:right="-10"/>
              <w:rPr>
                <w:rFonts w:ascii="宋体" w:hAnsi="宋体" w:cs="宋体"/>
                <w:color w:val="000000" w:themeColor="text1"/>
                <w:sz w:val="24"/>
              </w:rPr>
            </w:pPr>
          </w:p>
        </w:tc>
        <w:tc>
          <w:tcPr>
            <w:tcW w:w="2371" w:type="dxa"/>
            <w:vAlign w:val="center"/>
          </w:tcPr>
          <w:p w14:paraId="2EB9FB00">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1BE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0E5F8440">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8</w:t>
            </w:r>
          </w:p>
        </w:tc>
        <w:tc>
          <w:tcPr>
            <w:tcW w:w="2665" w:type="dxa"/>
            <w:vAlign w:val="center"/>
          </w:tcPr>
          <w:p w14:paraId="4860331D">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服务期</w:t>
            </w:r>
          </w:p>
        </w:tc>
        <w:tc>
          <w:tcPr>
            <w:tcW w:w="1937" w:type="dxa"/>
            <w:vAlign w:val="center"/>
          </w:tcPr>
          <w:p w14:paraId="6180B6A6">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3C96BA4F">
            <w:pPr>
              <w:adjustRightInd w:val="0"/>
              <w:snapToGrid w:val="0"/>
              <w:spacing w:line="360" w:lineRule="auto"/>
              <w:ind w:right="-10"/>
              <w:rPr>
                <w:rFonts w:ascii="宋体" w:hAnsi="宋体" w:cs="宋体"/>
                <w:color w:val="000000" w:themeColor="text1"/>
                <w:sz w:val="24"/>
              </w:rPr>
            </w:pPr>
          </w:p>
        </w:tc>
        <w:tc>
          <w:tcPr>
            <w:tcW w:w="2371" w:type="dxa"/>
            <w:vAlign w:val="center"/>
          </w:tcPr>
          <w:p w14:paraId="2977FF5A">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142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1C5616DC">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9</w:t>
            </w:r>
          </w:p>
        </w:tc>
        <w:tc>
          <w:tcPr>
            <w:tcW w:w="2665" w:type="dxa"/>
            <w:vAlign w:val="center"/>
          </w:tcPr>
          <w:p w14:paraId="6B1D41BC">
            <w:pPr>
              <w:spacing w:after="50"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投标有效期</w:t>
            </w:r>
          </w:p>
        </w:tc>
        <w:tc>
          <w:tcPr>
            <w:tcW w:w="1937" w:type="dxa"/>
            <w:vAlign w:val="center"/>
          </w:tcPr>
          <w:p w14:paraId="55F10615">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2ED68147">
            <w:pPr>
              <w:adjustRightInd w:val="0"/>
              <w:snapToGrid w:val="0"/>
              <w:spacing w:line="360" w:lineRule="auto"/>
              <w:ind w:right="-10"/>
              <w:rPr>
                <w:rFonts w:ascii="宋体" w:hAnsi="宋体" w:cs="宋体"/>
                <w:color w:val="000000" w:themeColor="text1"/>
                <w:sz w:val="24"/>
              </w:rPr>
            </w:pPr>
          </w:p>
        </w:tc>
        <w:tc>
          <w:tcPr>
            <w:tcW w:w="2371" w:type="dxa"/>
            <w:vAlign w:val="center"/>
          </w:tcPr>
          <w:p w14:paraId="2E477540">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7897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3CB8C8F7">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10</w:t>
            </w:r>
          </w:p>
        </w:tc>
        <w:tc>
          <w:tcPr>
            <w:tcW w:w="2665" w:type="dxa"/>
            <w:vAlign w:val="center"/>
          </w:tcPr>
          <w:p w14:paraId="2C6571F5">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服务技术要求</w:t>
            </w:r>
          </w:p>
        </w:tc>
        <w:tc>
          <w:tcPr>
            <w:tcW w:w="1937" w:type="dxa"/>
            <w:vAlign w:val="center"/>
          </w:tcPr>
          <w:p w14:paraId="3D6AD90F">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24EFBC62">
            <w:pPr>
              <w:adjustRightInd w:val="0"/>
              <w:snapToGrid w:val="0"/>
              <w:spacing w:line="360" w:lineRule="auto"/>
              <w:ind w:right="-10"/>
              <w:rPr>
                <w:rFonts w:ascii="宋体" w:hAnsi="宋体" w:cs="宋体"/>
                <w:color w:val="000000" w:themeColor="text1"/>
                <w:sz w:val="24"/>
              </w:rPr>
            </w:pPr>
          </w:p>
        </w:tc>
        <w:tc>
          <w:tcPr>
            <w:tcW w:w="2371" w:type="dxa"/>
            <w:vAlign w:val="center"/>
          </w:tcPr>
          <w:p w14:paraId="34D8D514">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7950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4F213E7A">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11</w:t>
            </w:r>
          </w:p>
        </w:tc>
        <w:tc>
          <w:tcPr>
            <w:tcW w:w="2665" w:type="dxa"/>
            <w:vAlign w:val="center"/>
          </w:tcPr>
          <w:p w14:paraId="75EEE627">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其他实质性要求</w:t>
            </w:r>
          </w:p>
        </w:tc>
        <w:tc>
          <w:tcPr>
            <w:tcW w:w="1937" w:type="dxa"/>
            <w:vAlign w:val="center"/>
          </w:tcPr>
          <w:p w14:paraId="214D8BC0">
            <w:pPr>
              <w:spacing w:after="50"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见招标文件</w:t>
            </w:r>
          </w:p>
        </w:tc>
        <w:tc>
          <w:tcPr>
            <w:tcW w:w="825" w:type="dxa"/>
            <w:vAlign w:val="center"/>
          </w:tcPr>
          <w:p w14:paraId="743F4F95">
            <w:pPr>
              <w:adjustRightInd w:val="0"/>
              <w:snapToGrid w:val="0"/>
              <w:spacing w:line="360" w:lineRule="auto"/>
              <w:ind w:right="-10"/>
              <w:rPr>
                <w:rFonts w:ascii="宋体" w:hAnsi="宋体" w:cs="宋体"/>
                <w:color w:val="000000" w:themeColor="text1"/>
                <w:sz w:val="24"/>
              </w:rPr>
            </w:pPr>
          </w:p>
        </w:tc>
        <w:tc>
          <w:tcPr>
            <w:tcW w:w="2371" w:type="dxa"/>
            <w:vAlign w:val="center"/>
          </w:tcPr>
          <w:p w14:paraId="02A7FFAF">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见投标文件</w:t>
            </w:r>
          </w:p>
        </w:tc>
      </w:tr>
      <w:tr w14:paraId="31C4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00073A73">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12</w:t>
            </w:r>
          </w:p>
        </w:tc>
        <w:tc>
          <w:tcPr>
            <w:tcW w:w="2665" w:type="dxa"/>
            <w:vAlign w:val="center"/>
          </w:tcPr>
          <w:p w14:paraId="60F80B02">
            <w:pPr>
              <w:spacing w:after="50" w:line="360" w:lineRule="auto"/>
              <w:ind w:right="-10"/>
              <w:jc w:val="center"/>
              <w:rPr>
                <w:rFonts w:ascii="宋体" w:hAnsi="宋体" w:cs="宋体"/>
                <w:bCs/>
                <w:color w:val="000000" w:themeColor="text1"/>
                <w:sz w:val="24"/>
              </w:rPr>
            </w:pPr>
          </w:p>
        </w:tc>
        <w:tc>
          <w:tcPr>
            <w:tcW w:w="1937" w:type="dxa"/>
            <w:vAlign w:val="center"/>
          </w:tcPr>
          <w:p w14:paraId="441DED4A">
            <w:pPr>
              <w:spacing w:after="50" w:line="360" w:lineRule="auto"/>
              <w:ind w:right="-10"/>
              <w:jc w:val="center"/>
              <w:rPr>
                <w:rFonts w:ascii="宋体" w:hAnsi="宋体" w:cs="宋体"/>
                <w:color w:val="000000" w:themeColor="text1"/>
                <w:sz w:val="24"/>
              </w:rPr>
            </w:pPr>
          </w:p>
        </w:tc>
        <w:tc>
          <w:tcPr>
            <w:tcW w:w="825" w:type="dxa"/>
            <w:vAlign w:val="center"/>
          </w:tcPr>
          <w:p w14:paraId="733A3A3B">
            <w:pPr>
              <w:adjustRightInd w:val="0"/>
              <w:snapToGrid w:val="0"/>
              <w:spacing w:line="360" w:lineRule="auto"/>
              <w:ind w:right="-10"/>
              <w:rPr>
                <w:rFonts w:ascii="宋体" w:hAnsi="宋体" w:cs="宋体"/>
                <w:color w:val="000000" w:themeColor="text1"/>
                <w:sz w:val="24"/>
              </w:rPr>
            </w:pPr>
          </w:p>
        </w:tc>
        <w:tc>
          <w:tcPr>
            <w:tcW w:w="2371" w:type="dxa"/>
            <w:vAlign w:val="center"/>
          </w:tcPr>
          <w:p w14:paraId="74D9A2A0">
            <w:pPr>
              <w:adjustRightInd w:val="0"/>
              <w:snapToGrid w:val="0"/>
              <w:spacing w:line="360" w:lineRule="auto"/>
              <w:ind w:right="-10"/>
              <w:jc w:val="center"/>
              <w:rPr>
                <w:rFonts w:ascii="宋体" w:hAnsi="宋体" w:cs="宋体"/>
                <w:color w:val="000000" w:themeColor="text1"/>
                <w:sz w:val="24"/>
              </w:rPr>
            </w:pPr>
          </w:p>
        </w:tc>
      </w:tr>
      <w:tr w14:paraId="0309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8" w:hRule="atLeast"/>
        </w:trPr>
        <w:tc>
          <w:tcPr>
            <w:tcW w:w="707" w:type="dxa"/>
            <w:vAlign w:val="center"/>
          </w:tcPr>
          <w:p w14:paraId="22EF1D26">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13</w:t>
            </w:r>
          </w:p>
        </w:tc>
        <w:tc>
          <w:tcPr>
            <w:tcW w:w="2665" w:type="dxa"/>
            <w:vAlign w:val="center"/>
          </w:tcPr>
          <w:p w14:paraId="258F51CE">
            <w:pPr>
              <w:spacing w:after="50" w:line="360" w:lineRule="auto"/>
              <w:ind w:right="-10"/>
              <w:jc w:val="center"/>
              <w:rPr>
                <w:rFonts w:ascii="宋体" w:hAnsi="宋体" w:cs="宋体"/>
                <w:color w:val="000000" w:themeColor="text1"/>
                <w:sz w:val="24"/>
              </w:rPr>
            </w:pPr>
          </w:p>
        </w:tc>
        <w:tc>
          <w:tcPr>
            <w:tcW w:w="1937" w:type="dxa"/>
            <w:vAlign w:val="center"/>
          </w:tcPr>
          <w:p w14:paraId="6B6C3667">
            <w:pPr>
              <w:spacing w:after="50" w:line="360" w:lineRule="auto"/>
              <w:ind w:right="-10"/>
              <w:jc w:val="center"/>
              <w:rPr>
                <w:rFonts w:ascii="宋体" w:hAnsi="宋体" w:cs="宋体"/>
                <w:color w:val="000000" w:themeColor="text1"/>
                <w:sz w:val="24"/>
              </w:rPr>
            </w:pPr>
          </w:p>
        </w:tc>
        <w:tc>
          <w:tcPr>
            <w:tcW w:w="825" w:type="dxa"/>
            <w:vAlign w:val="center"/>
          </w:tcPr>
          <w:p w14:paraId="3354F7B0">
            <w:pPr>
              <w:adjustRightInd w:val="0"/>
              <w:snapToGrid w:val="0"/>
              <w:spacing w:line="360" w:lineRule="auto"/>
              <w:ind w:right="-10"/>
              <w:rPr>
                <w:rFonts w:ascii="宋体" w:hAnsi="宋体" w:cs="宋体"/>
                <w:color w:val="000000" w:themeColor="text1"/>
                <w:sz w:val="24"/>
              </w:rPr>
            </w:pPr>
          </w:p>
        </w:tc>
        <w:tc>
          <w:tcPr>
            <w:tcW w:w="2371" w:type="dxa"/>
            <w:vAlign w:val="center"/>
          </w:tcPr>
          <w:p w14:paraId="2B278684">
            <w:pPr>
              <w:adjustRightInd w:val="0"/>
              <w:snapToGrid w:val="0"/>
              <w:spacing w:line="360" w:lineRule="auto"/>
              <w:ind w:right="-10"/>
              <w:jc w:val="center"/>
              <w:rPr>
                <w:rFonts w:ascii="宋体" w:hAnsi="宋体" w:cs="宋体"/>
                <w:color w:val="000000" w:themeColor="text1"/>
                <w:sz w:val="24"/>
              </w:rPr>
            </w:pPr>
          </w:p>
        </w:tc>
      </w:tr>
      <w:tr w14:paraId="2AF9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157193FF">
            <w:pPr>
              <w:adjustRightInd w:val="0"/>
              <w:snapToGrid w:val="0"/>
              <w:spacing w:line="360" w:lineRule="auto"/>
              <w:ind w:right="-10"/>
              <w:jc w:val="center"/>
              <w:rPr>
                <w:rFonts w:ascii="宋体" w:hAnsi="宋体" w:cs="宋体"/>
                <w:color w:val="000000" w:themeColor="text1"/>
                <w:sz w:val="24"/>
              </w:rPr>
            </w:pPr>
            <w:r>
              <w:rPr>
                <w:rFonts w:hint="eastAsia" w:ascii="宋体" w:hAnsi="宋体" w:cs="宋体"/>
                <w:color w:val="000000" w:themeColor="text1"/>
                <w:sz w:val="24"/>
              </w:rPr>
              <w:t>14</w:t>
            </w:r>
          </w:p>
        </w:tc>
        <w:tc>
          <w:tcPr>
            <w:tcW w:w="2665" w:type="dxa"/>
            <w:vAlign w:val="center"/>
          </w:tcPr>
          <w:p w14:paraId="78420D3C">
            <w:pPr>
              <w:spacing w:after="50" w:line="360" w:lineRule="auto"/>
              <w:ind w:right="-10"/>
              <w:jc w:val="center"/>
              <w:rPr>
                <w:rFonts w:ascii="宋体" w:hAnsi="宋体" w:cs="宋体"/>
                <w:bCs/>
                <w:color w:val="000000" w:themeColor="text1"/>
                <w:sz w:val="24"/>
              </w:rPr>
            </w:pPr>
            <w:r>
              <w:rPr>
                <w:rFonts w:hint="eastAsia" w:ascii="宋体" w:hAnsi="宋体" w:cs="宋体"/>
                <w:bCs/>
                <w:color w:val="000000" w:themeColor="text1"/>
                <w:sz w:val="24"/>
              </w:rPr>
              <w:t>结论</w:t>
            </w:r>
          </w:p>
        </w:tc>
        <w:tc>
          <w:tcPr>
            <w:tcW w:w="5133" w:type="dxa"/>
            <w:gridSpan w:val="3"/>
            <w:vAlign w:val="center"/>
          </w:tcPr>
          <w:p w14:paraId="49FC1916">
            <w:pPr>
              <w:adjustRightInd w:val="0"/>
              <w:snapToGrid w:val="0"/>
              <w:spacing w:line="360" w:lineRule="auto"/>
              <w:ind w:right="-10"/>
              <w:jc w:val="center"/>
              <w:rPr>
                <w:rFonts w:ascii="宋体" w:hAnsi="宋体" w:cs="宋体"/>
                <w:color w:val="000000" w:themeColor="text1"/>
                <w:sz w:val="24"/>
              </w:rPr>
            </w:pPr>
            <w:r>
              <w:rPr>
                <w:rFonts w:hint="eastAsia" w:ascii="宋体" w:hAnsi="宋体" w:cs="宋体"/>
                <w:bCs/>
                <w:color w:val="000000" w:themeColor="text1"/>
                <w:sz w:val="24"/>
              </w:rPr>
              <w:t>是否通过审查</w:t>
            </w:r>
          </w:p>
        </w:tc>
      </w:tr>
    </w:tbl>
    <w:p w14:paraId="340BF096">
      <w:pPr>
        <w:pStyle w:val="40"/>
        <w:rPr>
          <w:rFonts w:ascii="宋体" w:hAnsi="宋体" w:cs="宋体"/>
          <w:color w:val="000000" w:themeColor="text1"/>
          <w:sz w:val="24"/>
          <w:szCs w:val="24"/>
        </w:rPr>
      </w:pPr>
    </w:p>
    <w:p w14:paraId="7A6C3BA6">
      <w:pPr>
        <w:pStyle w:val="40"/>
        <w:rPr>
          <w:rFonts w:ascii="宋体" w:hAnsi="宋体" w:cs="宋体"/>
          <w:color w:val="000000" w:themeColor="text1"/>
          <w:sz w:val="24"/>
          <w:szCs w:val="24"/>
        </w:rPr>
      </w:pPr>
    </w:p>
    <w:p w14:paraId="2FB7EFDA">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20.响应性文件的澄清</w:t>
      </w:r>
    </w:p>
    <w:p w14:paraId="307C61CF">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2DB47A9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1B66DFC6">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20.3供应商拒不进行澄清、说明、补正的，或者不能在竞争性磋商小组规定时间内作出书面澄清、说明、补正的，其响应性文件将被作为无效处理。</w:t>
      </w:r>
    </w:p>
    <w:p w14:paraId="25E9760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20.4供应商的书面澄清材料作为响应性文件的补充。 </w:t>
      </w:r>
    </w:p>
    <w:p w14:paraId="1BCC281B">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20.5竞争性磋商小组不得接受供应商主动提出的澄清和解释。 </w:t>
      </w:r>
    </w:p>
    <w:p w14:paraId="691706E0">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20.6并非每个供应商都将被询问、澄清。</w:t>
      </w:r>
    </w:p>
    <w:p w14:paraId="5C779458">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21.竞争性磋商</w:t>
      </w:r>
    </w:p>
    <w:p w14:paraId="3EA7FBBF">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21.1资格性审查和符合性审查合格的供应商，将进入本次竞争性磋商程序。</w:t>
      </w:r>
    </w:p>
    <w:p w14:paraId="6A28A1A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21.2竞争性磋商将按照供应商的签到顺序进行。</w:t>
      </w:r>
    </w:p>
    <w:p w14:paraId="0CB7B76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21.3磋商内容包括：</w:t>
      </w:r>
    </w:p>
    <w:p w14:paraId="5F134B2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21.3.1按照竞争性磋商文件中商务部分的内容，对照供应商提交的响应文件逐一进行比较各项指标和要求。</w:t>
      </w:r>
    </w:p>
    <w:p w14:paraId="06EEE6E3">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21.3.2按照竞争性磋商文件中技术部分的内容，对照供应商提交的响应文件逐一进行比较各项指标和要求。</w:t>
      </w:r>
    </w:p>
    <w:p w14:paraId="1AEAF08A">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21.3.3按照竞争性磋商文件中合同条款部分的内容，对照供应商提交的响应文件逐一进行比较各项指标和要求。</w:t>
      </w:r>
    </w:p>
    <w:p w14:paraId="47CC48C9">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21.3.4在磋商中，磋商的任何一方不得透露与磋商有关的其他供应商的技术资料及其他信息。</w:t>
      </w:r>
    </w:p>
    <w:p w14:paraId="2FF46EFB">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21.4</w:t>
      </w:r>
      <w:r>
        <w:rPr>
          <w:rFonts w:hint="eastAsia" w:ascii="宋体" w:hAnsi="宋体" w:cs="宋体"/>
          <w:color w:val="000000" w:themeColor="text1"/>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A198C6F">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21.4.1</w:t>
      </w:r>
      <w:r>
        <w:rPr>
          <w:rFonts w:hint="eastAsia" w:ascii="宋体" w:hAnsi="宋体" w:cs="宋体"/>
          <w:color w:val="000000" w:themeColor="text1"/>
          <w:sz w:val="24"/>
          <w:lang w:val="zh-CN"/>
        </w:rPr>
        <w:t>对竞争性磋商文件作出实质性变动是竞争性磋商文件的有效组成部分，竞争性磋商小组应当及时以书面形式同时通知所有参加竞争性磋商的供应商。</w:t>
      </w:r>
    </w:p>
    <w:p w14:paraId="11CD1DE2">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21.4.2供应商应当按照竞争性磋商文件的变动情况和竞争性磋商小组的要求重新提交响应性文件，并由其法定代表人或授权代表签字或者加盖公章。</w:t>
      </w:r>
    </w:p>
    <w:p w14:paraId="4FA0E824">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21.5报价</w:t>
      </w:r>
    </w:p>
    <w:p w14:paraId="2DBCE926">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1</w:t>
      </w:r>
      <w:r>
        <w:rPr>
          <w:rFonts w:hint="eastAsia" w:ascii="宋体" w:hAnsi="宋体" w:cs="宋体"/>
          <w:color w:val="000000" w:themeColor="text1"/>
          <w:sz w:val="24"/>
          <w:lang w:val="zh-CN"/>
        </w:rPr>
        <w:t>一次报价依据</w:t>
      </w:r>
      <w:r>
        <w:rPr>
          <w:rFonts w:hint="eastAsia" w:ascii="宋体" w:hAnsi="宋体" w:cs="宋体"/>
          <w:color w:val="000000" w:themeColor="text1"/>
          <w:sz w:val="24"/>
        </w:rPr>
        <w:t>是</w:t>
      </w:r>
      <w:r>
        <w:rPr>
          <w:rFonts w:hint="eastAsia" w:ascii="宋体" w:hAnsi="宋体" w:cs="宋体"/>
          <w:color w:val="000000" w:themeColor="text1"/>
          <w:sz w:val="24"/>
          <w:lang w:val="zh-CN"/>
        </w:rPr>
        <w:t>供应商的投标函和开标记录。</w:t>
      </w:r>
    </w:p>
    <w:p w14:paraId="2ADA6038">
      <w:pPr>
        <w:pStyle w:val="2"/>
        <w:ind w:firstLine="240"/>
        <w:rPr>
          <w:rFonts w:ascii="宋体" w:hAnsi="宋体" w:cs="宋体"/>
          <w:color w:val="000000" w:themeColor="text1"/>
          <w:sz w:val="24"/>
        </w:rPr>
      </w:pPr>
    </w:p>
    <w:p w14:paraId="75E640AE">
      <w:pPr>
        <w:pStyle w:val="5"/>
        <w:spacing w:line="360" w:lineRule="auto"/>
        <w:rPr>
          <w:b/>
          <w:color w:val="000000" w:themeColor="text1"/>
        </w:rPr>
      </w:pPr>
      <w:bookmarkStart w:id="49" w:name="_Toc138765842"/>
      <w:r>
        <w:rPr>
          <w:rFonts w:hint="eastAsia"/>
          <w:b/>
          <w:color w:val="000000" w:themeColor="text1"/>
        </w:rPr>
        <w:t>六、评定标准</w:t>
      </w:r>
      <w:bookmarkEnd w:id="49"/>
    </w:p>
    <w:p w14:paraId="4EF16E7D">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22.竞争性磋商过程及保密原则</w:t>
      </w:r>
    </w:p>
    <w:p w14:paraId="32A49525">
      <w:pPr>
        <w:spacing w:line="46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273494CC">
      <w:pPr>
        <w:spacing w:line="46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采购代理机构在评标结束后2个工作日内将评标报告送采购人。采购人自收到评标报告之日起５个工作日内，在评标报告确定的中标候选人名单中确定中标人。</w:t>
      </w:r>
    </w:p>
    <w:p w14:paraId="7C7D2AFC">
      <w:pPr>
        <w:pStyle w:val="20"/>
        <w:spacing w:after="0" w:line="560" w:lineRule="exact"/>
        <w:ind w:left="0" w:leftChars="0" w:firstLine="480" w:firstLineChars="200"/>
        <w:rPr>
          <w:rFonts w:ascii="宋体" w:hAnsi="宋体" w:cs="宋体"/>
          <w:bCs/>
          <w:color w:val="000000" w:themeColor="text1"/>
          <w:sz w:val="24"/>
        </w:rPr>
      </w:pPr>
      <w:r>
        <w:rPr>
          <w:rFonts w:hint="eastAsia" w:ascii="宋体" w:hAnsi="宋体" w:cs="宋体"/>
          <w:bCs/>
          <w:color w:val="000000" w:themeColor="text1"/>
          <w:sz w:val="24"/>
        </w:rPr>
        <w:t>22.2对通过初步审查的响应文件，采用百分制综合评分法进行评价。</w:t>
      </w:r>
    </w:p>
    <w:p w14:paraId="619A7C14">
      <w:pPr>
        <w:spacing w:line="360" w:lineRule="auto"/>
        <w:ind w:right="-92" w:rightChars="-44"/>
        <w:rPr>
          <w:rFonts w:ascii="宋体" w:hAnsi="宋体" w:cs="宋体"/>
          <w:color w:val="000000" w:themeColor="text1"/>
          <w:sz w:val="24"/>
        </w:rPr>
      </w:pPr>
      <w:r>
        <w:rPr>
          <w:rFonts w:hint="eastAsia" w:ascii="宋体" w:hAnsi="宋体" w:cs="宋体"/>
          <w:color w:val="000000" w:themeColor="text1"/>
          <w:sz w:val="24"/>
        </w:rPr>
        <w:t>评标方法：</w:t>
      </w:r>
    </w:p>
    <w:p w14:paraId="1449CF09">
      <w:pPr>
        <w:pStyle w:val="31"/>
        <w:ind w:firstLine="480"/>
        <w:rPr>
          <w:rFonts w:ascii="宋体" w:hAnsi="宋体" w:eastAsia="宋体" w:cs="宋体"/>
          <w:color w:val="000000" w:themeColor="text1"/>
          <w:sz w:val="24"/>
        </w:rPr>
      </w:pPr>
    </w:p>
    <w:tbl>
      <w:tblPr>
        <w:tblStyle w:val="32"/>
        <w:tblW w:w="93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2054"/>
        <w:gridCol w:w="5821"/>
      </w:tblGrid>
      <w:tr w14:paraId="20EC2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46" w:type="dxa"/>
            <w:tcBorders>
              <w:left w:val="single" w:color="auto" w:sz="4" w:space="0"/>
            </w:tcBorders>
            <w:vAlign w:val="center"/>
          </w:tcPr>
          <w:p w14:paraId="37C2CC27">
            <w:pPr>
              <w:jc w:val="center"/>
              <w:rPr>
                <w:rFonts w:ascii="宋体" w:hAnsi="宋体" w:cs="宋体"/>
                <w:color w:val="000000" w:themeColor="text1"/>
              </w:rPr>
            </w:pPr>
            <w:r>
              <w:rPr>
                <w:rFonts w:ascii="宋体" w:hAnsi="宋体" w:cs="宋体"/>
                <w:b/>
                <w:color w:val="000000" w:themeColor="text1"/>
                <w:sz w:val="24"/>
              </w:rPr>
              <w:t>评分指标</w:t>
            </w:r>
          </w:p>
        </w:tc>
        <w:tc>
          <w:tcPr>
            <w:tcW w:w="2054" w:type="dxa"/>
            <w:tcBorders>
              <w:right w:val="single" w:color="auto" w:sz="4" w:space="0"/>
            </w:tcBorders>
            <w:vAlign w:val="center"/>
          </w:tcPr>
          <w:p w14:paraId="7F2DEAB3">
            <w:pPr>
              <w:jc w:val="center"/>
              <w:rPr>
                <w:rFonts w:ascii="宋体" w:hAnsi="宋体" w:cs="宋体"/>
                <w:color w:val="000000" w:themeColor="text1"/>
              </w:rPr>
            </w:pPr>
            <w:r>
              <w:rPr>
                <w:rFonts w:ascii="宋体" w:hAnsi="宋体" w:cs="宋体"/>
                <w:b/>
                <w:color w:val="000000" w:themeColor="text1"/>
                <w:sz w:val="24"/>
              </w:rPr>
              <w:t>分值</w:t>
            </w:r>
          </w:p>
        </w:tc>
        <w:tc>
          <w:tcPr>
            <w:tcW w:w="5821" w:type="dxa"/>
            <w:tcBorders>
              <w:left w:val="single" w:color="auto" w:sz="4" w:space="0"/>
            </w:tcBorders>
            <w:vAlign w:val="center"/>
          </w:tcPr>
          <w:p w14:paraId="65DDFD11">
            <w:pPr>
              <w:jc w:val="center"/>
              <w:rPr>
                <w:rFonts w:ascii="宋体" w:hAnsi="宋体" w:cs="宋体"/>
                <w:color w:val="000000" w:themeColor="text1"/>
              </w:rPr>
            </w:pPr>
            <w:r>
              <w:rPr>
                <w:rFonts w:ascii="宋体" w:hAnsi="宋体" w:cs="宋体"/>
                <w:b/>
                <w:color w:val="000000" w:themeColor="text1"/>
                <w:sz w:val="24"/>
              </w:rPr>
              <w:t>指标说明及评分标准</w:t>
            </w:r>
          </w:p>
        </w:tc>
      </w:tr>
      <w:tr w14:paraId="405EA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46" w:type="dxa"/>
            <w:tcBorders>
              <w:left w:val="single" w:color="auto" w:sz="4" w:space="0"/>
            </w:tcBorders>
            <w:vAlign w:val="center"/>
          </w:tcPr>
          <w:p w14:paraId="56B18D88">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投标报价评分标准30分</w:t>
            </w:r>
          </w:p>
        </w:tc>
        <w:tc>
          <w:tcPr>
            <w:tcW w:w="2054" w:type="dxa"/>
            <w:tcBorders>
              <w:right w:val="single" w:color="auto" w:sz="4" w:space="0"/>
            </w:tcBorders>
            <w:vAlign w:val="center"/>
          </w:tcPr>
          <w:p w14:paraId="21025F87">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投标报价（30分）</w:t>
            </w:r>
          </w:p>
        </w:tc>
        <w:tc>
          <w:tcPr>
            <w:tcW w:w="5821" w:type="dxa"/>
            <w:tcBorders>
              <w:left w:val="single" w:color="auto" w:sz="4" w:space="0"/>
            </w:tcBorders>
            <w:vAlign w:val="center"/>
          </w:tcPr>
          <w:p w14:paraId="58907D1D">
            <w:pPr>
              <w:spacing w:line="320" w:lineRule="auto"/>
              <w:rPr>
                <w:rFonts w:ascii="宋体" w:hAnsi="宋体" w:cs="宋体"/>
                <w:color w:val="000000" w:themeColor="text1"/>
                <w:sz w:val="24"/>
              </w:rPr>
            </w:pPr>
            <w:r>
              <w:rPr>
                <w:rFonts w:hint="eastAsia" w:ascii="宋体" w:hAnsi="宋体" w:cs="宋体"/>
                <w:color w:val="000000" w:themeColor="text1"/>
                <w:sz w:val="24"/>
              </w:rPr>
              <w:t>满足磋商文件要求且最后报价最低的供应商的价格为磋商基准价，其价格分为满分。其他供应商的价格分统一按照下列公式计算：</w:t>
            </w:r>
          </w:p>
          <w:p w14:paraId="46C7139C">
            <w:pPr>
              <w:spacing w:line="320" w:lineRule="auto"/>
              <w:rPr>
                <w:rFonts w:ascii="宋体" w:hAnsi="宋体" w:cs="宋体"/>
                <w:color w:val="000000" w:themeColor="text1"/>
                <w:sz w:val="24"/>
              </w:rPr>
            </w:pPr>
            <w:r>
              <w:rPr>
                <w:rFonts w:hint="eastAsia" w:ascii="宋体" w:hAnsi="宋体" w:cs="宋体"/>
                <w:color w:val="000000" w:themeColor="text1"/>
                <w:sz w:val="24"/>
              </w:rPr>
              <w:t>磋商报价得分=（磋商基准价/最后磋商报价）×30×100%</w:t>
            </w:r>
            <w:bookmarkStart w:id="68" w:name="_GoBack"/>
            <w:bookmarkEnd w:id="68"/>
          </w:p>
          <w:p w14:paraId="4CA0F9A0">
            <w:pPr>
              <w:spacing w:line="320" w:lineRule="auto"/>
              <w:rPr>
                <w:rFonts w:ascii="宋体" w:hAnsi="宋体" w:cs="宋体"/>
                <w:color w:val="000000" w:themeColor="text1"/>
                <w:sz w:val="24"/>
              </w:rPr>
            </w:pPr>
            <w:r>
              <w:rPr>
                <w:rFonts w:hint="eastAsia" w:ascii="宋体" w:hAnsi="宋体" w:cs="宋体"/>
                <w:color w:val="000000" w:themeColor="text1"/>
                <w:sz w:val="24"/>
              </w:rPr>
              <w:t>注：价格分计算保留小数点后二位。</w:t>
            </w:r>
          </w:p>
          <w:p w14:paraId="052368BD">
            <w:pPr>
              <w:spacing w:line="320" w:lineRule="auto"/>
              <w:rPr>
                <w:rFonts w:ascii="宋体" w:hAnsi="宋体" w:cs="宋体"/>
                <w:color w:val="000000" w:themeColor="text1"/>
                <w:sz w:val="24"/>
              </w:rPr>
            </w:pPr>
            <w:r>
              <w:rPr>
                <w:rFonts w:hint="eastAsia" w:ascii="宋体" w:hAnsi="宋体" w:cs="宋体"/>
                <w:color w:val="000000" w:themeColor="text1"/>
                <w:sz w:val="24"/>
              </w:rPr>
              <w:t>备注：根据财政部、工信部关于印发《关于进一步加大政府采购支持中小企业力度的通知》财库〔2022〕19号）文件规定：</w:t>
            </w:r>
          </w:p>
          <w:p w14:paraId="6824FB79">
            <w:pPr>
              <w:spacing w:line="320" w:lineRule="auto"/>
              <w:rPr>
                <w:rFonts w:ascii="宋体" w:hAnsi="宋体" w:cs="宋体"/>
                <w:color w:val="000000" w:themeColor="text1"/>
                <w:sz w:val="24"/>
              </w:rPr>
            </w:pPr>
            <w:r>
              <w:rPr>
                <w:rFonts w:hint="eastAsia" w:ascii="宋体" w:hAnsi="宋体" w:cs="宋体"/>
                <w:color w:val="000000" w:themeColor="text1"/>
                <w:sz w:val="24"/>
              </w:rPr>
              <w:t>（1）对小微企业报价给予20%扣除，请按照《政府采购促进中小企业发展管理办法》要求提供中小企业声明函。</w:t>
            </w:r>
          </w:p>
          <w:p w14:paraId="1D7980FF">
            <w:pPr>
              <w:spacing w:line="320" w:lineRule="auto"/>
              <w:rPr>
                <w:rFonts w:ascii="宋体" w:hAnsi="宋体" w:cs="宋体"/>
                <w:color w:val="000000" w:themeColor="text1"/>
                <w:sz w:val="24"/>
              </w:rPr>
            </w:pPr>
            <w:r>
              <w:rPr>
                <w:rFonts w:hint="eastAsia" w:ascii="宋体" w:hAnsi="宋体" w:cs="宋体"/>
                <w:color w:val="000000" w:themeColor="text1"/>
                <w:sz w:val="24"/>
              </w:rPr>
              <w:t>（2）关于监狱企业：视同小微企业。须提供由省级以上监狱管理局、戒毒管理局（含新疆生产建设兵团）出具的属于监狱企业的证明文件，否则不考虑价格扣除。</w:t>
            </w:r>
          </w:p>
          <w:p w14:paraId="2C2C020D">
            <w:pPr>
              <w:spacing w:line="320" w:lineRule="auto"/>
              <w:rPr>
                <w:rFonts w:ascii="宋体" w:hAnsi="宋体" w:cs="宋体"/>
                <w:color w:val="000000" w:themeColor="text1"/>
                <w:sz w:val="24"/>
              </w:rPr>
            </w:pPr>
            <w:r>
              <w:rPr>
                <w:rFonts w:hint="eastAsia" w:ascii="宋体" w:hAnsi="宋体" w:cs="宋体"/>
                <w:color w:val="000000" w:themeColor="text1"/>
                <w:sz w:val="24"/>
              </w:rPr>
              <w:t>（3）关于残疾人福利性单位：视同小微企业。须提供完整的“残疾人福利性单位声明函”，否则在价格评审时不予考虑价格扣除。残疾人福利性单位属于小型、微型企业的，不重复享受政策。</w:t>
            </w:r>
          </w:p>
          <w:p w14:paraId="4F89A102">
            <w:pPr>
              <w:tabs>
                <w:tab w:val="left" w:pos="5130"/>
              </w:tabs>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（4）没有提供有效证明材料的供应商将被视为不接受投标总价的扣除，用原投标总价参与评审。</w:t>
            </w:r>
          </w:p>
        </w:tc>
      </w:tr>
      <w:tr w14:paraId="1670E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6" w:type="dxa"/>
            <w:vMerge w:val="restart"/>
            <w:tcBorders>
              <w:left w:val="single" w:color="auto" w:sz="4" w:space="0"/>
            </w:tcBorders>
            <w:vAlign w:val="center"/>
          </w:tcPr>
          <w:p w14:paraId="46D51EA7">
            <w:pPr>
              <w:tabs>
                <w:tab w:val="left" w:pos="5130"/>
              </w:tabs>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技术部分</w:t>
            </w:r>
          </w:p>
          <w:p w14:paraId="68C36220">
            <w:pPr>
              <w:tabs>
                <w:tab w:val="left" w:pos="5130"/>
              </w:tabs>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(40分）</w:t>
            </w:r>
          </w:p>
        </w:tc>
        <w:tc>
          <w:tcPr>
            <w:tcW w:w="2054" w:type="dxa"/>
            <w:tcBorders>
              <w:right w:val="single" w:color="auto" w:sz="4" w:space="0"/>
            </w:tcBorders>
            <w:vAlign w:val="center"/>
          </w:tcPr>
          <w:p w14:paraId="13C0CE1A">
            <w:pPr>
              <w:autoSpaceDE w:val="0"/>
              <w:autoSpaceDN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运维服务巡检制度、巡检可视化可视化监督管理方案（10分）</w:t>
            </w:r>
          </w:p>
        </w:tc>
        <w:tc>
          <w:tcPr>
            <w:tcW w:w="5821" w:type="dxa"/>
            <w:tcBorders>
              <w:left w:val="single" w:color="auto" w:sz="4" w:space="0"/>
            </w:tcBorders>
            <w:vAlign w:val="center"/>
          </w:tcPr>
          <w:p w14:paraId="00DF63A2">
            <w:pPr>
              <w:numPr>
                <w:ilvl w:val="0"/>
                <w:numId w:val="2"/>
              </w:num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信号灯、电子警察的日常维修、更换、保养等服务方案包含维护、更换、保养工作标准化体系、巡检管理制度、运维服务组织机构、岗位职责的得5分，不提供不得分；</w:t>
            </w:r>
          </w:p>
          <w:p w14:paraId="66CC0D0A">
            <w:pPr>
              <w:numPr>
                <w:ilvl w:val="0"/>
                <w:numId w:val="2"/>
              </w:numPr>
              <w:autoSpaceDE w:val="0"/>
              <w:autoSpaceDN w:val="0"/>
              <w:spacing w:line="312" w:lineRule="auto"/>
              <w:jc w:val="left"/>
              <w:rPr>
                <w:rFonts w:ascii="宋体" w:hAnsi="宋体"/>
                <w:color w:val="000000" w:themeColor="text1"/>
                <w:kern w:val="0"/>
                <w:sz w:val="24"/>
              </w:rPr>
            </w:pPr>
            <w:r>
              <w:rPr>
                <w:rFonts w:hint="eastAsia" w:ascii="宋体" w:hAnsi="宋体" w:cs="宋体"/>
                <w:color w:val="000000" w:themeColor="text1"/>
                <w:kern w:val="0"/>
                <w:sz w:val="24"/>
              </w:rPr>
              <w:t>供应商提供巡检可视化监督管理方案得5分，不提供不得分。</w:t>
            </w:r>
          </w:p>
        </w:tc>
      </w:tr>
      <w:tr w14:paraId="33ECA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684F73DE">
            <w:pPr>
              <w:tabs>
                <w:tab w:val="left" w:pos="5130"/>
              </w:tabs>
              <w:autoSpaceDE w:val="0"/>
              <w:autoSpaceDN w:val="0"/>
              <w:adjustRightInd w:val="0"/>
              <w:snapToGrid w:val="0"/>
              <w:spacing w:line="360" w:lineRule="auto"/>
              <w:jc w:val="left"/>
              <w:rPr>
                <w:rFonts w:ascii="宋体" w:hAnsi="宋体" w:cs="宋体"/>
                <w:bCs/>
                <w:color w:val="000000" w:themeColor="text1"/>
                <w:kern w:val="0"/>
                <w:sz w:val="24"/>
              </w:rPr>
            </w:pPr>
          </w:p>
        </w:tc>
        <w:tc>
          <w:tcPr>
            <w:tcW w:w="2054" w:type="dxa"/>
            <w:tcBorders>
              <w:right w:val="single" w:color="auto" w:sz="4" w:space="0"/>
            </w:tcBorders>
            <w:vAlign w:val="center"/>
          </w:tcPr>
          <w:p w14:paraId="10ADAFF9">
            <w:pPr>
              <w:autoSpaceDE w:val="0"/>
              <w:autoSpaceDN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安全管理体系和安全考核标准、安全保证措施（15分）</w:t>
            </w:r>
          </w:p>
        </w:tc>
        <w:tc>
          <w:tcPr>
            <w:tcW w:w="5821" w:type="dxa"/>
            <w:tcBorders>
              <w:left w:val="single" w:color="auto" w:sz="4" w:space="0"/>
            </w:tcBorders>
            <w:vAlign w:val="center"/>
          </w:tcPr>
          <w:p w14:paraId="140060F3">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1、供应商提供的安全管理体系得5分，不提供不得分；</w:t>
            </w:r>
          </w:p>
          <w:p w14:paraId="28535632">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2、供应商提供的安全考核标准得5分，不提供不得分；</w:t>
            </w:r>
          </w:p>
          <w:p w14:paraId="54116249">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3、供应商提供的安全保证措施得5分，不提供不得分。</w:t>
            </w:r>
          </w:p>
        </w:tc>
      </w:tr>
      <w:tr w14:paraId="697A4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5945A347">
            <w:pPr>
              <w:tabs>
                <w:tab w:val="left" w:pos="5130"/>
              </w:tabs>
              <w:autoSpaceDE w:val="0"/>
              <w:autoSpaceDN w:val="0"/>
              <w:adjustRightInd w:val="0"/>
              <w:snapToGrid w:val="0"/>
              <w:spacing w:line="360" w:lineRule="auto"/>
              <w:jc w:val="left"/>
              <w:rPr>
                <w:rFonts w:ascii="宋体" w:hAnsi="宋体" w:cs="宋体"/>
                <w:bCs/>
                <w:color w:val="000000" w:themeColor="text1"/>
                <w:kern w:val="0"/>
                <w:sz w:val="24"/>
              </w:rPr>
            </w:pPr>
          </w:p>
        </w:tc>
        <w:tc>
          <w:tcPr>
            <w:tcW w:w="2054" w:type="dxa"/>
            <w:tcBorders>
              <w:right w:val="single" w:color="auto" w:sz="4" w:space="0"/>
            </w:tcBorders>
            <w:vAlign w:val="center"/>
          </w:tcPr>
          <w:p w14:paraId="2D28B808">
            <w:pPr>
              <w:autoSpaceDE w:val="0"/>
              <w:autoSpaceDN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基础维护档案管理措施（5分）</w:t>
            </w:r>
          </w:p>
        </w:tc>
        <w:tc>
          <w:tcPr>
            <w:tcW w:w="5821" w:type="dxa"/>
            <w:tcBorders>
              <w:left w:val="single" w:color="auto" w:sz="4" w:space="0"/>
            </w:tcBorders>
            <w:vAlign w:val="center"/>
          </w:tcPr>
          <w:p w14:paraId="19D06331">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供应商提供基础维护档案和档案管理措施得5分，不提供不得分。</w:t>
            </w:r>
          </w:p>
        </w:tc>
      </w:tr>
      <w:tr w14:paraId="4F81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446" w:type="dxa"/>
            <w:vMerge w:val="continue"/>
            <w:tcBorders>
              <w:left w:val="single" w:color="auto" w:sz="4" w:space="0"/>
            </w:tcBorders>
            <w:vAlign w:val="center"/>
          </w:tcPr>
          <w:p w14:paraId="1768E5A0">
            <w:pPr>
              <w:tabs>
                <w:tab w:val="left" w:pos="5130"/>
              </w:tabs>
              <w:autoSpaceDE w:val="0"/>
              <w:autoSpaceDN w:val="0"/>
              <w:adjustRightInd w:val="0"/>
              <w:snapToGrid w:val="0"/>
              <w:spacing w:line="360" w:lineRule="auto"/>
              <w:jc w:val="left"/>
              <w:rPr>
                <w:rFonts w:ascii="宋体" w:hAnsi="宋体" w:cs="宋体"/>
                <w:bCs/>
                <w:color w:val="000000" w:themeColor="text1"/>
                <w:kern w:val="0"/>
                <w:sz w:val="24"/>
              </w:rPr>
            </w:pPr>
          </w:p>
        </w:tc>
        <w:tc>
          <w:tcPr>
            <w:tcW w:w="2054" w:type="dxa"/>
            <w:tcBorders>
              <w:right w:val="single" w:color="auto" w:sz="4" w:space="0"/>
            </w:tcBorders>
            <w:vAlign w:val="center"/>
          </w:tcPr>
          <w:p w14:paraId="06FC077B">
            <w:pPr>
              <w:autoSpaceDE w:val="0"/>
              <w:autoSpaceDN w:val="0"/>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突发事件应急预案（10分）</w:t>
            </w:r>
          </w:p>
        </w:tc>
        <w:tc>
          <w:tcPr>
            <w:tcW w:w="5821" w:type="dxa"/>
            <w:tcBorders>
              <w:left w:val="single" w:color="auto" w:sz="4" w:space="0"/>
            </w:tcBorders>
            <w:vAlign w:val="center"/>
          </w:tcPr>
          <w:p w14:paraId="55429FF9">
            <w:pPr>
              <w:autoSpaceDE w:val="0"/>
              <w:autoSpaceDN w:val="0"/>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对供应商提供的突发事件应急预案包含应急备品备件、突发事件应急保障管理机构、突发事件应急处置流程、应急保障措施等，以上内容完整得10分，否则不得分。</w:t>
            </w:r>
          </w:p>
        </w:tc>
      </w:tr>
      <w:tr w14:paraId="7679D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446" w:type="dxa"/>
            <w:vMerge w:val="restart"/>
            <w:tcBorders>
              <w:left w:val="single" w:color="auto" w:sz="4" w:space="0"/>
            </w:tcBorders>
            <w:vAlign w:val="center"/>
          </w:tcPr>
          <w:p w14:paraId="560C7FDC">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商务部分</w:t>
            </w:r>
          </w:p>
          <w:p w14:paraId="4A4D0B42">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（30分）</w:t>
            </w:r>
          </w:p>
        </w:tc>
        <w:tc>
          <w:tcPr>
            <w:tcW w:w="2054" w:type="dxa"/>
            <w:tcBorders>
              <w:right w:val="single" w:color="auto" w:sz="4" w:space="0"/>
            </w:tcBorders>
            <w:vAlign w:val="center"/>
          </w:tcPr>
          <w:p w14:paraId="1DA06A66">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体系认证证书（3分）</w:t>
            </w:r>
          </w:p>
        </w:tc>
        <w:tc>
          <w:tcPr>
            <w:tcW w:w="5821" w:type="dxa"/>
            <w:tcBorders>
              <w:left w:val="single" w:color="auto" w:sz="4" w:space="0"/>
            </w:tcBorders>
            <w:vAlign w:val="center"/>
          </w:tcPr>
          <w:p w14:paraId="5B1C61EF">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供应商提供质量管理体系认证证书、环境管理体系认证证书、职业安全健康管理体系认证证书，每提供一项得1分，最多得3分。（以上体系认证证书需在有效期内，同时应提供全国认证认可信息公共服务平台网站查询管理体系认证证书公众查询结果的截图，且查询结果的内容状态显示有效为准，否则不得分。）</w:t>
            </w:r>
          </w:p>
        </w:tc>
      </w:tr>
      <w:tr w14:paraId="19C7F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446" w:type="dxa"/>
            <w:vMerge w:val="continue"/>
            <w:tcBorders>
              <w:left w:val="single" w:color="auto" w:sz="4" w:space="0"/>
            </w:tcBorders>
            <w:vAlign w:val="center"/>
          </w:tcPr>
          <w:p w14:paraId="6C0037AB">
            <w:pPr>
              <w:tabs>
                <w:tab w:val="left" w:pos="5130"/>
              </w:tabs>
              <w:autoSpaceDE w:val="0"/>
              <w:autoSpaceDN w:val="0"/>
              <w:adjustRightInd w:val="0"/>
              <w:snapToGrid w:val="0"/>
              <w:spacing w:line="360" w:lineRule="auto"/>
              <w:jc w:val="left"/>
              <w:rPr>
                <w:rFonts w:ascii="宋体" w:hAnsi="宋体" w:cs="宋体"/>
                <w:bCs/>
                <w:color w:val="000000" w:themeColor="text1"/>
                <w:kern w:val="0"/>
                <w:sz w:val="24"/>
              </w:rPr>
            </w:pPr>
          </w:p>
        </w:tc>
        <w:tc>
          <w:tcPr>
            <w:tcW w:w="2054" w:type="dxa"/>
            <w:tcBorders>
              <w:right w:val="single" w:color="auto" w:sz="4" w:space="0"/>
            </w:tcBorders>
            <w:vAlign w:val="center"/>
          </w:tcPr>
          <w:p w14:paraId="5A88BAE2">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供应商实力（21分）</w:t>
            </w:r>
          </w:p>
        </w:tc>
        <w:tc>
          <w:tcPr>
            <w:tcW w:w="5821" w:type="dxa"/>
            <w:tcBorders>
              <w:left w:val="single" w:color="auto" w:sz="4" w:space="0"/>
            </w:tcBorders>
            <w:vAlign w:val="center"/>
          </w:tcPr>
          <w:p w14:paraId="7D5EB2AC">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1、彰显运维人员的技术能力，供应商拟投入的运维人员具有相关专业中级及以上职称的（附职称证书原件扫描件），每提供1套证明的得2.5分，最高得5分，不提供证明或提供不全的不得分。</w:t>
            </w:r>
          </w:p>
          <w:p w14:paraId="41FE4226">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2、为了更好地做好运维服务，供应商每提供一辆自持运维高空作业车和1个运维人员具有登高作业证的得2分，最高得6分，不提供或提供不全不得分；（须提供高空作业车发票或租赁证明、车辆照片和运维人员登高作业证）</w:t>
            </w:r>
          </w:p>
          <w:p w14:paraId="24770528">
            <w:pPr>
              <w:spacing w:after="120"/>
              <w:rPr>
                <w:rFonts w:ascii="宋体" w:hAnsi="宋体" w:cs="宋体"/>
                <w:color w:val="000000" w:themeColor="text1"/>
                <w:kern w:val="0"/>
                <w:sz w:val="24"/>
              </w:rPr>
            </w:pPr>
            <w:r>
              <w:rPr>
                <w:rFonts w:hint="eastAsia" w:ascii="宋体" w:hAnsi="宋体" w:cs="宋体"/>
                <w:color w:val="000000" w:themeColor="text1"/>
                <w:kern w:val="0"/>
                <w:sz w:val="24"/>
              </w:rPr>
              <w:t>3、供应商提供的道路交通技术监控维护项目在线率95%或以上的用户评价，每提供1个用户的评价得2分，最高得6分；（提供用户评价证明、须与中标通知书、合同书一致）</w:t>
            </w:r>
          </w:p>
          <w:p w14:paraId="5D388485">
            <w:pPr>
              <w:pStyle w:val="40"/>
              <w:rPr>
                <w:rFonts w:ascii="宋体" w:hAnsi="宋体" w:cs="宋体"/>
                <w:color w:val="000000" w:themeColor="text1"/>
                <w:kern w:val="0"/>
                <w:sz w:val="24"/>
                <w:szCs w:val="24"/>
              </w:rPr>
            </w:pPr>
            <w:r>
              <w:rPr>
                <w:rFonts w:hint="eastAsia" w:ascii="宋体" w:hAnsi="宋体" w:cs="宋体"/>
                <w:color w:val="000000" w:themeColor="text1"/>
                <w:kern w:val="0"/>
                <w:sz w:val="24"/>
                <w:szCs w:val="24"/>
              </w:rPr>
              <w:t>4、为了更好的维护本项目，供应商具有交通仿真能力，提供交通仿真能力证明资料，每提供1套证明的得2分，最高得4分，不提供证明或提供不全的不得分（须附证明文件、仿真软件发票等）；</w:t>
            </w:r>
          </w:p>
          <w:p w14:paraId="58F9ABA3">
            <w:pPr>
              <w:widowControl/>
              <w:jc w:val="left"/>
              <w:rPr>
                <w:color w:val="000000" w:themeColor="text1"/>
              </w:rPr>
            </w:pPr>
          </w:p>
        </w:tc>
      </w:tr>
      <w:tr w14:paraId="7650B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446" w:type="dxa"/>
            <w:vMerge w:val="continue"/>
            <w:tcBorders>
              <w:left w:val="single" w:color="auto" w:sz="4" w:space="0"/>
            </w:tcBorders>
            <w:vAlign w:val="center"/>
          </w:tcPr>
          <w:p w14:paraId="637EAA11">
            <w:pPr>
              <w:tabs>
                <w:tab w:val="left" w:pos="5130"/>
              </w:tabs>
              <w:autoSpaceDE w:val="0"/>
              <w:autoSpaceDN w:val="0"/>
              <w:adjustRightInd w:val="0"/>
              <w:snapToGrid w:val="0"/>
              <w:spacing w:line="360" w:lineRule="auto"/>
              <w:jc w:val="left"/>
              <w:rPr>
                <w:rFonts w:ascii="宋体" w:hAnsi="宋体" w:cs="宋体"/>
                <w:bCs/>
                <w:color w:val="000000" w:themeColor="text1"/>
                <w:kern w:val="0"/>
                <w:sz w:val="24"/>
              </w:rPr>
            </w:pPr>
          </w:p>
        </w:tc>
        <w:tc>
          <w:tcPr>
            <w:tcW w:w="2054" w:type="dxa"/>
            <w:tcBorders>
              <w:right w:val="single" w:color="auto" w:sz="4" w:space="0"/>
            </w:tcBorders>
            <w:vAlign w:val="center"/>
          </w:tcPr>
          <w:p w14:paraId="61FAB707">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业绩（6分）</w:t>
            </w:r>
          </w:p>
        </w:tc>
        <w:tc>
          <w:tcPr>
            <w:tcW w:w="5821" w:type="dxa"/>
            <w:tcBorders>
              <w:left w:val="single" w:color="auto" w:sz="4" w:space="0"/>
            </w:tcBorders>
            <w:vAlign w:val="center"/>
          </w:tcPr>
          <w:p w14:paraId="157C0E19">
            <w:pPr>
              <w:autoSpaceDE w:val="0"/>
              <w:autoSpaceDN w:val="0"/>
              <w:spacing w:line="312" w:lineRule="auto"/>
              <w:jc w:val="left"/>
              <w:rPr>
                <w:rFonts w:ascii="宋体" w:hAnsi="宋体" w:cs="宋体"/>
                <w:color w:val="000000" w:themeColor="text1"/>
                <w:kern w:val="0"/>
                <w:sz w:val="24"/>
              </w:rPr>
            </w:pPr>
            <w:r>
              <w:rPr>
                <w:rFonts w:hint="eastAsia" w:ascii="宋体" w:hAnsi="宋体" w:cs="宋体"/>
                <w:color w:val="000000" w:themeColor="text1"/>
                <w:kern w:val="0"/>
                <w:sz w:val="24"/>
              </w:rPr>
              <w:t>1、供应商有类似道路交通技术监控维护类业绩的，每有一项得2分，最多得6分。（须提供中标情况网上公示信息查询页面、中标通知书（扫描件）、合同协议书（扫描件），缺一项不得分。）</w:t>
            </w:r>
          </w:p>
        </w:tc>
      </w:tr>
    </w:tbl>
    <w:p w14:paraId="2D2164A1">
      <w:pPr>
        <w:spacing w:line="560" w:lineRule="exact"/>
        <w:rPr>
          <w:rFonts w:ascii="宋体" w:hAnsi="宋体" w:cs="宋体"/>
          <w:b/>
          <w:color w:val="000000" w:themeColor="text1"/>
          <w:sz w:val="24"/>
        </w:rPr>
      </w:pPr>
      <w:r>
        <w:rPr>
          <w:rFonts w:hint="eastAsia" w:ascii="宋体" w:hAnsi="宋体" w:cs="宋体"/>
          <w:b/>
          <w:color w:val="000000" w:themeColor="text1"/>
          <w:sz w:val="24"/>
        </w:rPr>
        <w:t xml:space="preserve">  最终得分为磋商小组所有成员计分的算术平均值，计算保留小数点两位，小数点后第三位四舍五入。</w:t>
      </w:r>
    </w:p>
    <w:p w14:paraId="3E7A44E5">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22.3磋商小组根据综合评分情况，按照评审得分由高到低顺序推荐成交候选供应商，并编写评审报告。综合得分相同的供应商，报价较低者优先；报价也相同的，由采购人自行确定。</w:t>
      </w:r>
    </w:p>
    <w:p w14:paraId="078B7E0E">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300124">
      <w:pPr>
        <w:spacing w:line="560" w:lineRule="exact"/>
        <w:ind w:firstLine="480" w:firstLineChars="200"/>
        <w:rPr>
          <w:rFonts w:ascii="宋体" w:hAnsi="宋体" w:cs="宋体"/>
          <w:b/>
          <w:color w:val="000000" w:themeColor="text1"/>
          <w:sz w:val="24"/>
        </w:rPr>
      </w:pPr>
      <w:r>
        <w:rPr>
          <w:rFonts w:hint="eastAsia" w:ascii="宋体" w:hAnsi="宋体" w:cs="宋体"/>
          <w:color w:val="000000" w:themeColor="text1"/>
          <w:sz w:val="24"/>
        </w:rPr>
        <w:t>22.5若供应商的报价高于项目预算，磋商小组有权根据采购人意见及其实际情况，拒绝该报价。</w:t>
      </w:r>
    </w:p>
    <w:p w14:paraId="18643497">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63DA7DE4">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22.7在竞争性磋商期间，供应商不得向竞争性磋商小组成员询问其它供应商竞争性磋商情况，不得进行旨在影响成交结果的活动。对上述内容作出保证并附响应文件中，否则视为不响应竞争性磋商文件要求。</w:t>
      </w:r>
    </w:p>
    <w:p w14:paraId="5D792EC7">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22.8在竞争性磋商期间，采购人将有专门人员与供应商进行联络。</w:t>
      </w:r>
    </w:p>
    <w:p w14:paraId="5B1BEE9E">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23.竞争性磋商终止</w:t>
      </w:r>
    </w:p>
    <w:p w14:paraId="102245CA">
      <w:pPr>
        <w:spacing w:line="560" w:lineRule="exact"/>
        <w:ind w:firstLine="480" w:firstLineChars="200"/>
        <w:rPr>
          <w:rFonts w:ascii="宋体" w:hAnsi="宋体" w:cs="宋体"/>
          <w:b/>
          <w:color w:val="000000" w:themeColor="text1"/>
          <w:sz w:val="24"/>
        </w:rPr>
      </w:pPr>
      <w:r>
        <w:rPr>
          <w:rFonts w:hint="eastAsia" w:ascii="宋体" w:hAnsi="宋体" w:cs="宋体"/>
          <w:bCs/>
          <w:color w:val="000000" w:themeColor="text1"/>
          <w:sz w:val="24"/>
        </w:rPr>
        <w:t>23.1出现下列情形之一时，采购人有权宣布竞争性磋商终止，并将理由通知所有供应商：</w:t>
      </w:r>
    </w:p>
    <w:p w14:paraId="145EA0C2">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（1）因情况变化，不再符合竞争性磋商适用情形的；</w:t>
      </w:r>
    </w:p>
    <w:p w14:paraId="4AEB38F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（2）出现影响采购公正的违法、违规行为的；</w:t>
      </w:r>
    </w:p>
    <w:p w14:paraId="31E0DE44">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（3）在采购过程中符合磋商文件要求的供应商不足3家的；</w:t>
      </w:r>
    </w:p>
    <w:p w14:paraId="71ECD13D">
      <w:pPr>
        <w:spacing w:line="560" w:lineRule="exact"/>
        <w:ind w:firstLine="480" w:firstLineChars="200"/>
        <w:rPr>
          <w:rFonts w:ascii="宋体" w:hAnsi="宋体" w:cs="宋体"/>
          <w:b/>
          <w:color w:val="000000" w:themeColor="text1"/>
          <w:sz w:val="24"/>
        </w:rPr>
      </w:pPr>
      <w:r>
        <w:rPr>
          <w:rFonts w:hint="eastAsia" w:ascii="宋体" w:hAnsi="宋体" w:cs="宋体"/>
          <w:color w:val="000000" w:themeColor="text1"/>
          <w:sz w:val="24"/>
        </w:rPr>
        <w:t>（4）在采购活动中因重大变故，采购任务取消的；</w:t>
      </w:r>
    </w:p>
    <w:p w14:paraId="2682FC43">
      <w:pPr>
        <w:pStyle w:val="5"/>
        <w:spacing w:line="360" w:lineRule="auto"/>
        <w:rPr>
          <w:b/>
          <w:color w:val="000000" w:themeColor="text1"/>
        </w:rPr>
      </w:pPr>
      <w:bookmarkStart w:id="50" w:name="_Toc138765843"/>
      <w:r>
        <w:rPr>
          <w:rFonts w:hint="eastAsia"/>
          <w:b/>
          <w:color w:val="000000" w:themeColor="text1"/>
        </w:rPr>
        <w:t>七、成交通知</w:t>
      </w:r>
      <w:bookmarkEnd w:id="50"/>
    </w:p>
    <w:p w14:paraId="06CDA2D1">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24.成交通知</w:t>
      </w:r>
    </w:p>
    <w:p w14:paraId="5080503B">
      <w:pPr>
        <w:pStyle w:val="2"/>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24.1采购人应当自收到评审报告之日起5个工作日内在评审报告推荐的中标或者成交候选人中按顺序确定中标或者成交供应商。</w:t>
      </w:r>
    </w:p>
    <w:p w14:paraId="1BEF846E">
      <w:pPr>
        <w:tabs>
          <w:tab w:val="left" w:pos="1800"/>
        </w:tabs>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24.2在发出成交公告后请采购人、中标人登录周口市公共资源交易中心网（http://jyzx.zhoukou.gov.cn）自行下载</w:t>
      </w:r>
      <w:r>
        <w:rPr>
          <w:rFonts w:hint="eastAsia" w:cs="宋体"/>
          <w:color w:val="000000" w:themeColor="text1"/>
          <w:sz w:val="24"/>
        </w:rPr>
        <w:t>成交</w:t>
      </w:r>
      <w:r>
        <w:rPr>
          <w:rFonts w:hint="eastAsia" w:ascii="宋体" w:hAnsi="宋体" w:cs="宋体"/>
          <w:color w:val="000000" w:themeColor="text1"/>
          <w:sz w:val="24"/>
        </w:rPr>
        <w:t>通知书。</w:t>
      </w:r>
    </w:p>
    <w:p w14:paraId="6404F445">
      <w:pPr>
        <w:tabs>
          <w:tab w:val="left" w:pos="1800"/>
        </w:tabs>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24.3成交通知书对采购人和成交供应商具有同等法律效力。成交通知书发出后，采购人改变成交结果，或者成交供应商放弃成交，应当承担相应的法律责任。</w:t>
      </w:r>
    </w:p>
    <w:p w14:paraId="1EB3EEB3">
      <w:pPr>
        <w:pStyle w:val="5"/>
        <w:spacing w:line="360" w:lineRule="auto"/>
        <w:rPr>
          <w:b/>
          <w:color w:val="000000" w:themeColor="text1"/>
        </w:rPr>
      </w:pPr>
      <w:bookmarkStart w:id="51" w:name="_Toc138765844"/>
      <w:r>
        <w:rPr>
          <w:rFonts w:hint="eastAsia"/>
          <w:b/>
          <w:color w:val="000000" w:themeColor="text1"/>
        </w:rPr>
        <w:t>八、合同授予</w:t>
      </w:r>
      <w:bookmarkEnd w:id="51"/>
    </w:p>
    <w:p w14:paraId="59BF65AE">
      <w:pPr>
        <w:tabs>
          <w:tab w:val="left" w:pos="1620"/>
        </w:tabs>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25.签订合同及合同的执行</w:t>
      </w:r>
    </w:p>
    <w:p w14:paraId="74D9B03B">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25.1采购人、成交供应商按照竞争性磋商文件确定的合同文本签订政府采购合同。</w:t>
      </w:r>
    </w:p>
    <w:p w14:paraId="21FFEEAC">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25.2采购人不得向成交供应商提出超过竞争性磋商文件以外的任何要求作为签订合同的条件，不得与成交供应商订立背离竞争性磋商文件确定的合同文本协议。</w:t>
      </w:r>
    </w:p>
    <w:p w14:paraId="57705DB8">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6D7EBD6D">
      <w:pPr>
        <w:pStyle w:val="5"/>
        <w:spacing w:line="360" w:lineRule="auto"/>
        <w:rPr>
          <w:b/>
          <w:color w:val="000000" w:themeColor="text1"/>
        </w:rPr>
      </w:pPr>
      <w:bookmarkStart w:id="52" w:name="_Toc138765845"/>
      <w:r>
        <w:rPr>
          <w:rFonts w:hint="eastAsia"/>
          <w:b/>
          <w:color w:val="000000" w:themeColor="text1"/>
        </w:rPr>
        <w:t>九、质疑处理</w:t>
      </w:r>
      <w:bookmarkEnd w:id="52"/>
    </w:p>
    <w:p w14:paraId="5D7679EC">
      <w:pPr>
        <w:tabs>
          <w:tab w:val="left" w:pos="1620"/>
        </w:tabs>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26.质疑程序及处理</w:t>
      </w:r>
    </w:p>
    <w:p w14:paraId="7B639B11">
      <w:pPr>
        <w:spacing w:line="560" w:lineRule="auto"/>
        <w:ind w:firstLine="480"/>
        <w:rPr>
          <w:rFonts w:ascii="宋体" w:hAnsi="宋体" w:cs="宋体"/>
          <w:color w:val="000000" w:themeColor="text1"/>
          <w:kern w:val="0"/>
          <w:sz w:val="24"/>
          <w:szCs w:val="22"/>
        </w:rPr>
      </w:pPr>
      <w:r>
        <w:rPr>
          <w:rFonts w:ascii="宋体" w:hAnsi="宋体" w:cs="宋体"/>
          <w:color w:val="000000" w:themeColor="text1"/>
          <w:kern w:val="0"/>
          <w:sz w:val="24"/>
          <w:szCs w:val="22"/>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54632D58">
      <w:pPr>
        <w:spacing w:line="560" w:lineRule="auto"/>
        <w:ind w:firstLine="480"/>
        <w:rPr>
          <w:rFonts w:ascii="宋体" w:hAnsi="宋体" w:cs="宋体"/>
          <w:color w:val="000000" w:themeColor="text1"/>
          <w:kern w:val="0"/>
          <w:sz w:val="24"/>
          <w:szCs w:val="22"/>
        </w:rPr>
      </w:pPr>
      <w:r>
        <w:rPr>
          <w:rFonts w:ascii="宋体" w:hAnsi="宋体" w:cs="宋体"/>
          <w:color w:val="000000" w:themeColor="text1"/>
          <w:kern w:val="0"/>
          <w:sz w:val="24"/>
          <w:szCs w:val="22"/>
        </w:rPr>
        <w:t>26.2采购人在收到供应商的书面质疑后七个工作日内做出答复，并以书面形式通知质疑供应商和其他供应商，但答复内容不得涉及商业秘密。</w:t>
      </w:r>
    </w:p>
    <w:p w14:paraId="6D0F716B">
      <w:pPr>
        <w:spacing w:line="500" w:lineRule="exact"/>
        <w:ind w:firstLine="482"/>
        <w:rPr>
          <w:rFonts w:ascii="宋体" w:hAnsi="宋体" w:cs="宋体"/>
          <w:color w:val="000000" w:themeColor="text1"/>
          <w:kern w:val="0"/>
          <w:sz w:val="24"/>
          <w:szCs w:val="22"/>
        </w:rPr>
      </w:pPr>
      <w:r>
        <w:rPr>
          <w:rFonts w:ascii="宋体" w:hAnsi="宋体" w:cs="宋体"/>
          <w:color w:val="000000" w:themeColor="text1"/>
          <w:kern w:val="0"/>
          <w:sz w:val="24"/>
          <w:szCs w:val="22"/>
        </w:rPr>
        <w:t>26.3质疑供应商行使质疑权时，必须遵守“实事求是”和“谨慎性”原则，承担使用虚假材料或恶意方式质疑的法律责任，采购人将遵循“谁过错谁负担”的原则，由过错方提交相关的调查论证费用。</w:t>
      </w:r>
    </w:p>
    <w:p w14:paraId="66625FF5">
      <w:pPr>
        <w:spacing w:line="500" w:lineRule="exact"/>
        <w:ind w:firstLine="482"/>
        <w:rPr>
          <w:rFonts w:ascii="宋体" w:hAnsi="宋体" w:cs="宋体"/>
          <w:color w:val="000000" w:themeColor="text1"/>
          <w:kern w:val="0"/>
          <w:sz w:val="24"/>
          <w:szCs w:val="22"/>
        </w:rPr>
      </w:pPr>
      <w:r>
        <w:rPr>
          <w:rFonts w:ascii="宋体" w:hAnsi="宋体" w:cs="宋体"/>
          <w:color w:val="000000" w:themeColor="text1"/>
          <w:kern w:val="0"/>
          <w:sz w:val="24"/>
          <w:szCs w:val="22"/>
        </w:rPr>
        <w:t>26.4质疑必须由供应商的法定代表人或委托代理人（响应性文件中所确定的，如递交质疑者不是响应性文件中确定的委托代理人，须由供应商另行出具授权）以书面送达的方式现场提交</w:t>
      </w:r>
      <w:r>
        <w:rPr>
          <w:rFonts w:hint="eastAsia" w:ascii="宋体" w:hAnsi="宋体" w:cs="宋体"/>
          <w:color w:val="000000" w:themeColor="text1"/>
          <w:kern w:val="0"/>
          <w:sz w:val="24"/>
          <w:szCs w:val="22"/>
        </w:rPr>
        <w:t>（邮寄、传真件不予受理）</w:t>
      </w:r>
      <w:r>
        <w:rPr>
          <w:rFonts w:ascii="宋体" w:hAnsi="宋体" w:cs="宋体"/>
          <w:color w:val="000000" w:themeColor="text1"/>
          <w:kern w:val="0"/>
          <w:sz w:val="24"/>
          <w:szCs w:val="22"/>
        </w:rPr>
        <w:t>，未按上述要求提交的质疑函采购人有权不予受理。</w:t>
      </w:r>
    </w:p>
    <w:p w14:paraId="25FC338F">
      <w:pPr>
        <w:spacing w:line="560" w:lineRule="auto"/>
        <w:ind w:firstLine="480" w:firstLineChars="200"/>
        <w:rPr>
          <w:rFonts w:ascii="宋体" w:hAnsi="宋体" w:cs="宋体"/>
          <w:color w:val="000000" w:themeColor="text1"/>
          <w:kern w:val="0"/>
          <w:sz w:val="24"/>
          <w:szCs w:val="22"/>
        </w:rPr>
      </w:pPr>
      <w:r>
        <w:rPr>
          <w:rFonts w:hint="eastAsia" w:ascii="宋体" w:hAnsi="宋体" w:cs="宋体"/>
          <w:color w:val="000000" w:themeColor="text1"/>
          <w:kern w:val="0"/>
          <w:sz w:val="24"/>
          <w:szCs w:val="22"/>
        </w:rPr>
        <w:t>26.5供应商认为本次采购违反法律、法规和规章规定的，必须在法定期限内提出质疑，质疑函接收地址详见供应商须知前附表，不在法定期限内提出的质疑函将被拒收，不符合要求的质疑函必须在法定质疑期内补充完整，否则视作质疑不成立处理。供应商必须在法定质疑期内一次性针对采购文件、采购过程和中标（成交结果）提出质疑，并由法定代表人或其授权委托人（授权委托人必须有社保的正式员工为授权委托人）携带企业营业执照复印件（加盖公章）及本人身份证（原件），一并提交（邮寄、传真件不予受理）。以质疑函接受确认日期作为受理时间，逾期提交或未按照要求提交的质疑函将不予受理。</w:t>
      </w:r>
    </w:p>
    <w:p w14:paraId="1037706E">
      <w:pPr>
        <w:spacing w:line="560" w:lineRule="auto"/>
        <w:ind w:firstLine="480" w:firstLineChars="200"/>
        <w:rPr>
          <w:rFonts w:ascii="宋体" w:hAnsi="宋体" w:cs="宋体"/>
          <w:color w:val="000000" w:themeColor="text1"/>
          <w:kern w:val="0"/>
          <w:sz w:val="24"/>
          <w:szCs w:val="22"/>
        </w:rPr>
      </w:pPr>
      <w:r>
        <w:rPr>
          <w:rFonts w:hint="eastAsia" w:ascii="宋体" w:hAnsi="宋体" w:cs="宋体"/>
          <w:color w:val="000000" w:themeColor="text1"/>
          <w:kern w:val="0"/>
          <w:sz w:val="24"/>
          <w:szCs w:val="22"/>
        </w:rPr>
        <w:t>26.6对质疑答复不满意的，供应商可以在法定期限内向监督部门投诉。投诉人在全国范围12个月内三次以上投诉查无实据的，由财政部门列入不良行为记录名单。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14:paraId="537E2B35">
      <w:pPr>
        <w:spacing w:line="560" w:lineRule="exact"/>
        <w:rPr>
          <w:rFonts w:ascii="宋体" w:hAnsi="宋体" w:cs="宋体"/>
          <w:color w:val="000000" w:themeColor="text1"/>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67F0B19B">
      <w:pPr>
        <w:pStyle w:val="4"/>
        <w:jc w:val="center"/>
        <w:rPr>
          <w:color w:val="000000" w:themeColor="text1"/>
        </w:rPr>
      </w:pPr>
      <w:bookmarkStart w:id="53" w:name="_Toc138765846"/>
      <w:r>
        <w:rPr>
          <w:rFonts w:hint="eastAsia"/>
          <w:color w:val="000000" w:themeColor="text1"/>
        </w:rPr>
        <w:t>第三章 采购项目内容及要求</w:t>
      </w:r>
      <w:bookmarkEnd w:id="53"/>
    </w:p>
    <w:p w14:paraId="51FF9272">
      <w:pPr>
        <w:spacing w:line="560" w:lineRule="exact"/>
        <w:ind w:firstLine="482" w:firstLineChars="200"/>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一、本项目采购内容：</w:t>
      </w:r>
    </w:p>
    <w:p w14:paraId="2A8FFBC9">
      <w:pPr>
        <w:spacing w:after="120"/>
        <w:ind w:firstLine="240" w:firstLineChars="1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为贯彻执行公安部关于推进城市道路安全文明畅通数字化工作要求，</w:t>
      </w:r>
      <w:r>
        <w:rPr>
          <w:rFonts w:hint="eastAsia" w:cs="仿宋" w:asciiTheme="minorEastAsia" w:hAnsiTheme="minorEastAsia" w:eastAsiaTheme="minorEastAsia"/>
          <w:color w:val="000000" w:themeColor="text1"/>
          <w:kern w:val="0"/>
          <w:sz w:val="24"/>
        </w:rPr>
        <w:t>保障道路交通安全、改善道路交通秩序，减少交通违法行为，改善现有公安交通运行状况，提高道路的有效利用率和道路通行能力，减少交通拥挤、交通事故，实现有序、安全、畅通、经济、环保的城市道路交通网络体系，提高路口的通行效率，缓解交通拥堵，改善市民的出行环境和出行安全，提高市民的城市满意度，</w:t>
      </w:r>
      <w:r>
        <w:rPr>
          <w:rFonts w:hint="eastAsia" w:asciiTheme="minorEastAsia" w:hAnsiTheme="minorEastAsia" w:eastAsiaTheme="minorEastAsia"/>
          <w:color w:val="000000" w:themeColor="text1"/>
          <w:sz w:val="24"/>
        </w:rPr>
        <w:t>西华县公安局为保障道路交通安全与设备的正常运行，拟</w:t>
      </w:r>
      <w:r>
        <w:rPr>
          <w:rFonts w:asciiTheme="minorEastAsia" w:hAnsiTheme="minorEastAsia" w:eastAsiaTheme="minorEastAsia"/>
          <w:color w:val="000000" w:themeColor="text1"/>
          <w:sz w:val="24"/>
        </w:rPr>
        <w:t>采取购买第三方服务的形式对西华县</w:t>
      </w:r>
      <w:r>
        <w:rPr>
          <w:rFonts w:hint="eastAsia" w:asciiTheme="minorEastAsia" w:hAnsiTheme="minorEastAsia" w:eastAsiaTheme="minorEastAsia"/>
          <w:color w:val="000000" w:themeColor="text1"/>
          <w:sz w:val="24"/>
        </w:rPr>
        <w:t>60处红绿灯、44处道路交通技术监控设施和14处智能卡口</w:t>
      </w:r>
      <w:r>
        <w:rPr>
          <w:rFonts w:asciiTheme="minorEastAsia" w:hAnsiTheme="minorEastAsia" w:eastAsiaTheme="minorEastAsia"/>
          <w:color w:val="000000" w:themeColor="text1"/>
          <w:sz w:val="24"/>
        </w:rPr>
        <w:t>进行运维服务</w:t>
      </w:r>
      <w:r>
        <w:rPr>
          <w:rFonts w:hint="eastAsia" w:asciiTheme="minorEastAsia" w:hAnsiTheme="minorEastAsia" w:eastAsiaTheme="minorEastAsia"/>
          <w:color w:val="000000" w:themeColor="text1"/>
          <w:sz w:val="24"/>
        </w:rPr>
        <w:t>，具体内容如下：</w:t>
      </w:r>
    </w:p>
    <w:p w14:paraId="0476948D">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1、运维范围</w:t>
      </w:r>
    </w:p>
    <w:p w14:paraId="3D176F5E">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现有运维服务即将到期的60处红绿灯、44处道路交通技术监控设施和14处智能卡口日常运行维护、维修、巡检和经业主确认的无维修价值的设备更换服务（设备器材的维修更换费按实际发生另行计取）；现有外场设备线缆的维修，无法修复的线缆经业主同意的更换（设备器材的维修更换费按实际发生另行计取），不包括立杆、基础及电表或配电箱电力进线部分的电力线路维修（只包括电表或配电箱的出线维修更换），无法修复的电力线路经业主同意的更换（设备器材的维修更换费按实际发生另行计取）。</w:t>
      </w:r>
    </w:p>
    <w:p w14:paraId="415C7806">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前端设备的日常维护、维修巡检、应急抢修：主要包括道路交通技术设备（如前端抓拍单元、控制箱、附属基础设施）、交通信号灯设备（如：机动车信号灯、非机动车信号灯、方向指示信号灯、交通信号控制机等）、通信设备（包括光交换设备、工业交换机等）、供电设备（包括至前端设备控制箱的接线端等）和杆件。此外，还应根据前端设备老化、损坏、精度误差等情况，对前端设备精度进行优化，以不断提高数据采集的完整性和准确性。</w:t>
      </w:r>
    </w:p>
    <w:p w14:paraId="67C54788">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（2）后端中心设施的日常维护、维修巡检、应急抢修和机房保洁：主要包括监控中心终端设备、服务器、智能交通管理平台、统一校时系统、UPS电源、动力配电设施、机房环境设施等。</w:t>
      </w:r>
    </w:p>
    <w:p w14:paraId="7D819A58">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（3）应用软件的日常维护：此外，还必须根据甲方的业务发展需求、外部系统接入和信息对外共享等情况，在规定的时期内完成对相关软件或算法的优化、开发和升级（费用另计）。</w:t>
      </w:r>
    </w:p>
    <w:p w14:paraId="0CE29FB5">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（4）运维服务方式：运维单位提供7*24小时服务，工作时间安排技术人员提供驻场服务，按规范要求上岗，以保障对外服务的连续性、稳定性和实时性，非工作时间安排专人值班技术服务。</w:t>
      </w:r>
    </w:p>
    <w:p w14:paraId="52F33BC4">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2、运维内容</w:t>
      </w:r>
    </w:p>
    <w:p w14:paraId="71A6F205">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运维内容主要分为故障维护、应急抢修和保养维护三部分。</w:t>
      </w:r>
    </w:p>
    <w:p w14:paraId="099E7700">
      <w:pPr>
        <w:numPr>
          <w:ilvl w:val="0"/>
          <w:numId w:val="3"/>
        </w:num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故障维护：包括故障响应、设备更换（费用另计）、故障修复时间要求；</w:t>
      </w:r>
    </w:p>
    <w:p w14:paraId="0DC59590">
      <w:pPr>
        <w:spacing w:line="36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1）故障响应: 维护单位提供故障上门服务，维护单位在接到业主电话或书面的故障报修通知后应及时响应，经确认需要上门解决的故障，必须指派技术人员市区在2小时内到达故障现场，郊区4小时内到达故障现场，及时排查故障原因，连续维修直至故障解决；重点事故及时抢修，修复后通知甲方相关人员并填写设备维修单。</w:t>
      </w:r>
    </w:p>
    <w:p w14:paraId="7E602347">
      <w:pPr>
        <w:spacing w:line="36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2)设备更换: 在维护服务期限内所有硬件出现故障的，有修复价值设备由维护单位提供免费维修服务，经业主确认无修复价值需要更换的设备，由维护单位进行更换。（设备器材的维修更换费按实际发生另行计取。）</w:t>
      </w:r>
    </w:p>
    <w:p w14:paraId="18FC6D86">
      <w:pPr>
        <w:spacing w:line="36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3) 故障修复时间要求: 前端设备8小时内修复、后端设备12小时内修复、软件系统48小时内修复、重大事故及时抢修(以上时间均包括响应时间在内)。修复后通知业主相关人员并填写设备维修单，现场不能解决的，将故障原因上报甲方，对不需要采取工程性措施的，一般应在24小时内解决，超过24小时无法修复的提供书面解决方案报业主批准按方案进行维修；对需要采取工程性措施的，确定施工时间和施工方案经使用方确认后及时解决；无需上门解决的故障，维护单位及时安排技术人员远程提供服务直至故障解决。</w:t>
      </w:r>
    </w:p>
    <w:p w14:paraId="15B49471">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（2）应急抢修：包括前端设备应急抢修、后端设施和软件应急抢修、系统主机和存储设备应急抢修；</w:t>
      </w:r>
    </w:p>
    <w:p w14:paraId="7B89D889">
      <w:pPr>
        <w:spacing w:line="36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1)前端设备应急抢修要求：一旦发现设备工作异常，维护单位应在接到报修通知后的2小时内到达现场，现场能解决问题的立即修复;现场不能解决的，将故障原因上报甲方。</w:t>
      </w:r>
      <w:r>
        <w:rPr>
          <w:rFonts w:hint="eastAsia" w:cs="宋体" w:asciiTheme="minorEastAsia" w:hAnsiTheme="minorEastAsia" w:eastAsiaTheme="minorEastAsia"/>
          <w:color w:val="000000" w:themeColor="text1"/>
          <w:kern w:val="0"/>
          <w:sz w:val="24"/>
        </w:rPr>
        <w:br w:type="textWrapping"/>
      </w:r>
      <w:r>
        <w:rPr>
          <w:rFonts w:hint="eastAsia" w:cs="宋体" w:asciiTheme="minorEastAsia" w:hAnsiTheme="minorEastAsia" w:eastAsiaTheme="minorEastAsia"/>
          <w:color w:val="000000" w:themeColor="text1"/>
          <w:kern w:val="0"/>
          <w:sz w:val="24"/>
        </w:rPr>
        <w:t xml:space="preserve">    对不需要采取工程性措施的，前端设备8小时内修复、后端设备12小时内修复、软件系统48小时内修复。对需要采取工程性措施的，确定施工时间和施工方案后及时解决。</w:t>
      </w:r>
    </w:p>
    <w:p w14:paraId="20273C06">
      <w:pPr>
        <w:spacing w:line="36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2)后端设施和软件应急抢修要求：一旦发现机房设施或软件不能正常工作，导致系统瘫痪或重要功能失效时，应立即启动系统应急预案。维护单位应在1小时内恢复系统正常运行，现场不能解决的，将故障原因上报甲方。</w:t>
      </w:r>
    </w:p>
    <w:p w14:paraId="1699CC63">
      <w:pPr>
        <w:spacing w:line="360" w:lineRule="auto"/>
        <w:ind w:firstLine="480" w:firstLineChars="200"/>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3)系统主机和存储设备应急抢修要求：监控中心计算机系统正常运行期间，一旦发现有设备或软件不能正常工作，导致交通监控系统瘫疾或重要功能失效时，故障发生后的2小时之内恢复系统正常运行(传输链路的原因除外)。</w:t>
      </w:r>
    </w:p>
    <w:p w14:paraId="45DC1645">
      <w:pPr>
        <w:spacing w:line="360" w:lineRule="auto"/>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2时内无法修复的故障，应立即启动运维工程项目应急预案，并同时向甲方上报故障初步原因、造成的影响程度及临时采取的应急措施，并及时组织人员、备件或其它可用资源，尽快抢修故障恢复系统正常工作。</w:t>
      </w:r>
    </w:p>
    <w:p w14:paraId="25E55121">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（3）保养维护：包括前端抓拍单元、信号灯及所有前端设备、系统主机和存储设备、供电系统、基础设施。</w:t>
      </w:r>
    </w:p>
    <w:p w14:paraId="772E9705">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一)前端抓拍单元、信号灯及所有前端设备</w:t>
      </w:r>
    </w:p>
    <w:p w14:paraId="5014161B">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1.1日常维护保养和维修巡检的内容和要求</w:t>
      </w:r>
    </w:p>
    <w:p w14:paraId="03F3283D">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1)维修包括高速球型摄像机、抓拍机、一体机、全景摄像机、道路交通信号灯、道路交通信号控制机、摄像机电源、光交换设备、光交换设备电源、接插件、视频接头、门锁等。</w:t>
      </w:r>
    </w:p>
    <w:p w14:paraId="7D3F4BB9">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2)对经过维修仍无法达到系统使用要求、需更换的摄像机、信号灯或光交换设备等，须经甲方确认，同意后方可进行更换（费用另计）。</w:t>
      </w:r>
    </w:p>
    <w:p w14:paraId="3DB9BDEC">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3)更换的设备原则上是同品牌、同型号原装部件，如以其他产品替代，须经甲方确认，同意后方可进行更换（设备更换费用另计）。</w:t>
      </w:r>
    </w:p>
    <w:p w14:paraId="535D80DB">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sz w:val="24"/>
        </w:rPr>
        <w:t>4）道路交通信号灯应用类问题摸排：</w:t>
      </w:r>
      <w:r>
        <w:rPr>
          <w:rFonts w:hint="eastAsia" w:cs="宋体" w:asciiTheme="minorEastAsia" w:hAnsiTheme="minorEastAsia" w:eastAsiaTheme="minorEastAsia"/>
          <w:color w:val="000000" w:themeColor="text1"/>
          <w:kern w:val="0"/>
          <w:sz w:val="24"/>
        </w:rPr>
        <w:t>信号灯与路口车道功能不匹配；方向指示信号灯放行相位通行权冲突；信号灯灯色转换顺序不规范；右转方向指示信号灯黄灯闪烁；信号灯信号配时不合理；行人过街信号时间不足；多相位信号灯应用不当；用信号灯代替交通标志，形成排查优化报告。</w:t>
      </w:r>
    </w:p>
    <w:p w14:paraId="402F3CE2">
      <w:pPr>
        <w:widowControl/>
        <w:spacing w:line="360" w:lineRule="auto"/>
        <w:ind w:firstLine="480" w:firstLineChars="200"/>
        <w:jc w:val="lef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5）交通信号智能化控制点位摸排：多车道汇入交通秩序混乱点位；信号灯灯控路口进道口车辆流量流向变化明显点位；潮汐现象突出点位，</w:t>
      </w:r>
      <w:r>
        <w:rPr>
          <w:rFonts w:hint="eastAsia" w:cs="宋体" w:asciiTheme="minorEastAsia" w:hAnsiTheme="minorEastAsia" w:eastAsiaTheme="minorEastAsia"/>
          <w:color w:val="000000" w:themeColor="text1"/>
          <w:kern w:val="0"/>
          <w:sz w:val="24"/>
        </w:rPr>
        <w:t>形成排查优化报告</w:t>
      </w:r>
      <w:r>
        <w:rPr>
          <w:rFonts w:hint="eastAsia" w:cs="宋体" w:asciiTheme="minorEastAsia" w:hAnsiTheme="minorEastAsia" w:eastAsiaTheme="minorEastAsia"/>
          <w:color w:val="000000" w:themeColor="text1"/>
          <w:sz w:val="24"/>
        </w:rPr>
        <w:t>。</w:t>
      </w:r>
    </w:p>
    <w:p w14:paraId="3EBDE753">
      <w:pPr>
        <w:widowControl/>
        <w:spacing w:line="360" w:lineRule="auto"/>
        <w:ind w:firstLine="480" w:firstLineChars="20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6)运行状况检查</w:t>
      </w:r>
    </w:p>
    <w:p w14:paraId="679B323C">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要求在综合管理平台上对外场设备的运行状况进行检查,检查频次为每周一次。</w:t>
      </w:r>
    </w:p>
    <w:p w14:paraId="013E6778">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检查时，首先询问监控中心值班人员系统设备运行情况，然后对每台摄像机的图象质量、视距、云台和镜头的工作状态进行逐一检查，并填写周的摄像机运行状况记录表，详细记录每台摄像机的运行状况;对信号灯运行情况进行检查（例如：设备故障、停电等）；针对周的运行状况检查情况，对存在故障的摄像机，对其故障原因进行分析，能当场处理的当场处理，不能当场处理的按照监控中心的处理时间规定和要求维修安排后及时进行解决。</w:t>
      </w:r>
    </w:p>
    <w:p w14:paraId="2A0E034D">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维护单位应制定每周摄像机运行状况及维修安排记录本，说明运行检查过程中碰到的问题、症状及对故障的判断、处理的方法、保养维修后的工作状态等内容，并由维修保养人员签字，一式两份，由监控中心具体负责人员签字认可后存档。</w:t>
      </w:r>
    </w:p>
    <w:p w14:paraId="395C97F1">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1.2月度保养维护和维修巡检</w:t>
      </w:r>
    </w:p>
    <w:p w14:paraId="5D85632E">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要求每月进行一次保养维护和维修巡检，维护和维修的内容为:</w:t>
      </w:r>
    </w:p>
    <w:p w14:paraId="24131E48">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1)对摄像机防护罩和机箱进行清洁和防尘、防雨、防振及防干扰功能检测，确保设备良好的透视性能、整洁性和正常的防干扰功能。</w:t>
      </w:r>
    </w:p>
    <w:p w14:paraId="20866048">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2）对交通信号灯被遮挡、交通信号灯箱门不锁、颜色失真、LED点阵缺失、超出使用寿命和出现亮度不足等巡检，确保交通信号灯完整、性能最优。</w:t>
      </w:r>
    </w:p>
    <w:p w14:paraId="3B18DF83">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对机箱的箱体进行清洁维护，确保箱体外壳完整、门锁完好，无缺损;箱体接地良好;对紧固件进行检查,确保紧固件紧固;对箱内进行清洁和箱内部件进行检查,确保箱内整洁;箱内部件固定牢固，走线规范，接地电阻小于4欧母;各种接插件接触良好、变压器及光交换设备电源输出电压正常，光交换设备正常工作。</w:t>
      </w:r>
    </w:p>
    <w:p w14:paraId="52A936E8">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4)对摄像机的镜头进行清洁、确保图像的清晰度，</w:t>
      </w:r>
    </w:p>
    <w:p w14:paraId="4521D8E6">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5)对摄像机的云台(电动云台水平和垂直转动的转速、转角功能)、镜头(电动镜头手动变信、手动或自动调焦、手动或自动光圈功能)、雨刷等进行功能检查，确保其控制自如。</w:t>
      </w:r>
    </w:p>
    <w:p w14:paraId="72E12F3E">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6)对摄像机的图像质量和通信状态进行检查，确保输出对比度好、无重影、无杂波的视频團像，并能正常上传。</w:t>
      </w:r>
    </w:p>
    <w:p w14:paraId="3C72A656">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7)夏季雷雨季节，检查避雷针是否完好，避雷接地是否完好。</w:t>
      </w:r>
    </w:p>
    <w:p w14:paraId="6AF374F1">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8)要求维护单位需制定每台摄像机的月度保养维护和维修巡检记录表，便于掌握月度养护和巡检的时间，并供甲方抽检。</w:t>
      </w:r>
    </w:p>
    <w:p w14:paraId="60768B9C">
      <w:pPr>
        <w:spacing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1.3特殊维护和巡检</w:t>
      </w:r>
    </w:p>
    <w:p w14:paraId="1FF4D8D7">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1)在气象预报即将发生台风、暴风雨或其他恶劣天气之前，对视频系统外场设备进行维护保养和维修巡检一次，重点检查外场设备安装牢固性，尽量避免和降低暴风雨对外场设备的破坏。</w:t>
      </w:r>
    </w:p>
    <w:p w14:paraId="2BD21CF8">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2)在运行期间一旦发现有设备不能正常工作，维护维修单位接到报修通知后2小时内到达现场，现场能解决问题马上修复:现场不能解决的，将故障原因上报甲方。</w:t>
      </w:r>
    </w:p>
    <w:p w14:paraId="0FC86914">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3)对故障修复不需要采取工程性措施的，</w:t>
      </w:r>
      <w:r>
        <w:rPr>
          <w:rFonts w:hint="eastAsia" w:cs="宋体" w:asciiTheme="minorEastAsia" w:hAnsiTheme="minorEastAsia" w:eastAsiaTheme="minorEastAsia"/>
          <w:color w:val="000000" w:themeColor="text1"/>
          <w:kern w:val="0"/>
          <w:sz w:val="24"/>
        </w:rPr>
        <w:t>前端设备8小时内修复、后端设备12小时内修复、软件系统48小时内修复。</w:t>
      </w:r>
      <w:r>
        <w:rPr>
          <w:rFonts w:hint="eastAsia" w:cs="宋体" w:asciiTheme="minorEastAsia" w:hAnsiTheme="minorEastAsia" w:eastAsiaTheme="minorEastAsia"/>
          <w:color w:val="000000" w:themeColor="text1"/>
          <w:sz w:val="24"/>
        </w:rPr>
        <w:t>需要采取工程性措施的，确定施工时间和施工方案后及时解决。</w:t>
      </w:r>
    </w:p>
    <w:p w14:paraId="394B65F9">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4)抢修工作完成后须填写设备维修记录单，注明维修内容，由维修人员签字，一式两份，由甲方签字认可后存档。</w:t>
      </w:r>
    </w:p>
    <w:p w14:paraId="3FD52A4D">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二)系统主机和存储设备</w:t>
      </w:r>
    </w:p>
    <w:p w14:paraId="706BF7B4">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1.1日常维护维修要求</w:t>
      </w:r>
    </w:p>
    <w:p w14:paraId="1A2BC80B">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根据设备和软件的维护要求，定期对所有设备和软件进行维护巡检，确认系统运行状态，检查系统错误记录，排除潜在隐患，以确保系统能正常稳定地运行。</w:t>
      </w:r>
    </w:p>
    <w:p w14:paraId="27886D8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1.2后端设备和机房</w:t>
      </w:r>
    </w:p>
    <w:p w14:paraId="101FD81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1.2.1日维护</w:t>
      </w:r>
    </w:p>
    <w:p w14:paraId="4F75CB49">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1)机房温、湿度的检查和调整:机房温度应保持在21+2C*.湿度保持45%~ 65% ;</w:t>
      </w:r>
    </w:p>
    <w:p w14:paraId="4F42D3A0">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2)机房内清洁工作;</w:t>
      </w:r>
    </w:p>
    <w:p w14:paraId="4D7353D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3)终端指示灯状态的检查;</w:t>
      </w:r>
    </w:p>
    <w:p w14:paraId="2FD41D4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4)服务器进程运行情况检查:检查每台服务器进程运行情况，有无假运行的进程或程序;</w:t>
      </w:r>
    </w:p>
    <w:p w14:paraId="15E6D15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5)系统日志记录检查</w:t>
      </w:r>
    </w:p>
    <w:p w14:paraId="5A987B8F">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1.2.2周维护</w:t>
      </w:r>
    </w:p>
    <w:p w14:paraId="316C724B">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1)系统日志中是否有严重报警记录:检查并适时清理;</w:t>
      </w:r>
    </w:p>
    <w:p w14:paraId="60288659">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2)用户连接数检查:要求用户连接数不能达到饱和;</w:t>
      </w:r>
    </w:p>
    <w:p w14:paraId="539C175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3)硬盘自由空间情况:检查磁盘空间，要求存放日志的硬盘要保留至少500MB的自由空间，否则会写不进日志而停止运行;</w:t>
      </w:r>
    </w:p>
    <w:p w14:paraId="507F0A49">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4)网络线缆的检查:用网络线缆测试仪检查网络线.线缆无折痕，无破损，确保每对网络线缆接触良好；</w:t>
      </w:r>
    </w:p>
    <w:p w14:paraId="1A1E6E12">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5)单模、多模光纤的检查;</w:t>
      </w:r>
    </w:p>
    <w:p w14:paraId="4FD12649">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6)控制串口通信线缆的检查:用万用表检查串口线通断情况线缆无折痕，无破损。对疑有表面氧化的插头用除氧化剂进行处理或重新更换加工，确保每对每根线缆接触良好;</w:t>
      </w:r>
    </w:p>
    <w:p w14:paraId="06DD5DE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7)电源线缆的检查;</w:t>
      </w:r>
    </w:p>
    <w:p w14:paraId="154DEC3E">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8)电源插头、插座的检查:应感觉无明显温升、塑料熔化、松动等现象;</w:t>
      </w:r>
    </w:p>
    <w:p w14:paraId="01FE9824">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9)即时升级软件和病毒库:遇有新病毒出现，即时对软件和病毒库进行升级（费用另计）。</w:t>
      </w:r>
    </w:p>
    <w:p w14:paraId="55BAEDFF">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1.2.3季维护</w:t>
      </w:r>
    </w:p>
    <w:p w14:paraId="30D0E561">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1)定期对机房地板、过道、门窗和箱体表面进行清扫、除尘，保持外观整洁;</w:t>
      </w:r>
    </w:p>
    <w:p w14:paraId="28133AF2">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2)清除空调滤网积尘，并保养、调试;</w:t>
      </w:r>
    </w:p>
    <w:p w14:paraId="5451E4D7">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3)设备保洁:清除机箱表面积尘，清除风扇和滤网积尘，确保机体外观清洁，风扇运转正常、无异常噪音;</w:t>
      </w:r>
    </w:p>
    <w:p w14:paraId="4FEC5E41">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4)显示器的检查:以视觉舒适为宜，适当调整显示器的亮度、对比度、色饱和度，用清洁剂清除屏体表面积尘;</w:t>
      </w:r>
    </w:p>
    <w:p w14:paraId="4724618F">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5)设备风扇运转情况:定期对风扇及滤网除尘，达到风扇运转平稳，无杂音;</w:t>
      </w:r>
    </w:p>
    <w:p w14:paraId="1CBA993F">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6)定期升级软件和病毒库:检查计算机防病毒系统版本和病毒库情况，并定期升级;</w:t>
      </w:r>
    </w:p>
    <w:p w14:paraId="0A48880B">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7)UPS面板指示灯状态观察、检查指示灯和故障报警装置;</w:t>
      </w:r>
    </w:p>
    <w:p w14:paraId="13B8CB74">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8)UPS检查和校验蓄电池、逆变器输出电压和频率:测量和记录蓄电池、逆变器输出电压和频率;</w:t>
      </w:r>
    </w:p>
    <w:p w14:paraId="0CB1D096">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9)查看UPS的技术参数如温度、输入、输出电压情况检查机房专用供电线路，并观察、测试相关参数;</w:t>
      </w:r>
    </w:p>
    <w:p w14:paraId="2936DD86">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10)检查供电切换情况:对市电和UPS电池供电进行切换试验;</w:t>
      </w:r>
    </w:p>
    <w:p w14:paraId="3B056CE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11)UPS蓄电池定期维护:每季度对UPS蓄电池维护，维护时间般安排在凌晨00:15之后;</w:t>
      </w:r>
    </w:p>
    <w:p w14:paraId="1191E432">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12)UPS负载百分比情况:检查和记录UPS负载百分比情况。</w:t>
      </w:r>
    </w:p>
    <w:p w14:paraId="47F8A813">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1.2.4半年维护</w:t>
      </w:r>
    </w:p>
    <w:p w14:paraId="5EF33BB8">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1)防雷设施和接地电阻检测:定期检查避雷装置，并检测接地电阻。雷雨季节时，应加强防雷器的巡查，发现异常及时处置。</w:t>
      </w:r>
    </w:p>
    <w:p w14:paraId="59246B92">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2)定期检查机房防火、防潮、防尘、防盗、防磁、防小动物等设施;定期检查机房消防设施、应急照明装置和机房门禁装置;</w:t>
      </w:r>
    </w:p>
    <w:p w14:paraId="42041536">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3)用刷子、清洁剂清除键盘积尘与污垢，检查每个按键，使得手感舒适有效;</w:t>
      </w:r>
    </w:p>
    <w:p w14:paraId="3519B742">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4)清除鼠标表面和滚球的积尘，检查鼠标左右手键，使手感舒适有效，光标移动光滑;</w:t>
      </w:r>
    </w:p>
    <w:p w14:paraId="5A0AA4EE">
      <w:pPr>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5)清除机柜表面积尘，清除风扇和滤网积尘，确保机柜外观清洁，风扇运转正常。</w:t>
      </w:r>
    </w:p>
    <w:p w14:paraId="3628446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三）供电系统</w:t>
      </w:r>
    </w:p>
    <w:p w14:paraId="56F2FE9D">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1.1维护界面划分及维护范围</w:t>
      </w:r>
    </w:p>
    <w:p w14:paraId="32496249">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1)从取电点空气开关输出端至外场设备电源接入端进行维护;主要进行链路上低压配电设施维护及保养。</w:t>
      </w:r>
    </w:p>
    <w:p w14:paraId="74951727">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2)外场监控配电箱及箱内部件维护及保养。</w:t>
      </w:r>
    </w:p>
    <w:p w14:paraId="74A0FFB6">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3)电站低压配电开关输出至外场设备之间电缆维护及保养。</w:t>
      </w:r>
    </w:p>
    <w:p w14:paraId="2E316960">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4)外场配电箱至系统设备之间电缆维护及保养。</w:t>
      </w:r>
    </w:p>
    <w:p w14:paraId="34C84EF6">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1.2日常维护、维修巡检的内容和要求</w:t>
      </w:r>
    </w:p>
    <w:p w14:paraId="51E0A4B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1)外场监控系统配电箱及箱内部件的维护和保养。</w:t>
      </w:r>
    </w:p>
    <w:p w14:paraId="6170662D">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2)电力电缆维护和保养。</w:t>
      </w:r>
    </w:p>
    <w:p w14:paraId="7751AB3D">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3)检查各设备、部件工作在电气设备维护保养相关条例和规定指标范围内。</w:t>
      </w:r>
    </w:p>
    <w:p w14:paraId="1B7DE81F">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4)检查外场配电箱是否完好、门锁是否完整、箱内部件有无缺损、开关是否正常工作，线缆与线缆之间连接是否可靠，紧固件是否紧固。确保输出电压在规定范围内。</w:t>
      </w:r>
    </w:p>
    <w:p w14:paraId="159836B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5)检查电缆接线盒有否缺损，定期清理电缆穿线箱内的淤泥、积水和杂物，检查电缆是否处于正常运行状态。</w:t>
      </w:r>
    </w:p>
    <w:p w14:paraId="642177F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6)一旦发现设备故障或隐患，应立即上报并采取应急措施。</w:t>
      </w:r>
    </w:p>
    <w:p w14:paraId="19C6EB09">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四）基础设施</w:t>
      </w:r>
    </w:p>
    <w:p w14:paraId="270E7865">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1.1维护范围</w:t>
      </w:r>
    </w:p>
    <w:p w14:paraId="52951461">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基础设施包括设备基础、立杆和检查井。</w:t>
      </w:r>
    </w:p>
    <w:p w14:paraId="6EB370E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1.2日常维护、维修巡检的内容和要求</w:t>
      </w:r>
    </w:p>
    <w:p w14:paraId="1F063AFD">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1)立杆防腐层检查;</w:t>
      </w:r>
    </w:p>
    <w:p w14:paraId="5EFDC4F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2)设备基础表层不得脱清、缺省;</w:t>
      </w:r>
    </w:p>
    <w:p w14:paraId="73E02E01">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3)基础螺栓、螺帽和连接螺栓、螺帽的除锈、防腐，并且不能松动；</w:t>
      </w:r>
    </w:p>
    <w:p w14:paraId="7145380A">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4)立杆的垂直度调整，垂直度和水平度小于2mm米;</w:t>
      </w:r>
    </w:p>
    <w:p w14:paraId="2CD42C78">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5)检查立杆的焊缝，有脱落和腐蚀现象进行修补和防腐;</w:t>
      </w:r>
    </w:p>
    <w:p w14:paraId="0C3735B0">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6)在大风季节，加强检查立杆的安装牢固性和稳定性;</w:t>
      </w:r>
    </w:p>
    <w:p w14:paraId="18DF790C">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7)检查设备基础的沉降，发现不均匀沉降时，进行加固。</w:t>
      </w:r>
    </w:p>
    <w:p w14:paraId="4B7402CD">
      <w:pPr>
        <w:spacing w:line="360" w:lineRule="auto"/>
        <w:ind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8）检查立杆有无粘贴小广告等。</w:t>
      </w:r>
    </w:p>
    <w:p w14:paraId="3C8F2FF3">
      <w:pPr>
        <w:spacing w:line="500" w:lineRule="exact"/>
        <w:ind w:firstLine="482" w:firstLineChars="200"/>
        <w:jc w:val="left"/>
        <w:rPr>
          <w:rFonts w:asciiTheme="minorEastAsia" w:hAnsiTheme="minorEastAsia" w:eastAsiaTheme="minorEastAsia"/>
          <w:b/>
          <w:color w:val="000000" w:themeColor="text1"/>
          <w:sz w:val="24"/>
        </w:rPr>
      </w:pPr>
    </w:p>
    <w:p w14:paraId="3D5CB784">
      <w:pPr>
        <w:spacing w:line="500" w:lineRule="exact"/>
        <w:ind w:firstLine="482" w:firstLineChars="200"/>
        <w:jc w:val="left"/>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二、服务内容及要求</w:t>
      </w:r>
    </w:p>
    <w:p w14:paraId="4F367945">
      <w:pPr>
        <w:spacing w:line="500" w:lineRule="exact"/>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2.1服务要求：服务年限一年,在接到采购方服务请求后，1小时响应，2小时内上门解决问题；质保期内提供免费上门服务，质保期外的收费按相关行业规则或由双方协商收取。</w:t>
      </w:r>
    </w:p>
    <w:p w14:paraId="5A286700">
      <w:pPr>
        <w:spacing w:line="500" w:lineRule="exact"/>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2.2服务地点：西华县境内</w:t>
      </w:r>
    </w:p>
    <w:p w14:paraId="1523F4C8">
      <w:pPr>
        <w:spacing w:line="500" w:lineRule="exact"/>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2.3服务日期：一年</w:t>
      </w:r>
    </w:p>
    <w:p w14:paraId="17AD9A8B">
      <w:pPr>
        <w:spacing w:line="500" w:lineRule="exact"/>
        <w:ind w:firstLine="480" w:firstLineChars="20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2.4验收：由最终用户组织验收。</w:t>
      </w:r>
    </w:p>
    <w:p w14:paraId="4749BF02">
      <w:pPr>
        <w:rPr>
          <w:rFonts w:asciiTheme="minorEastAsia" w:hAnsiTheme="minorEastAsia" w:eastAsiaTheme="minorEastAsia"/>
          <w:color w:val="000000" w:themeColor="text1"/>
          <w:sz w:val="24"/>
        </w:rPr>
      </w:pPr>
    </w:p>
    <w:p w14:paraId="7D1119AE">
      <w:pPr>
        <w:pStyle w:val="2"/>
        <w:ind w:firstLine="240"/>
        <w:rPr>
          <w:rFonts w:asciiTheme="minorEastAsia" w:hAnsiTheme="minorEastAsia" w:eastAsiaTheme="minorEastAsia"/>
          <w:color w:val="000000" w:themeColor="text1"/>
          <w:sz w:val="24"/>
        </w:rPr>
      </w:pPr>
    </w:p>
    <w:p w14:paraId="708BEC7F">
      <w:pPr>
        <w:pStyle w:val="2"/>
        <w:ind w:firstLine="240"/>
        <w:rPr>
          <w:rFonts w:asciiTheme="minorEastAsia" w:hAnsiTheme="minorEastAsia" w:eastAsiaTheme="minorEastAsia"/>
          <w:color w:val="000000" w:themeColor="text1"/>
          <w:sz w:val="24"/>
        </w:rPr>
      </w:pPr>
    </w:p>
    <w:p w14:paraId="2498CF6E">
      <w:pPr>
        <w:pStyle w:val="2"/>
        <w:ind w:firstLine="240"/>
        <w:rPr>
          <w:rFonts w:asciiTheme="minorEastAsia" w:hAnsiTheme="minorEastAsia" w:eastAsiaTheme="minorEastAsia"/>
          <w:color w:val="000000" w:themeColor="text1"/>
          <w:sz w:val="24"/>
        </w:rPr>
      </w:pPr>
    </w:p>
    <w:p w14:paraId="0BBA7581">
      <w:pPr>
        <w:pStyle w:val="2"/>
        <w:ind w:firstLine="240"/>
        <w:rPr>
          <w:rFonts w:asciiTheme="minorEastAsia" w:hAnsiTheme="minorEastAsia" w:eastAsiaTheme="minorEastAsia"/>
          <w:color w:val="000000" w:themeColor="text1"/>
          <w:sz w:val="24"/>
        </w:rPr>
      </w:pPr>
    </w:p>
    <w:p w14:paraId="1D98DDEF">
      <w:pPr>
        <w:pStyle w:val="2"/>
        <w:ind w:firstLine="240"/>
        <w:rPr>
          <w:rFonts w:asciiTheme="minorEastAsia" w:hAnsiTheme="minorEastAsia" w:eastAsiaTheme="minorEastAsia"/>
          <w:color w:val="000000" w:themeColor="text1"/>
          <w:sz w:val="24"/>
        </w:rPr>
      </w:pPr>
    </w:p>
    <w:p w14:paraId="1A77B883">
      <w:pPr>
        <w:pStyle w:val="2"/>
        <w:ind w:firstLine="240"/>
        <w:rPr>
          <w:rFonts w:asciiTheme="minorEastAsia" w:hAnsiTheme="minorEastAsia" w:eastAsiaTheme="minorEastAsia"/>
          <w:color w:val="000000" w:themeColor="text1"/>
          <w:sz w:val="24"/>
        </w:rPr>
      </w:pPr>
    </w:p>
    <w:p w14:paraId="12652A38">
      <w:pPr>
        <w:pStyle w:val="2"/>
        <w:ind w:firstLine="240"/>
        <w:rPr>
          <w:rFonts w:asciiTheme="minorEastAsia" w:hAnsiTheme="minorEastAsia" w:eastAsiaTheme="minorEastAsia"/>
          <w:color w:val="000000" w:themeColor="text1"/>
          <w:sz w:val="24"/>
        </w:rPr>
      </w:pPr>
    </w:p>
    <w:p w14:paraId="5009420F">
      <w:pPr>
        <w:pStyle w:val="2"/>
        <w:ind w:firstLine="240"/>
        <w:rPr>
          <w:rFonts w:asciiTheme="minorEastAsia" w:hAnsiTheme="minorEastAsia" w:eastAsiaTheme="minorEastAsia"/>
          <w:color w:val="000000" w:themeColor="text1"/>
          <w:sz w:val="24"/>
        </w:rPr>
      </w:pPr>
    </w:p>
    <w:p w14:paraId="4805DBCB">
      <w:pPr>
        <w:pStyle w:val="2"/>
        <w:ind w:firstLine="240"/>
        <w:rPr>
          <w:rFonts w:asciiTheme="minorEastAsia" w:hAnsiTheme="minorEastAsia" w:eastAsiaTheme="minorEastAsia"/>
          <w:color w:val="000000" w:themeColor="text1"/>
          <w:sz w:val="24"/>
        </w:rPr>
      </w:pPr>
    </w:p>
    <w:p w14:paraId="68723D2D">
      <w:pPr>
        <w:pStyle w:val="2"/>
        <w:ind w:firstLine="240"/>
        <w:rPr>
          <w:rFonts w:asciiTheme="minorEastAsia" w:hAnsiTheme="minorEastAsia" w:eastAsiaTheme="minorEastAsia"/>
          <w:color w:val="000000" w:themeColor="text1"/>
          <w:sz w:val="24"/>
        </w:rPr>
      </w:pPr>
    </w:p>
    <w:p w14:paraId="1A878794">
      <w:pPr>
        <w:pStyle w:val="2"/>
        <w:ind w:firstLine="240"/>
        <w:rPr>
          <w:rFonts w:asciiTheme="minorEastAsia" w:hAnsiTheme="minorEastAsia" w:eastAsiaTheme="minorEastAsia"/>
          <w:color w:val="000000" w:themeColor="text1"/>
          <w:sz w:val="24"/>
        </w:rPr>
      </w:pPr>
    </w:p>
    <w:p w14:paraId="4E254CCC">
      <w:pPr>
        <w:pStyle w:val="4"/>
        <w:jc w:val="center"/>
        <w:rPr>
          <w:color w:val="000000" w:themeColor="text1"/>
        </w:rPr>
      </w:pPr>
      <w:bookmarkStart w:id="54" w:name="_Toc138765847"/>
      <w:r>
        <w:rPr>
          <w:rFonts w:hint="eastAsia"/>
          <w:color w:val="000000" w:themeColor="text1"/>
        </w:rPr>
        <w:t>第四章  响应性文件内容及格式</w:t>
      </w:r>
      <w:bookmarkEnd w:id="54"/>
    </w:p>
    <w:p w14:paraId="595A6653">
      <w:pPr>
        <w:widowControl/>
        <w:spacing w:line="520" w:lineRule="exact"/>
        <w:ind w:firstLine="480" w:firstLineChars="200"/>
        <w:jc w:val="center"/>
        <w:rPr>
          <w:rFonts w:ascii="宋体" w:hAnsi="宋体" w:cs="宋体"/>
          <w:color w:val="000000" w:themeColor="text1"/>
          <w:sz w:val="24"/>
        </w:rPr>
      </w:pPr>
    </w:p>
    <w:p w14:paraId="64959EA4">
      <w:pPr>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注：请供应商按照以下文件的要求格式、内容，顺序制作响应性文件，并编制目录及页码，否则可能将影响对响应性文件的评价。 </w:t>
      </w:r>
    </w:p>
    <w:p w14:paraId="5B33233A">
      <w:pPr>
        <w:spacing w:line="56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重要提示：</w:t>
      </w:r>
    </w:p>
    <w:p w14:paraId="3B4911EE">
      <w:pPr>
        <w:snapToGrid w:val="0"/>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1．供应商在编制响应性文件时，对于给定格式的文件内容，必须按照给定的标准格式进行填报；对于没有给定标准格式的文件内容，可以由供应商自行设计。</w:t>
      </w:r>
    </w:p>
    <w:p w14:paraId="3ED27D7B">
      <w:pPr>
        <w:snapToGrid w:val="0"/>
        <w:spacing w:line="56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2.法定代表人本人参加竞争性磋商的，不需提供授权委托书。</w:t>
      </w:r>
    </w:p>
    <w:p w14:paraId="686891E4">
      <w:pPr>
        <w:snapToGrid w:val="0"/>
        <w:jc w:val="left"/>
        <w:rPr>
          <w:rFonts w:ascii="宋体" w:hAnsi="宋体" w:cs="宋体"/>
          <w:color w:val="000000" w:themeColor="text1"/>
          <w:sz w:val="24"/>
        </w:rPr>
      </w:pPr>
    </w:p>
    <w:p w14:paraId="564D0537">
      <w:pPr>
        <w:snapToGrid w:val="0"/>
        <w:jc w:val="left"/>
        <w:rPr>
          <w:rFonts w:ascii="宋体" w:hAnsi="宋体" w:cs="宋体"/>
          <w:color w:val="000000" w:themeColor="text1"/>
          <w:sz w:val="24"/>
        </w:rPr>
      </w:pPr>
    </w:p>
    <w:p w14:paraId="08E3DB77">
      <w:pPr>
        <w:snapToGrid w:val="0"/>
        <w:jc w:val="left"/>
        <w:rPr>
          <w:rFonts w:ascii="宋体" w:hAnsi="宋体" w:cs="宋体"/>
          <w:color w:val="000000" w:themeColor="text1"/>
          <w:sz w:val="24"/>
        </w:rPr>
      </w:pPr>
    </w:p>
    <w:p w14:paraId="7FE82DC7">
      <w:pPr>
        <w:snapToGrid w:val="0"/>
        <w:jc w:val="left"/>
        <w:rPr>
          <w:rFonts w:ascii="宋体" w:hAnsi="宋体" w:cs="宋体"/>
          <w:color w:val="000000" w:themeColor="text1"/>
          <w:sz w:val="24"/>
        </w:rPr>
      </w:pPr>
    </w:p>
    <w:p w14:paraId="2D91A502">
      <w:pPr>
        <w:snapToGrid w:val="0"/>
        <w:jc w:val="left"/>
        <w:rPr>
          <w:rFonts w:ascii="宋体" w:hAnsi="宋体" w:cs="宋体"/>
          <w:color w:val="000000" w:themeColor="text1"/>
          <w:sz w:val="24"/>
        </w:rPr>
      </w:pPr>
    </w:p>
    <w:p w14:paraId="27157E0B">
      <w:pPr>
        <w:snapToGrid w:val="0"/>
        <w:jc w:val="left"/>
        <w:rPr>
          <w:rFonts w:ascii="宋体" w:hAnsi="宋体" w:cs="宋体"/>
          <w:color w:val="000000" w:themeColor="text1"/>
          <w:sz w:val="24"/>
        </w:rPr>
      </w:pPr>
    </w:p>
    <w:p w14:paraId="6C9908E3">
      <w:pPr>
        <w:snapToGrid w:val="0"/>
        <w:jc w:val="left"/>
        <w:rPr>
          <w:rFonts w:ascii="宋体" w:hAnsi="宋体" w:cs="宋体"/>
          <w:color w:val="000000" w:themeColor="text1"/>
          <w:sz w:val="24"/>
        </w:rPr>
      </w:pPr>
    </w:p>
    <w:p w14:paraId="67C24ABE">
      <w:pPr>
        <w:snapToGrid w:val="0"/>
        <w:jc w:val="left"/>
        <w:rPr>
          <w:rFonts w:ascii="宋体" w:hAnsi="宋体" w:cs="宋体"/>
          <w:color w:val="000000" w:themeColor="text1"/>
          <w:sz w:val="24"/>
        </w:rPr>
      </w:pPr>
    </w:p>
    <w:p w14:paraId="012ECF79">
      <w:pPr>
        <w:snapToGrid w:val="0"/>
        <w:jc w:val="left"/>
        <w:rPr>
          <w:rFonts w:ascii="宋体" w:hAnsi="宋体" w:cs="宋体"/>
          <w:color w:val="000000" w:themeColor="text1"/>
          <w:sz w:val="24"/>
        </w:rPr>
      </w:pPr>
    </w:p>
    <w:p w14:paraId="3170A453">
      <w:pPr>
        <w:snapToGrid w:val="0"/>
        <w:jc w:val="left"/>
        <w:rPr>
          <w:rFonts w:ascii="宋体" w:hAnsi="宋体" w:cs="宋体"/>
          <w:color w:val="000000" w:themeColor="text1"/>
          <w:sz w:val="24"/>
        </w:rPr>
      </w:pPr>
    </w:p>
    <w:p w14:paraId="0B89E593">
      <w:pPr>
        <w:snapToGrid w:val="0"/>
        <w:jc w:val="left"/>
        <w:rPr>
          <w:rFonts w:ascii="宋体" w:hAnsi="宋体" w:cs="宋体"/>
          <w:color w:val="000000" w:themeColor="text1"/>
          <w:sz w:val="24"/>
        </w:rPr>
      </w:pPr>
    </w:p>
    <w:p w14:paraId="1571AFFA">
      <w:pPr>
        <w:snapToGrid w:val="0"/>
        <w:jc w:val="left"/>
        <w:rPr>
          <w:rFonts w:ascii="宋体" w:hAnsi="宋体" w:cs="宋体"/>
          <w:color w:val="000000" w:themeColor="text1"/>
          <w:sz w:val="24"/>
        </w:rPr>
      </w:pPr>
    </w:p>
    <w:p w14:paraId="38D2E13B">
      <w:pPr>
        <w:snapToGrid w:val="0"/>
        <w:jc w:val="left"/>
        <w:rPr>
          <w:rFonts w:ascii="宋体" w:hAnsi="宋体" w:cs="宋体"/>
          <w:color w:val="000000" w:themeColor="text1"/>
          <w:sz w:val="24"/>
        </w:rPr>
      </w:pPr>
    </w:p>
    <w:p w14:paraId="19A0653D">
      <w:pPr>
        <w:snapToGrid w:val="0"/>
        <w:jc w:val="left"/>
        <w:rPr>
          <w:rFonts w:ascii="宋体" w:hAnsi="宋体" w:cs="宋体"/>
          <w:color w:val="000000" w:themeColor="text1"/>
          <w:sz w:val="24"/>
        </w:rPr>
      </w:pPr>
    </w:p>
    <w:p w14:paraId="3E0844F5">
      <w:pPr>
        <w:pStyle w:val="31"/>
        <w:ind w:firstLine="480"/>
        <w:rPr>
          <w:rFonts w:ascii="宋体" w:hAnsi="宋体" w:eastAsia="宋体" w:cs="宋体"/>
          <w:color w:val="000000" w:themeColor="text1"/>
          <w:sz w:val="24"/>
        </w:rPr>
      </w:pPr>
    </w:p>
    <w:p w14:paraId="2EDB2429">
      <w:pPr>
        <w:pStyle w:val="31"/>
        <w:ind w:firstLine="480"/>
        <w:rPr>
          <w:rFonts w:ascii="宋体" w:hAnsi="宋体" w:eastAsia="宋体" w:cs="宋体"/>
          <w:color w:val="000000" w:themeColor="text1"/>
          <w:sz w:val="24"/>
        </w:rPr>
      </w:pPr>
    </w:p>
    <w:p w14:paraId="467B35A5">
      <w:pPr>
        <w:pStyle w:val="31"/>
        <w:ind w:firstLine="480"/>
        <w:rPr>
          <w:rFonts w:ascii="宋体" w:hAnsi="宋体" w:eastAsia="宋体" w:cs="宋体"/>
          <w:color w:val="000000" w:themeColor="text1"/>
          <w:sz w:val="24"/>
        </w:rPr>
      </w:pPr>
    </w:p>
    <w:p w14:paraId="4682B353">
      <w:pPr>
        <w:pStyle w:val="31"/>
        <w:ind w:firstLine="480"/>
        <w:rPr>
          <w:rFonts w:ascii="宋体" w:hAnsi="宋体" w:eastAsia="宋体" w:cs="宋体"/>
          <w:color w:val="000000" w:themeColor="text1"/>
          <w:sz w:val="24"/>
        </w:rPr>
      </w:pPr>
    </w:p>
    <w:p w14:paraId="0F4F83F4">
      <w:pPr>
        <w:snapToGrid w:val="0"/>
        <w:jc w:val="left"/>
        <w:rPr>
          <w:rFonts w:ascii="宋体" w:hAnsi="宋体" w:cs="宋体"/>
          <w:color w:val="000000" w:themeColor="text1"/>
          <w:sz w:val="24"/>
        </w:rPr>
      </w:pPr>
    </w:p>
    <w:p w14:paraId="7C923E55">
      <w:pPr>
        <w:snapToGrid w:val="0"/>
        <w:jc w:val="left"/>
        <w:rPr>
          <w:rFonts w:ascii="宋体" w:hAnsi="宋体" w:cs="宋体"/>
          <w:color w:val="000000" w:themeColor="text1"/>
          <w:sz w:val="24"/>
        </w:rPr>
      </w:pPr>
    </w:p>
    <w:p w14:paraId="20E2562A">
      <w:pPr>
        <w:snapToGrid w:val="0"/>
        <w:jc w:val="left"/>
        <w:rPr>
          <w:rFonts w:ascii="宋体" w:hAnsi="宋体" w:cs="宋体"/>
          <w:color w:val="000000" w:themeColor="text1"/>
          <w:sz w:val="24"/>
        </w:rPr>
      </w:pPr>
    </w:p>
    <w:p w14:paraId="15A04A5E">
      <w:pPr>
        <w:snapToGrid w:val="0"/>
        <w:jc w:val="left"/>
        <w:rPr>
          <w:rFonts w:ascii="宋体" w:hAnsi="宋体" w:cs="宋体"/>
          <w:color w:val="000000" w:themeColor="text1"/>
          <w:sz w:val="24"/>
        </w:rPr>
      </w:pPr>
    </w:p>
    <w:p w14:paraId="0ED719FE">
      <w:pPr>
        <w:snapToGrid w:val="0"/>
        <w:jc w:val="left"/>
        <w:rPr>
          <w:rFonts w:ascii="宋体" w:hAnsi="宋体" w:cs="宋体"/>
          <w:color w:val="000000" w:themeColor="text1"/>
          <w:sz w:val="24"/>
        </w:rPr>
      </w:pPr>
    </w:p>
    <w:p w14:paraId="21FBF12C">
      <w:pPr>
        <w:snapToGrid w:val="0"/>
        <w:jc w:val="left"/>
        <w:rPr>
          <w:rFonts w:ascii="宋体" w:hAnsi="宋体" w:cs="宋体"/>
          <w:color w:val="000000" w:themeColor="text1"/>
          <w:sz w:val="24"/>
        </w:rPr>
      </w:pPr>
    </w:p>
    <w:p w14:paraId="79005469">
      <w:pPr>
        <w:snapToGrid w:val="0"/>
        <w:jc w:val="left"/>
        <w:rPr>
          <w:rFonts w:ascii="宋体" w:hAnsi="宋体" w:cs="宋体"/>
          <w:color w:val="000000" w:themeColor="text1"/>
          <w:sz w:val="24"/>
        </w:rPr>
      </w:pPr>
    </w:p>
    <w:p w14:paraId="2B48F078">
      <w:pPr>
        <w:snapToGrid w:val="0"/>
        <w:jc w:val="left"/>
        <w:rPr>
          <w:rFonts w:ascii="宋体" w:hAnsi="宋体" w:cs="宋体"/>
          <w:color w:val="000000" w:themeColor="text1"/>
          <w:sz w:val="24"/>
        </w:rPr>
      </w:pPr>
    </w:p>
    <w:p w14:paraId="5300D4B2">
      <w:pPr>
        <w:pStyle w:val="31"/>
        <w:ind w:firstLine="480"/>
        <w:rPr>
          <w:rFonts w:ascii="宋体" w:hAnsi="宋体" w:eastAsia="宋体" w:cs="宋体"/>
          <w:color w:val="000000" w:themeColor="text1"/>
          <w:sz w:val="24"/>
        </w:rPr>
      </w:pPr>
    </w:p>
    <w:p w14:paraId="118DA375">
      <w:pPr>
        <w:snapToGrid w:val="0"/>
        <w:jc w:val="left"/>
        <w:rPr>
          <w:rFonts w:ascii="宋体" w:hAnsi="宋体" w:cs="宋体"/>
          <w:color w:val="000000" w:themeColor="text1"/>
          <w:sz w:val="24"/>
        </w:rPr>
      </w:pPr>
    </w:p>
    <w:p w14:paraId="1D8FD782">
      <w:pPr>
        <w:pStyle w:val="12"/>
        <w:ind w:firstLine="210"/>
        <w:rPr>
          <w:color w:val="000000" w:themeColor="text1"/>
        </w:rPr>
      </w:pPr>
      <w:r>
        <w:rPr>
          <w:color w:val="000000" w:themeColor="text1"/>
        </w:rPr>
        <w:t>（此格式仅供参考）</w:t>
      </w:r>
    </w:p>
    <w:p w14:paraId="51BF989B">
      <w:pPr>
        <w:rPr>
          <w:color w:val="000000" w:themeColor="text1"/>
        </w:rPr>
      </w:pPr>
    </w:p>
    <w:p w14:paraId="3D9997DD">
      <w:pPr>
        <w:pStyle w:val="18"/>
        <w:spacing w:before="312" w:beforeLines="100" w:after="312" w:afterLines="100" w:line="600" w:lineRule="exact"/>
        <w:jc w:val="center"/>
        <w:rPr>
          <w:b/>
          <w:color w:val="000000" w:themeColor="text1"/>
          <w:sz w:val="44"/>
          <w:szCs w:val="44"/>
        </w:rPr>
      </w:pPr>
      <w:r>
        <w:rPr>
          <w:rFonts w:hint="eastAsia"/>
          <w:b/>
          <w:color w:val="000000" w:themeColor="text1"/>
          <w:sz w:val="44"/>
          <w:szCs w:val="44"/>
          <w:u w:val="single"/>
        </w:rPr>
        <w:t xml:space="preserve">                    </w:t>
      </w:r>
      <w:r>
        <w:rPr>
          <w:rFonts w:hint="eastAsia"/>
          <w:b/>
          <w:color w:val="000000" w:themeColor="text1"/>
          <w:sz w:val="44"/>
          <w:szCs w:val="44"/>
        </w:rPr>
        <w:t>项目竞争性磋商</w:t>
      </w:r>
    </w:p>
    <w:p w14:paraId="012FF3B2">
      <w:pPr>
        <w:pStyle w:val="18"/>
        <w:spacing w:before="312" w:beforeLines="100" w:after="312" w:afterLines="100" w:line="600" w:lineRule="exact"/>
        <w:jc w:val="center"/>
        <w:rPr>
          <w:b/>
          <w:bCs/>
          <w:color w:val="000000" w:themeColor="text1"/>
          <w:sz w:val="32"/>
        </w:rPr>
      </w:pPr>
      <w:r>
        <w:rPr>
          <w:rFonts w:hint="eastAsia"/>
          <w:b/>
          <w:bCs/>
          <w:color w:val="000000" w:themeColor="text1"/>
          <w:sz w:val="32"/>
        </w:rPr>
        <w:t xml:space="preserve">    </w:t>
      </w:r>
    </w:p>
    <w:p w14:paraId="2A8BF677">
      <w:pPr>
        <w:pStyle w:val="18"/>
        <w:spacing w:before="312" w:beforeLines="100" w:after="312" w:afterLines="100"/>
        <w:jc w:val="center"/>
        <w:rPr>
          <w:b/>
          <w:bCs/>
          <w:color w:val="000000" w:themeColor="text1"/>
          <w:sz w:val="84"/>
          <w:szCs w:val="84"/>
        </w:rPr>
      </w:pPr>
      <w:r>
        <w:rPr>
          <w:rFonts w:hint="eastAsia"/>
          <w:b/>
          <w:bCs/>
          <w:color w:val="000000" w:themeColor="text1"/>
          <w:sz w:val="84"/>
          <w:szCs w:val="84"/>
        </w:rPr>
        <w:t>响应文件</w:t>
      </w:r>
    </w:p>
    <w:p w14:paraId="5A7789FB">
      <w:pPr>
        <w:pStyle w:val="18"/>
        <w:spacing w:before="312" w:beforeLines="100" w:after="312" w:afterLines="100" w:line="600" w:lineRule="exact"/>
        <w:jc w:val="center"/>
        <w:rPr>
          <w:bCs/>
          <w:color w:val="000000" w:themeColor="text1"/>
          <w:sz w:val="32"/>
          <w:u w:val="single"/>
        </w:rPr>
      </w:pPr>
      <w:r>
        <w:rPr>
          <w:rFonts w:hint="eastAsia"/>
          <w:bCs/>
          <w:color w:val="000000" w:themeColor="text1"/>
          <w:sz w:val="32"/>
        </w:rPr>
        <w:t>项目编号</w:t>
      </w:r>
      <w:r>
        <w:rPr>
          <w:bCs/>
          <w:color w:val="000000" w:themeColor="text1"/>
          <w:sz w:val="32"/>
        </w:rPr>
        <w:t>：</w:t>
      </w:r>
    </w:p>
    <w:p w14:paraId="6222438B">
      <w:pPr>
        <w:pStyle w:val="18"/>
        <w:spacing w:before="312" w:beforeLines="100" w:after="312" w:afterLines="100" w:line="600" w:lineRule="exact"/>
        <w:jc w:val="center"/>
        <w:rPr>
          <w:bCs/>
          <w:color w:val="000000" w:themeColor="text1"/>
          <w:sz w:val="32"/>
        </w:rPr>
      </w:pPr>
      <w:r>
        <w:rPr>
          <w:rFonts w:hint="eastAsia"/>
          <w:bCs/>
          <w:color w:val="000000" w:themeColor="text1"/>
          <w:sz w:val="32"/>
        </w:rPr>
        <w:t>（封面）</w:t>
      </w:r>
    </w:p>
    <w:p w14:paraId="65B111FF">
      <w:pPr>
        <w:pStyle w:val="18"/>
        <w:spacing w:before="312" w:beforeLines="100" w:after="312" w:afterLines="100" w:line="600" w:lineRule="exact"/>
        <w:jc w:val="center"/>
        <w:rPr>
          <w:b/>
          <w:bCs/>
          <w:color w:val="000000" w:themeColor="text1"/>
          <w:sz w:val="32"/>
          <w:u w:val="single"/>
        </w:rPr>
      </w:pPr>
    </w:p>
    <w:p w14:paraId="6D89365D">
      <w:pPr>
        <w:pStyle w:val="18"/>
        <w:spacing w:before="312" w:beforeLines="100" w:after="312" w:afterLines="100" w:line="600" w:lineRule="exact"/>
        <w:jc w:val="center"/>
        <w:rPr>
          <w:b/>
          <w:bCs/>
          <w:color w:val="000000" w:themeColor="text1"/>
          <w:sz w:val="32"/>
          <w:u w:val="single"/>
        </w:rPr>
      </w:pPr>
    </w:p>
    <w:p w14:paraId="6E65D111">
      <w:pPr>
        <w:pStyle w:val="18"/>
        <w:spacing w:before="312" w:beforeLines="100" w:after="312" w:afterLines="100" w:line="600" w:lineRule="exact"/>
        <w:rPr>
          <w:b/>
          <w:bCs/>
          <w:color w:val="000000" w:themeColor="text1"/>
          <w:sz w:val="32"/>
          <w:u w:val="single"/>
        </w:rPr>
      </w:pPr>
    </w:p>
    <w:p w14:paraId="6C807C4C">
      <w:pPr>
        <w:pStyle w:val="18"/>
        <w:spacing w:before="312" w:beforeLines="100" w:after="312" w:afterLines="100" w:line="600" w:lineRule="exact"/>
        <w:jc w:val="center"/>
        <w:rPr>
          <w:b/>
          <w:bCs/>
          <w:color w:val="000000" w:themeColor="text1"/>
          <w:sz w:val="32"/>
          <w:u w:val="single"/>
        </w:rPr>
      </w:pPr>
    </w:p>
    <w:p w14:paraId="54CB541E">
      <w:pPr>
        <w:pStyle w:val="18"/>
        <w:spacing w:before="312" w:beforeLines="100" w:after="312" w:afterLines="100" w:line="600" w:lineRule="exact"/>
        <w:jc w:val="center"/>
        <w:rPr>
          <w:b/>
          <w:bCs/>
          <w:color w:val="000000" w:themeColor="text1"/>
          <w:sz w:val="32"/>
          <w:u w:val="single"/>
        </w:rPr>
      </w:pPr>
      <w:r>
        <w:rPr>
          <w:rFonts w:hint="eastAsia"/>
          <w:b/>
          <w:bCs/>
          <w:color w:val="000000" w:themeColor="text1"/>
          <w:sz w:val="32"/>
        </w:rPr>
        <w:t xml:space="preserve"> 供  应  商：</w:t>
      </w:r>
      <w:r>
        <w:rPr>
          <w:rFonts w:hint="eastAsia"/>
          <w:b/>
          <w:bCs/>
          <w:color w:val="000000" w:themeColor="text1"/>
          <w:sz w:val="32"/>
          <w:u w:val="single"/>
        </w:rPr>
        <w:t xml:space="preserve">                     </w:t>
      </w:r>
      <w:r>
        <w:rPr>
          <w:rFonts w:hint="eastAsia"/>
          <w:b/>
          <w:bCs/>
          <w:color w:val="000000" w:themeColor="text1"/>
          <w:sz w:val="32"/>
        </w:rPr>
        <w:t>（电子签章）</w:t>
      </w:r>
    </w:p>
    <w:p w14:paraId="4653EA2C">
      <w:pPr>
        <w:pStyle w:val="18"/>
        <w:spacing w:before="312" w:beforeLines="100" w:after="312" w:afterLines="100" w:line="600" w:lineRule="exact"/>
        <w:ind w:firstLine="596" w:firstLineChars="198"/>
        <w:rPr>
          <w:b/>
          <w:bCs/>
          <w:color w:val="000000" w:themeColor="text1"/>
          <w:sz w:val="30"/>
          <w:szCs w:val="30"/>
        </w:rPr>
      </w:pPr>
      <w:r>
        <w:rPr>
          <w:rFonts w:hint="eastAsia"/>
          <w:b/>
          <w:bCs/>
          <w:color w:val="000000" w:themeColor="text1"/>
          <w:sz w:val="30"/>
          <w:szCs w:val="30"/>
        </w:rPr>
        <w:t>法定代表人或其委托代理人：</w:t>
      </w:r>
      <w:r>
        <w:rPr>
          <w:rFonts w:hint="eastAsia"/>
          <w:b/>
          <w:bCs/>
          <w:color w:val="000000" w:themeColor="text1"/>
          <w:sz w:val="30"/>
          <w:szCs w:val="30"/>
          <w:u w:val="single"/>
        </w:rPr>
        <w:t xml:space="preserve">              </w:t>
      </w:r>
      <w:r>
        <w:rPr>
          <w:rFonts w:hint="eastAsia"/>
          <w:b/>
          <w:bCs/>
          <w:color w:val="000000" w:themeColor="text1"/>
          <w:sz w:val="30"/>
          <w:szCs w:val="30"/>
        </w:rPr>
        <w:t>（签    字）</w:t>
      </w:r>
    </w:p>
    <w:p w14:paraId="1C23B6E2">
      <w:pPr>
        <w:pStyle w:val="16"/>
        <w:spacing w:line="500" w:lineRule="exact"/>
        <w:ind w:left="0" w:leftChars="0" w:firstLine="2129" w:firstLineChars="707"/>
        <w:rPr>
          <w:b/>
          <w:bCs/>
          <w:color w:val="000000" w:themeColor="text1"/>
          <w:sz w:val="30"/>
          <w:szCs w:val="30"/>
        </w:rPr>
      </w:pPr>
      <w:r>
        <w:rPr>
          <w:rFonts w:hint="eastAsia"/>
          <w:b/>
          <w:bCs/>
          <w:color w:val="000000" w:themeColor="text1"/>
          <w:sz w:val="30"/>
          <w:szCs w:val="30"/>
        </w:rPr>
        <w:t>日      期：       年    月    日</w:t>
      </w:r>
    </w:p>
    <w:p w14:paraId="7354144F">
      <w:pPr>
        <w:pStyle w:val="16"/>
        <w:spacing w:line="500" w:lineRule="exact"/>
        <w:ind w:left="0" w:leftChars="0" w:firstLine="2129" w:firstLineChars="707"/>
        <w:rPr>
          <w:b/>
          <w:bCs/>
          <w:color w:val="000000" w:themeColor="text1"/>
          <w:sz w:val="30"/>
          <w:szCs w:val="30"/>
        </w:rPr>
      </w:pPr>
    </w:p>
    <w:p w14:paraId="0E00A5BC">
      <w:pPr>
        <w:snapToGrid w:val="0"/>
        <w:jc w:val="left"/>
        <w:rPr>
          <w:rFonts w:ascii="宋体" w:hAnsi="宋体" w:cs="宋体"/>
          <w:color w:val="000000" w:themeColor="text1"/>
          <w:sz w:val="24"/>
        </w:rPr>
      </w:pPr>
    </w:p>
    <w:p w14:paraId="0A36A643">
      <w:pPr>
        <w:pStyle w:val="31"/>
        <w:ind w:firstLine="480"/>
        <w:rPr>
          <w:rFonts w:ascii="宋体" w:hAnsi="宋体" w:eastAsia="宋体" w:cs="宋体"/>
          <w:color w:val="000000" w:themeColor="text1"/>
          <w:sz w:val="24"/>
        </w:rPr>
      </w:pPr>
    </w:p>
    <w:p w14:paraId="5554A132">
      <w:pPr>
        <w:snapToGrid w:val="0"/>
        <w:jc w:val="left"/>
        <w:rPr>
          <w:rFonts w:ascii="宋体" w:hAnsi="宋体" w:cs="宋体"/>
          <w:color w:val="000000" w:themeColor="text1"/>
          <w:sz w:val="24"/>
        </w:rPr>
      </w:pPr>
    </w:p>
    <w:p w14:paraId="6DDFBFA4">
      <w:pPr>
        <w:pStyle w:val="2"/>
        <w:ind w:firstLine="210"/>
        <w:rPr>
          <w:color w:val="000000" w:themeColor="text1"/>
        </w:rPr>
      </w:pPr>
    </w:p>
    <w:p w14:paraId="47278BF2">
      <w:pPr>
        <w:spacing w:line="360" w:lineRule="auto"/>
        <w:jc w:val="left"/>
        <w:rPr>
          <w:rFonts w:ascii="宋体" w:hAnsi="宋体" w:cs="宋体"/>
          <w:color w:val="000000" w:themeColor="text1"/>
          <w:sz w:val="24"/>
        </w:rPr>
      </w:pPr>
    </w:p>
    <w:p w14:paraId="341B3FEB">
      <w:pPr>
        <w:spacing w:line="360" w:lineRule="auto"/>
        <w:jc w:val="left"/>
        <w:rPr>
          <w:rFonts w:ascii="宋体" w:hAnsi="宋体" w:cs="宋体"/>
          <w:color w:val="000000" w:themeColor="text1"/>
          <w:sz w:val="24"/>
        </w:rPr>
      </w:pPr>
    </w:p>
    <w:p w14:paraId="6DC3A093">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格式2-1</w:t>
      </w:r>
    </w:p>
    <w:p w14:paraId="17411CC6">
      <w:pPr>
        <w:widowControl/>
        <w:jc w:val="center"/>
        <w:rPr>
          <w:rFonts w:ascii="宋体" w:hAnsi="宋体" w:cs="宋体"/>
          <w:color w:val="000000" w:themeColor="text1"/>
          <w:kern w:val="0"/>
          <w:sz w:val="24"/>
        </w:rPr>
      </w:pPr>
      <w:r>
        <w:rPr>
          <w:rFonts w:hint="eastAsia" w:ascii="宋体" w:hAnsi="宋体" w:cs="宋体"/>
          <w:color w:val="000000" w:themeColor="text1"/>
          <w:sz w:val="24"/>
        </w:rPr>
        <w:t>企业营业执照副本及</w:t>
      </w:r>
      <w:r>
        <w:rPr>
          <w:rFonts w:hint="eastAsia" w:ascii="宋体" w:hAnsi="宋体" w:cs="宋体"/>
          <w:color w:val="000000" w:themeColor="text1"/>
          <w:kern w:val="0"/>
          <w:sz w:val="24"/>
        </w:rPr>
        <w:t>资格性证明材料</w:t>
      </w:r>
    </w:p>
    <w:p w14:paraId="40980E4F">
      <w:pPr>
        <w:pStyle w:val="2"/>
        <w:ind w:firstLine="210"/>
        <w:rPr>
          <w:color w:val="000000" w:themeColor="text1"/>
        </w:rPr>
      </w:pPr>
    </w:p>
    <w:p w14:paraId="15858F61">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格式2-2</w:t>
      </w:r>
    </w:p>
    <w:p w14:paraId="542E21FF">
      <w:pPr>
        <w:spacing w:line="360" w:lineRule="auto"/>
        <w:jc w:val="center"/>
        <w:rPr>
          <w:rFonts w:ascii="宋体" w:hAnsi="宋体" w:cs="宋体"/>
          <w:color w:val="000000" w:themeColor="text1"/>
          <w:sz w:val="24"/>
        </w:rPr>
      </w:pPr>
      <w:r>
        <w:rPr>
          <w:rFonts w:hint="eastAsia" w:ascii="宋体" w:hAnsi="宋体" w:cs="宋体"/>
          <w:color w:val="000000" w:themeColor="text1"/>
          <w:sz w:val="24"/>
        </w:rPr>
        <w:t>法定代表人身份证明书</w:t>
      </w:r>
    </w:p>
    <w:p w14:paraId="41DBBC58">
      <w:pPr>
        <w:spacing w:line="360" w:lineRule="auto"/>
        <w:jc w:val="center"/>
        <w:rPr>
          <w:rFonts w:ascii="宋体" w:hAnsi="宋体" w:cs="宋体"/>
          <w:color w:val="000000" w:themeColor="text1"/>
          <w:sz w:val="24"/>
        </w:rPr>
      </w:pPr>
      <w:r>
        <w:rPr>
          <w:rFonts w:hint="eastAsia" w:ascii="宋体" w:hAnsi="宋体" w:cs="宋体"/>
          <w:color w:val="000000" w:themeColor="text1"/>
          <w:sz w:val="24"/>
        </w:rPr>
        <w:t>（法定代表人参加竞争性磋商的，出具此证明书）</w:t>
      </w:r>
    </w:p>
    <w:p w14:paraId="734C403D">
      <w:pPr>
        <w:spacing w:line="360" w:lineRule="auto"/>
        <w:ind w:firstLine="480" w:firstLineChars="200"/>
        <w:rPr>
          <w:rFonts w:ascii="宋体" w:hAnsi="宋体" w:cs="宋体"/>
          <w:color w:val="000000" w:themeColor="text1"/>
          <w:sz w:val="24"/>
        </w:rPr>
      </w:pPr>
    </w:p>
    <w:p w14:paraId="1280D31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同志，系我单位法定代表人，任职务。</w:t>
      </w:r>
    </w:p>
    <w:p w14:paraId="2D1537D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特此证明。</w:t>
      </w:r>
    </w:p>
    <w:p w14:paraId="2EB21B1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附：联系地址：               </w:t>
      </w:r>
    </w:p>
    <w:p w14:paraId="79D991A2">
      <w:pPr>
        <w:spacing w:line="360" w:lineRule="auto"/>
        <w:ind w:firstLine="960" w:firstLineChars="400"/>
        <w:rPr>
          <w:rFonts w:ascii="宋体" w:hAnsi="宋体" w:cs="宋体"/>
          <w:b/>
          <w:color w:val="000000" w:themeColor="text1"/>
          <w:sz w:val="24"/>
        </w:rPr>
      </w:pPr>
      <w:r>
        <w:rPr>
          <w:rFonts w:hint="eastAsia" w:ascii="宋体" w:hAnsi="宋体" w:cs="宋体"/>
          <w:color w:val="000000" w:themeColor="text1"/>
          <w:sz w:val="24"/>
        </w:rPr>
        <w:t>联系电话：</w:t>
      </w:r>
    </w:p>
    <w:tbl>
      <w:tblPr>
        <w:tblStyle w:val="32"/>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ED7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2EA1243">
            <w:pPr>
              <w:spacing w:line="480" w:lineRule="exact"/>
              <w:rPr>
                <w:rFonts w:ascii="宋体" w:hAnsi="宋体" w:cs="宋体"/>
                <w:b/>
                <w:bCs/>
                <w:color w:val="000000" w:themeColor="text1"/>
                <w:sz w:val="24"/>
              </w:rPr>
            </w:pPr>
          </w:p>
          <w:p w14:paraId="2390E55F">
            <w:pPr>
              <w:spacing w:line="480" w:lineRule="exact"/>
              <w:rPr>
                <w:rFonts w:ascii="宋体" w:hAnsi="宋体" w:cs="宋体"/>
                <w:b/>
                <w:bCs/>
                <w:color w:val="000000" w:themeColor="text1"/>
                <w:sz w:val="24"/>
              </w:rPr>
            </w:pPr>
          </w:p>
          <w:p w14:paraId="27165023">
            <w:pPr>
              <w:spacing w:line="480" w:lineRule="exact"/>
              <w:jc w:val="center"/>
              <w:rPr>
                <w:rFonts w:ascii="宋体" w:hAnsi="宋体" w:cs="宋体"/>
                <w:b/>
                <w:bCs/>
                <w:color w:val="000000" w:themeColor="text1"/>
                <w:sz w:val="24"/>
              </w:rPr>
            </w:pPr>
            <w:r>
              <w:rPr>
                <w:rFonts w:hint="eastAsia" w:ascii="宋体" w:hAnsi="宋体" w:cs="宋体"/>
                <w:b/>
                <w:bCs/>
                <w:color w:val="000000" w:themeColor="text1"/>
                <w:sz w:val="24"/>
              </w:rPr>
              <w:t>（※附：法定代表人身份证复印件※）</w:t>
            </w:r>
          </w:p>
          <w:p w14:paraId="13E20AF3">
            <w:pPr>
              <w:spacing w:line="480" w:lineRule="exact"/>
              <w:rPr>
                <w:rFonts w:ascii="宋体" w:hAnsi="宋体" w:cs="宋体"/>
                <w:color w:val="000000" w:themeColor="text1"/>
                <w:sz w:val="24"/>
              </w:rPr>
            </w:pPr>
          </w:p>
          <w:p w14:paraId="20867FB1">
            <w:pPr>
              <w:spacing w:line="480" w:lineRule="exact"/>
              <w:rPr>
                <w:rFonts w:ascii="宋体" w:hAnsi="宋体" w:cs="宋体"/>
                <w:color w:val="000000" w:themeColor="text1"/>
                <w:sz w:val="24"/>
              </w:rPr>
            </w:pPr>
          </w:p>
        </w:tc>
      </w:tr>
    </w:tbl>
    <w:p w14:paraId="37F8225D">
      <w:pPr>
        <w:spacing w:line="360" w:lineRule="auto"/>
        <w:ind w:firstLine="960" w:firstLineChars="400"/>
        <w:rPr>
          <w:rFonts w:ascii="宋体" w:hAnsi="宋体" w:cs="宋体"/>
          <w:color w:val="000000" w:themeColor="text1"/>
          <w:sz w:val="24"/>
        </w:rPr>
      </w:pPr>
    </w:p>
    <w:p w14:paraId="7440715A">
      <w:pPr>
        <w:spacing w:line="360" w:lineRule="auto"/>
        <w:ind w:firstLine="3840" w:firstLineChars="1600"/>
        <w:rPr>
          <w:rFonts w:ascii="宋体" w:hAnsi="宋体" w:cs="宋体"/>
          <w:color w:val="000000" w:themeColor="text1"/>
          <w:sz w:val="24"/>
        </w:rPr>
      </w:pPr>
    </w:p>
    <w:p w14:paraId="6423B925">
      <w:pPr>
        <w:spacing w:line="360" w:lineRule="auto"/>
        <w:ind w:firstLine="3840" w:firstLineChars="1600"/>
        <w:rPr>
          <w:rFonts w:ascii="宋体" w:hAnsi="宋体" w:cs="宋体"/>
          <w:color w:val="000000" w:themeColor="text1"/>
          <w:sz w:val="24"/>
        </w:rPr>
      </w:pPr>
    </w:p>
    <w:p w14:paraId="5740E0A3">
      <w:pPr>
        <w:spacing w:line="360" w:lineRule="auto"/>
        <w:ind w:firstLine="3840" w:firstLineChars="1600"/>
        <w:rPr>
          <w:rFonts w:ascii="宋体" w:hAnsi="宋体" w:cs="宋体"/>
          <w:color w:val="000000" w:themeColor="text1"/>
          <w:sz w:val="24"/>
        </w:rPr>
      </w:pPr>
    </w:p>
    <w:p w14:paraId="5702809B">
      <w:pPr>
        <w:spacing w:line="360" w:lineRule="auto"/>
        <w:jc w:val="center"/>
        <w:rPr>
          <w:rFonts w:ascii="宋体" w:hAnsi="宋体" w:cs="宋体"/>
          <w:color w:val="000000" w:themeColor="text1"/>
          <w:sz w:val="24"/>
        </w:rPr>
      </w:pPr>
    </w:p>
    <w:p w14:paraId="7FA6CE69">
      <w:pPr>
        <w:spacing w:line="360" w:lineRule="auto"/>
        <w:jc w:val="center"/>
        <w:rPr>
          <w:rFonts w:ascii="宋体" w:hAnsi="宋体" w:cs="宋体"/>
          <w:color w:val="000000" w:themeColor="text1"/>
          <w:sz w:val="24"/>
        </w:rPr>
      </w:pPr>
    </w:p>
    <w:p w14:paraId="23A2A455">
      <w:pPr>
        <w:spacing w:line="360" w:lineRule="auto"/>
        <w:jc w:val="center"/>
        <w:rPr>
          <w:rFonts w:ascii="宋体" w:hAnsi="宋体" w:cs="宋体"/>
          <w:color w:val="000000" w:themeColor="text1"/>
          <w:sz w:val="24"/>
        </w:rPr>
      </w:pPr>
    </w:p>
    <w:p w14:paraId="46DCC488">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2AEA1E7A">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年   月  日</w:t>
      </w:r>
    </w:p>
    <w:p w14:paraId="59D5DE8C">
      <w:pPr>
        <w:spacing w:line="360" w:lineRule="auto"/>
        <w:jc w:val="center"/>
        <w:rPr>
          <w:rFonts w:ascii="宋体" w:hAnsi="宋体" w:cs="宋体"/>
          <w:color w:val="000000" w:themeColor="text1"/>
          <w:sz w:val="24"/>
        </w:rPr>
      </w:pPr>
    </w:p>
    <w:p w14:paraId="6D200E72">
      <w:pPr>
        <w:spacing w:line="360" w:lineRule="auto"/>
        <w:jc w:val="center"/>
        <w:rPr>
          <w:rFonts w:ascii="宋体" w:hAnsi="宋体" w:cs="宋体"/>
          <w:color w:val="000000" w:themeColor="text1"/>
          <w:sz w:val="24"/>
        </w:rPr>
      </w:pPr>
    </w:p>
    <w:p w14:paraId="05088C64">
      <w:pPr>
        <w:spacing w:line="360" w:lineRule="auto"/>
        <w:jc w:val="center"/>
        <w:rPr>
          <w:rFonts w:ascii="宋体" w:hAnsi="宋体" w:cs="宋体"/>
          <w:color w:val="000000" w:themeColor="text1"/>
          <w:sz w:val="24"/>
        </w:rPr>
      </w:pPr>
    </w:p>
    <w:p w14:paraId="397A5B84">
      <w:pPr>
        <w:pStyle w:val="2"/>
        <w:ind w:firstLine="240"/>
        <w:rPr>
          <w:rFonts w:ascii="宋体" w:hAnsi="宋体" w:cs="宋体"/>
          <w:color w:val="000000" w:themeColor="text1"/>
          <w:sz w:val="24"/>
        </w:rPr>
      </w:pPr>
    </w:p>
    <w:p w14:paraId="5C8BAC46">
      <w:pPr>
        <w:pStyle w:val="2"/>
        <w:ind w:firstLine="240"/>
        <w:rPr>
          <w:rFonts w:ascii="宋体" w:hAnsi="宋体" w:cs="宋体"/>
          <w:color w:val="000000" w:themeColor="text1"/>
          <w:sz w:val="24"/>
        </w:rPr>
      </w:pPr>
    </w:p>
    <w:p w14:paraId="506117DD">
      <w:pPr>
        <w:pStyle w:val="2"/>
        <w:ind w:firstLine="240"/>
        <w:rPr>
          <w:rFonts w:ascii="宋体" w:hAnsi="宋体" w:cs="宋体"/>
          <w:color w:val="000000" w:themeColor="text1"/>
          <w:sz w:val="24"/>
        </w:rPr>
      </w:pPr>
    </w:p>
    <w:p w14:paraId="3162821F">
      <w:pPr>
        <w:pStyle w:val="2"/>
        <w:ind w:firstLine="240"/>
        <w:rPr>
          <w:rFonts w:ascii="宋体" w:hAnsi="宋体" w:cs="宋体"/>
          <w:color w:val="000000" w:themeColor="text1"/>
          <w:sz w:val="24"/>
        </w:rPr>
      </w:pPr>
    </w:p>
    <w:p w14:paraId="1B7A47DC">
      <w:pPr>
        <w:pStyle w:val="2"/>
        <w:ind w:firstLine="240"/>
        <w:rPr>
          <w:rFonts w:ascii="宋体" w:hAnsi="宋体" w:cs="宋体"/>
          <w:color w:val="000000" w:themeColor="text1"/>
          <w:sz w:val="24"/>
        </w:rPr>
      </w:pPr>
    </w:p>
    <w:p w14:paraId="597E8EE5">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格式2-3</w:t>
      </w:r>
    </w:p>
    <w:p w14:paraId="5132CFF5">
      <w:pPr>
        <w:spacing w:line="360" w:lineRule="auto"/>
        <w:ind w:firstLine="480" w:firstLineChars="200"/>
        <w:jc w:val="center"/>
        <w:rPr>
          <w:rFonts w:ascii="宋体" w:hAnsi="宋体" w:cs="宋体"/>
          <w:color w:val="000000" w:themeColor="text1"/>
          <w:sz w:val="24"/>
        </w:rPr>
      </w:pPr>
      <w:r>
        <w:rPr>
          <w:rFonts w:hint="eastAsia" w:ascii="宋体" w:hAnsi="宋体" w:cs="宋体"/>
          <w:color w:val="000000" w:themeColor="text1"/>
          <w:sz w:val="24"/>
        </w:rPr>
        <w:t>授权委托书</w:t>
      </w:r>
    </w:p>
    <w:p w14:paraId="7C33DEE4">
      <w:pPr>
        <w:spacing w:line="360" w:lineRule="auto"/>
        <w:jc w:val="center"/>
        <w:rPr>
          <w:rFonts w:ascii="宋体" w:hAnsi="宋体" w:cs="宋体"/>
          <w:color w:val="000000" w:themeColor="text1"/>
          <w:sz w:val="24"/>
        </w:rPr>
      </w:pPr>
      <w:r>
        <w:rPr>
          <w:rFonts w:hint="eastAsia" w:ascii="宋体" w:hAnsi="宋体" w:cs="宋体"/>
          <w:color w:val="000000" w:themeColor="text1"/>
          <w:sz w:val="24"/>
        </w:rPr>
        <w:t>（委托代理人参加竞争性磋商的，出具此证明书）</w:t>
      </w:r>
    </w:p>
    <w:p w14:paraId="79D93178">
      <w:pPr>
        <w:spacing w:line="360" w:lineRule="auto"/>
        <w:ind w:firstLine="480" w:firstLineChars="200"/>
        <w:rPr>
          <w:rFonts w:ascii="宋体" w:hAnsi="宋体" w:cs="宋体"/>
          <w:color w:val="000000" w:themeColor="text1"/>
          <w:sz w:val="24"/>
        </w:rPr>
      </w:pPr>
    </w:p>
    <w:p w14:paraId="51F6A14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委托人授权（被委托人的姓名、职务）为委托人的委托代理人，就项目编号为的项目及合同的执行，以本单位名义处理一切与之有关的事务。</w:t>
      </w:r>
    </w:p>
    <w:p w14:paraId="28C7E49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本授权书于年月日签字生效，特此声明。</w:t>
      </w:r>
    </w:p>
    <w:p w14:paraId="1B513929">
      <w:pPr>
        <w:spacing w:line="360" w:lineRule="auto"/>
        <w:rPr>
          <w:rFonts w:ascii="宋体" w:hAnsi="宋体" w:cs="宋体"/>
          <w:color w:val="000000" w:themeColor="text1"/>
          <w:sz w:val="24"/>
        </w:rPr>
      </w:pPr>
    </w:p>
    <w:p w14:paraId="414BABC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委托人：</w:t>
      </w:r>
    </w:p>
    <w:p w14:paraId="7CBBD5A5">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供应商电子签章：       </w:t>
      </w:r>
    </w:p>
    <w:p w14:paraId="7284510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被委托人：</w:t>
      </w:r>
    </w:p>
    <w:p w14:paraId="6D9BCE1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法定代表人：</w:t>
      </w:r>
    </w:p>
    <w:tbl>
      <w:tblPr>
        <w:tblStyle w:val="32"/>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2AB2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63FC0D2A">
            <w:pPr>
              <w:spacing w:line="480" w:lineRule="exact"/>
              <w:rPr>
                <w:rFonts w:ascii="宋体" w:hAnsi="宋体" w:cs="宋体"/>
                <w:b/>
                <w:bCs/>
                <w:color w:val="000000" w:themeColor="text1"/>
                <w:sz w:val="24"/>
              </w:rPr>
            </w:pPr>
          </w:p>
          <w:p w14:paraId="246FF01C">
            <w:pPr>
              <w:spacing w:line="480" w:lineRule="exact"/>
              <w:rPr>
                <w:rFonts w:ascii="宋体" w:hAnsi="宋体" w:cs="宋体"/>
                <w:b/>
                <w:bCs/>
                <w:color w:val="000000" w:themeColor="text1"/>
                <w:sz w:val="24"/>
              </w:rPr>
            </w:pPr>
          </w:p>
          <w:p w14:paraId="043AFA78">
            <w:pPr>
              <w:spacing w:line="480" w:lineRule="exact"/>
              <w:jc w:val="center"/>
              <w:rPr>
                <w:rFonts w:ascii="宋体" w:hAnsi="宋体" w:cs="宋体"/>
                <w:color w:val="000000" w:themeColor="text1"/>
                <w:sz w:val="24"/>
              </w:rPr>
            </w:pPr>
            <w:r>
              <w:rPr>
                <w:rFonts w:hint="eastAsia" w:ascii="宋体" w:hAnsi="宋体" w:cs="宋体"/>
                <w:b/>
                <w:bCs/>
                <w:color w:val="000000" w:themeColor="text1"/>
                <w:sz w:val="24"/>
              </w:rPr>
              <w:t>（※附：法定代表人身份证复印件及委托代理人身份证复印件※）</w:t>
            </w:r>
          </w:p>
        </w:tc>
      </w:tr>
    </w:tbl>
    <w:p w14:paraId="15A65835">
      <w:pPr>
        <w:spacing w:line="360" w:lineRule="auto"/>
        <w:ind w:firstLine="480" w:firstLineChars="200"/>
        <w:rPr>
          <w:rFonts w:ascii="宋体" w:hAnsi="宋体" w:cs="宋体"/>
          <w:color w:val="000000" w:themeColor="text1"/>
          <w:sz w:val="24"/>
        </w:rPr>
      </w:pPr>
    </w:p>
    <w:p w14:paraId="33175062">
      <w:pPr>
        <w:spacing w:line="360" w:lineRule="auto"/>
        <w:ind w:firstLine="480" w:firstLineChars="200"/>
        <w:rPr>
          <w:rFonts w:ascii="宋体" w:hAnsi="宋体" w:cs="宋体"/>
          <w:color w:val="000000" w:themeColor="text1"/>
          <w:sz w:val="24"/>
        </w:rPr>
      </w:pPr>
    </w:p>
    <w:p w14:paraId="6520AC1F">
      <w:pPr>
        <w:spacing w:line="360" w:lineRule="auto"/>
        <w:ind w:firstLine="480" w:firstLineChars="200"/>
        <w:rPr>
          <w:rFonts w:ascii="宋体" w:hAnsi="宋体" w:cs="宋体"/>
          <w:color w:val="000000" w:themeColor="text1"/>
          <w:sz w:val="24"/>
        </w:rPr>
      </w:pPr>
    </w:p>
    <w:p w14:paraId="1F45324D">
      <w:pPr>
        <w:spacing w:line="360" w:lineRule="auto"/>
        <w:ind w:firstLine="4920" w:firstLineChars="2050"/>
        <w:rPr>
          <w:rFonts w:ascii="宋体" w:hAnsi="宋体" w:cs="宋体"/>
          <w:color w:val="000000" w:themeColor="text1"/>
          <w:sz w:val="24"/>
        </w:rPr>
      </w:pPr>
    </w:p>
    <w:p w14:paraId="01029D9C">
      <w:pPr>
        <w:spacing w:line="360" w:lineRule="auto"/>
        <w:jc w:val="center"/>
        <w:rPr>
          <w:rFonts w:ascii="宋体" w:hAnsi="宋体" w:cs="宋体"/>
          <w:color w:val="000000" w:themeColor="text1"/>
          <w:sz w:val="24"/>
        </w:rPr>
      </w:pPr>
    </w:p>
    <w:p w14:paraId="7B4C53C1">
      <w:pPr>
        <w:spacing w:line="360" w:lineRule="auto"/>
        <w:jc w:val="center"/>
        <w:rPr>
          <w:rFonts w:ascii="宋体" w:hAnsi="宋体" w:cs="宋体"/>
          <w:color w:val="000000" w:themeColor="text1"/>
          <w:sz w:val="24"/>
        </w:rPr>
      </w:pPr>
    </w:p>
    <w:p w14:paraId="445A81E7">
      <w:pPr>
        <w:spacing w:line="360" w:lineRule="auto"/>
        <w:jc w:val="center"/>
        <w:rPr>
          <w:rFonts w:ascii="宋体" w:hAnsi="宋体" w:cs="宋体"/>
          <w:color w:val="000000" w:themeColor="text1"/>
          <w:sz w:val="24"/>
        </w:rPr>
      </w:pPr>
    </w:p>
    <w:p w14:paraId="70B9BE09">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5A2B054F">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w:t>
      </w:r>
    </w:p>
    <w:p w14:paraId="3E3D2F1D">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年   月   日</w:t>
      </w:r>
    </w:p>
    <w:p w14:paraId="13D13101">
      <w:pPr>
        <w:pStyle w:val="2"/>
        <w:ind w:firstLine="210"/>
        <w:rPr>
          <w:color w:val="000000" w:themeColor="text1"/>
        </w:rPr>
      </w:pPr>
    </w:p>
    <w:p w14:paraId="464D0820">
      <w:pPr>
        <w:pStyle w:val="2"/>
        <w:ind w:firstLine="210"/>
        <w:rPr>
          <w:color w:val="000000" w:themeColor="text1"/>
        </w:rPr>
      </w:pPr>
    </w:p>
    <w:p w14:paraId="391CFE00">
      <w:pPr>
        <w:pStyle w:val="2"/>
        <w:ind w:firstLine="210"/>
        <w:rPr>
          <w:color w:val="000000" w:themeColor="text1"/>
        </w:rPr>
      </w:pPr>
    </w:p>
    <w:p w14:paraId="674A2DE3">
      <w:pPr>
        <w:pStyle w:val="2"/>
        <w:ind w:firstLine="210"/>
        <w:rPr>
          <w:color w:val="000000" w:themeColor="text1"/>
        </w:rPr>
      </w:pPr>
    </w:p>
    <w:p w14:paraId="607A00F9">
      <w:pPr>
        <w:pStyle w:val="2"/>
        <w:ind w:firstLine="210"/>
        <w:rPr>
          <w:color w:val="000000" w:themeColor="text1"/>
        </w:rPr>
      </w:pPr>
    </w:p>
    <w:p w14:paraId="13F61EA1">
      <w:pPr>
        <w:spacing w:line="360" w:lineRule="auto"/>
        <w:jc w:val="left"/>
        <w:rPr>
          <w:rFonts w:ascii="宋体" w:hAnsi="宋体" w:cs="宋体"/>
          <w:color w:val="000000" w:themeColor="text1"/>
          <w:sz w:val="24"/>
        </w:rPr>
      </w:pPr>
    </w:p>
    <w:p w14:paraId="3815B84E">
      <w:pPr>
        <w:spacing w:line="360" w:lineRule="auto"/>
        <w:jc w:val="left"/>
        <w:rPr>
          <w:rFonts w:ascii="宋体" w:hAnsi="宋体" w:cs="宋体"/>
          <w:color w:val="000000" w:themeColor="text1"/>
          <w:sz w:val="24"/>
        </w:rPr>
      </w:pPr>
    </w:p>
    <w:p w14:paraId="42B874F3">
      <w:pPr>
        <w:spacing w:line="360" w:lineRule="auto"/>
        <w:jc w:val="left"/>
        <w:rPr>
          <w:rFonts w:ascii="宋体" w:hAnsi="宋体" w:cs="宋体"/>
          <w:color w:val="000000" w:themeColor="text1"/>
          <w:sz w:val="24"/>
        </w:rPr>
      </w:pPr>
    </w:p>
    <w:p w14:paraId="4F048B6F">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格式2-4政府采购法第二十二条及参加政府采购活动前三年内无重大违法记录的书面声明</w:t>
      </w:r>
    </w:p>
    <w:p w14:paraId="682F24D3">
      <w:pPr>
        <w:spacing w:line="360" w:lineRule="auto"/>
        <w:jc w:val="left"/>
        <w:rPr>
          <w:rFonts w:ascii="宋体" w:hAnsi="宋体" w:cs="宋体"/>
          <w:color w:val="000000" w:themeColor="text1"/>
          <w:sz w:val="24"/>
        </w:rPr>
      </w:pPr>
    </w:p>
    <w:p w14:paraId="6FC8D6C7">
      <w:pPr>
        <w:spacing w:line="360" w:lineRule="auto"/>
        <w:jc w:val="left"/>
        <w:rPr>
          <w:rFonts w:ascii="宋体" w:hAnsi="宋体" w:cs="宋体"/>
          <w:color w:val="000000" w:themeColor="text1"/>
          <w:sz w:val="24"/>
        </w:rPr>
      </w:pPr>
    </w:p>
    <w:p w14:paraId="088900F4">
      <w:pPr>
        <w:spacing w:line="360" w:lineRule="auto"/>
        <w:jc w:val="left"/>
        <w:rPr>
          <w:rFonts w:ascii="宋体" w:hAnsi="宋体" w:cs="宋体"/>
          <w:color w:val="000000" w:themeColor="text1"/>
          <w:sz w:val="24"/>
        </w:rPr>
      </w:pPr>
    </w:p>
    <w:p w14:paraId="418DBE9B">
      <w:pPr>
        <w:spacing w:line="360" w:lineRule="auto"/>
        <w:jc w:val="left"/>
        <w:rPr>
          <w:rFonts w:ascii="宋体" w:hAnsi="宋体" w:cs="宋体"/>
          <w:color w:val="000000" w:themeColor="text1"/>
          <w:sz w:val="24"/>
        </w:rPr>
      </w:pPr>
    </w:p>
    <w:p w14:paraId="379F39DC">
      <w:pPr>
        <w:pStyle w:val="2"/>
        <w:ind w:firstLine="210"/>
        <w:rPr>
          <w:color w:val="000000" w:themeColor="text1"/>
        </w:rPr>
      </w:pPr>
    </w:p>
    <w:p w14:paraId="79D1F3C8">
      <w:pPr>
        <w:pStyle w:val="2"/>
        <w:ind w:firstLine="210"/>
        <w:rPr>
          <w:color w:val="000000" w:themeColor="text1"/>
        </w:rPr>
      </w:pPr>
    </w:p>
    <w:p w14:paraId="1482C54B">
      <w:pPr>
        <w:pStyle w:val="2"/>
        <w:ind w:firstLine="210"/>
        <w:rPr>
          <w:color w:val="000000" w:themeColor="text1"/>
        </w:rPr>
      </w:pPr>
    </w:p>
    <w:p w14:paraId="5007C799">
      <w:pPr>
        <w:pStyle w:val="2"/>
        <w:ind w:firstLine="210"/>
        <w:rPr>
          <w:color w:val="000000" w:themeColor="text1"/>
        </w:rPr>
      </w:pPr>
    </w:p>
    <w:p w14:paraId="26F42A7E">
      <w:pPr>
        <w:pStyle w:val="2"/>
        <w:ind w:firstLine="210"/>
        <w:rPr>
          <w:color w:val="000000" w:themeColor="text1"/>
        </w:rPr>
      </w:pPr>
    </w:p>
    <w:p w14:paraId="635C6A84">
      <w:pPr>
        <w:pStyle w:val="2"/>
        <w:ind w:firstLine="210"/>
        <w:rPr>
          <w:color w:val="000000" w:themeColor="text1"/>
        </w:rPr>
      </w:pPr>
    </w:p>
    <w:p w14:paraId="2D29C966">
      <w:pPr>
        <w:pStyle w:val="2"/>
        <w:ind w:firstLine="210"/>
        <w:rPr>
          <w:color w:val="000000" w:themeColor="text1"/>
        </w:rPr>
      </w:pPr>
    </w:p>
    <w:p w14:paraId="7B0ADFAE">
      <w:pPr>
        <w:pStyle w:val="2"/>
        <w:ind w:firstLine="210"/>
        <w:rPr>
          <w:color w:val="000000" w:themeColor="text1"/>
        </w:rPr>
      </w:pPr>
    </w:p>
    <w:p w14:paraId="514C24B6">
      <w:pPr>
        <w:pStyle w:val="2"/>
        <w:ind w:firstLine="210"/>
        <w:rPr>
          <w:color w:val="000000" w:themeColor="text1"/>
        </w:rPr>
      </w:pPr>
    </w:p>
    <w:p w14:paraId="3BF7B19C">
      <w:pPr>
        <w:pStyle w:val="2"/>
        <w:ind w:firstLine="210"/>
        <w:rPr>
          <w:color w:val="000000" w:themeColor="text1"/>
        </w:rPr>
      </w:pPr>
    </w:p>
    <w:p w14:paraId="03E44AA8">
      <w:pPr>
        <w:pStyle w:val="2"/>
        <w:ind w:firstLine="210"/>
        <w:rPr>
          <w:color w:val="000000" w:themeColor="text1"/>
        </w:rPr>
      </w:pPr>
    </w:p>
    <w:p w14:paraId="6C0DB22F">
      <w:pPr>
        <w:pStyle w:val="2"/>
        <w:ind w:firstLine="210"/>
        <w:rPr>
          <w:color w:val="000000" w:themeColor="text1"/>
        </w:rPr>
      </w:pPr>
    </w:p>
    <w:p w14:paraId="46868A34">
      <w:pPr>
        <w:pStyle w:val="2"/>
        <w:ind w:firstLine="210"/>
        <w:rPr>
          <w:color w:val="000000" w:themeColor="text1"/>
        </w:rPr>
      </w:pPr>
    </w:p>
    <w:p w14:paraId="1782AED3">
      <w:pPr>
        <w:pStyle w:val="2"/>
        <w:ind w:firstLine="210"/>
        <w:rPr>
          <w:color w:val="000000" w:themeColor="text1"/>
        </w:rPr>
      </w:pPr>
    </w:p>
    <w:p w14:paraId="45A5A898">
      <w:pPr>
        <w:pStyle w:val="2"/>
        <w:ind w:firstLine="210"/>
        <w:rPr>
          <w:color w:val="000000" w:themeColor="text1"/>
        </w:rPr>
      </w:pPr>
    </w:p>
    <w:p w14:paraId="14B31DAB">
      <w:pPr>
        <w:pStyle w:val="2"/>
        <w:ind w:firstLine="210"/>
        <w:rPr>
          <w:color w:val="000000" w:themeColor="text1"/>
        </w:rPr>
      </w:pPr>
    </w:p>
    <w:p w14:paraId="4246D16F">
      <w:pPr>
        <w:pStyle w:val="2"/>
        <w:ind w:firstLine="210"/>
        <w:rPr>
          <w:color w:val="000000" w:themeColor="text1"/>
        </w:rPr>
      </w:pPr>
    </w:p>
    <w:p w14:paraId="4A4A52EF">
      <w:pPr>
        <w:pStyle w:val="2"/>
        <w:ind w:firstLine="210"/>
        <w:rPr>
          <w:color w:val="000000" w:themeColor="text1"/>
        </w:rPr>
      </w:pPr>
    </w:p>
    <w:p w14:paraId="5B96AA46">
      <w:pPr>
        <w:pStyle w:val="2"/>
        <w:ind w:firstLine="210"/>
        <w:rPr>
          <w:color w:val="000000" w:themeColor="text1"/>
        </w:rPr>
      </w:pPr>
    </w:p>
    <w:p w14:paraId="2A9DC4B3">
      <w:pPr>
        <w:pStyle w:val="2"/>
        <w:ind w:firstLine="210"/>
        <w:rPr>
          <w:color w:val="000000" w:themeColor="text1"/>
        </w:rPr>
      </w:pPr>
    </w:p>
    <w:p w14:paraId="178CC7BA">
      <w:pPr>
        <w:pStyle w:val="2"/>
        <w:ind w:firstLine="210"/>
        <w:rPr>
          <w:color w:val="000000" w:themeColor="text1"/>
        </w:rPr>
      </w:pPr>
    </w:p>
    <w:p w14:paraId="2F4BD4BF">
      <w:pPr>
        <w:pStyle w:val="2"/>
        <w:ind w:firstLine="210"/>
        <w:rPr>
          <w:color w:val="000000" w:themeColor="text1"/>
        </w:rPr>
      </w:pPr>
    </w:p>
    <w:p w14:paraId="5D8253F1">
      <w:pPr>
        <w:pStyle w:val="2"/>
        <w:ind w:firstLine="210"/>
        <w:rPr>
          <w:color w:val="000000" w:themeColor="text1"/>
        </w:rPr>
      </w:pPr>
    </w:p>
    <w:p w14:paraId="4727BF19">
      <w:pPr>
        <w:pStyle w:val="2"/>
        <w:ind w:firstLine="210"/>
        <w:rPr>
          <w:color w:val="000000" w:themeColor="text1"/>
        </w:rPr>
      </w:pPr>
    </w:p>
    <w:p w14:paraId="5D606CE5">
      <w:pPr>
        <w:pStyle w:val="2"/>
        <w:ind w:firstLine="210"/>
        <w:rPr>
          <w:color w:val="000000" w:themeColor="text1"/>
        </w:rPr>
      </w:pPr>
    </w:p>
    <w:p w14:paraId="5D8CCBDF">
      <w:pPr>
        <w:pStyle w:val="2"/>
        <w:ind w:firstLine="210"/>
        <w:rPr>
          <w:color w:val="000000" w:themeColor="text1"/>
        </w:rPr>
      </w:pPr>
    </w:p>
    <w:p w14:paraId="2B859453">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格式3</w:t>
      </w:r>
    </w:p>
    <w:p w14:paraId="19D0984C">
      <w:pPr>
        <w:spacing w:line="560" w:lineRule="exact"/>
        <w:jc w:val="center"/>
        <w:rPr>
          <w:rFonts w:ascii="宋体" w:hAnsi="宋体" w:cs="宋体"/>
          <w:color w:val="000000" w:themeColor="text1"/>
          <w:sz w:val="24"/>
        </w:rPr>
      </w:pPr>
      <w:r>
        <w:rPr>
          <w:rFonts w:hint="eastAsia" w:ascii="宋体" w:hAnsi="宋体" w:cs="宋体"/>
          <w:color w:val="000000" w:themeColor="text1"/>
          <w:sz w:val="24"/>
        </w:rPr>
        <w:t>投标函</w:t>
      </w:r>
    </w:p>
    <w:p w14:paraId="3DFBDA59">
      <w:pPr>
        <w:pStyle w:val="29"/>
        <w:shd w:val="clear" w:color="auto" w:fill="FFFFFF"/>
        <w:adjustRightInd w:val="0"/>
        <w:snapToGrid w:val="0"/>
        <w:spacing w:before="0" w:beforeAutospacing="0" w:after="0" w:afterAutospacing="0" w:line="360" w:lineRule="auto"/>
        <w:rPr>
          <w:rFonts w:cs="宋体"/>
          <w:color w:val="000000" w:themeColor="text1"/>
        </w:rPr>
      </w:pPr>
      <w:r>
        <w:rPr>
          <w:rFonts w:hint="eastAsia" w:cs="宋体"/>
          <w:color w:val="000000" w:themeColor="text1"/>
          <w:szCs w:val="24"/>
        </w:rPr>
        <w:t>致：</w:t>
      </w:r>
      <w:r>
        <w:rPr>
          <w:rFonts w:hint="eastAsia" w:cs="宋体"/>
          <w:color w:val="000000" w:themeColor="text1"/>
          <w:kern w:val="2"/>
        </w:rPr>
        <w:t>（采购人或采购代理机构）</w:t>
      </w:r>
    </w:p>
    <w:p w14:paraId="665369DC">
      <w:pPr>
        <w:pStyle w:val="58"/>
        <w:ind w:firstLine="600" w:firstLineChars="250"/>
        <w:rPr>
          <w:rFonts w:ascii="宋体" w:hAnsi="宋体"/>
          <w:color w:val="000000" w:themeColor="text1"/>
          <w:sz w:val="24"/>
          <w:szCs w:val="24"/>
        </w:rPr>
      </w:pPr>
      <w:r>
        <w:rPr>
          <w:rFonts w:hint="eastAsia" w:ascii="宋体" w:hAnsi="宋体"/>
          <w:color w:val="000000" w:themeColor="text1"/>
          <w:sz w:val="24"/>
          <w:szCs w:val="24"/>
        </w:rPr>
        <w:t>根据贵方</w:t>
      </w:r>
      <w:r>
        <w:rPr>
          <w:rFonts w:hint="eastAsia" w:ascii="宋体" w:hAnsi="宋体"/>
          <w:color w:val="000000" w:themeColor="text1"/>
          <w:sz w:val="24"/>
          <w:szCs w:val="24"/>
          <w:u w:val="single"/>
        </w:rPr>
        <w:t>（本项目名称）</w:t>
      </w:r>
      <w:r>
        <w:rPr>
          <w:rFonts w:hint="eastAsia" w:ascii="宋体" w:hAnsi="宋体"/>
          <w:color w:val="000000" w:themeColor="text1"/>
          <w:sz w:val="24"/>
          <w:szCs w:val="24"/>
        </w:rPr>
        <w:t>项目的竞争性磋商邀请（项目编号</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），委托代理人</w:t>
      </w:r>
      <w:r>
        <w:rPr>
          <w:rFonts w:ascii="宋体" w:hAnsi="宋体"/>
          <w:color w:val="000000" w:themeColor="text1"/>
          <w:sz w:val="24"/>
          <w:szCs w:val="24"/>
          <w:u w:val="single"/>
        </w:rPr>
        <w:t xml:space="preserve">      </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(全名、职务)代表 </w:t>
      </w:r>
      <w:r>
        <w:rPr>
          <w:rFonts w:ascii="宋体" w:hAnsi="宋体"/>
          <w:color w:val="000000" w:themeColor="text1"/>
          <w:sz w:val="24"/>
          <w:szCs w:val="24"/>
          <w:u w:val="single"/>
        </w:rPr>
        <w:t xml:space="preserve">      </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供应商名称、地址)提交投标文件，报价为</w:t>
      </w:r>
      <w:r>
        <w:rPr>
          <w:rFonts w:hint="eastAsia" w:ascii="宋体" w:hAnsi="宋体"/>
          <w:color w:val="000000" w:themeColor="text1"/>
          <w:sz w:val="24"/>
          <w:szCs w:val="24"/>
          <w:u w:val="single"/>
        </w:rPr>
        <w:t>：    元，</w:t>
      </w:r>
      <w:r>
        <w:rPr>
          <w:rFonts w:hint="eastAsia" w:ascii="宋体" w:hAnsi="宋体"/>
          <w:color w:val="000000" w:themeColor="text1"/>
          <w:sz w:val="24"/>
          <w:szCs w:val="24"/>
        </w:rPr>
        <w:t>并对之负法律责任。</w:t>
      </w:r>
    </w:p>
    <w:p w14:paraId="0B37B3E3">
      <w:pPr>
        <w:ind w:firstLine="568" w:firstLineChars="237"/>
        <w:rPr>
          <w:rFonts w:ascii="宋体" w:hAnsi="宋体" w:cs="宋体"/>
          <w:color w:val="000000" w:themeColor="text1"/>
          <w:sz w:val="24"/>
        </w:rPr>
      </w:pPr>
      <w:r>
        <w:rPr>
          <w:rFonts w:hint="eastAsia" w:ascii="宋体" w:hAnsi="宋体" w:cs="宋体"/>
          <w:color w:val="000000" w:themeColor="text1"/>
          <w:sz w:val="24"/>
        </w:rPr>
        <w:t>据此函，宣布同意如下：</w:t>
      </w:r>
    </w:p>
    <w:p w14:paraId="767E1A1E">
      <w:pPr>
        <w:ind w:firstLine="480" w:firstLineChars="200"/>
        <w:rPr>
          <w:rFonts w:ascii="宋体" w:hAnsi="宋体" w:cs="宋体"/>
          <w:color w:val="000000" w:themeColor="text1"/>
          <w:sz w:val="24"/>
        </w:rPr>
      </w:pPr>
      <w:r>
        <w:rPr>
          <w:rFonts w:hint="eastAsia" w:ascii="宋体" w:hAnsi="宋体" w:cs="宋体"/>
          <w:color w:val="000000" w:themeColor="text1"/>
          <w:sz w:val="24"/>
        </w:rPr>
        <w:t>(1)我们完全理解贵方不一定要接受最低报价，并同意本文件规定的响应性文件有效期。</w:t>
      </w:r>
    </w:p>
    <w:p w14:paraId="1D96612B">
      <w:pPr>
        <w:ind w:firstLine="480" w:firstLineChars="200"/>
        <w:rPr>
          <w:rFonts w:ascii="宋体" w:hAnsi="宋体" w:cs="宋体"/>
          <w:color w:val="000000" w:themeColor="text1"/>
          <w:sz w:val="24"/>
        </w:rPr>
      </w:pPr>
      <w:r>
        <w:rPr>
          <w:rFonts w:hint="eastAsia" w:ascii="宋体" w:hAnsi="宋体" w:cs="宋体"/>
          <w:color w:val="000000" w:themeColor="text1"/>
          <w:sz w:val="24"/>
        </w:rPr>
        <w:t>(2)我们已详细审核全部竞争性磋商文件，我们知道必须放弃提出含糊不清或误解的问题的权利。</w:t>
      </w:r>
    </w:p>
    <w:p w14:paraId="2FA1C29A">
      <w:pPr>
        <w:numPr>
          <w:ilvl w:val="0"/>
          <w:numId w:val="4"/>
        </w:numPr>
        <w:ind w:firstLine="480" w:firstLineChars="200"/>
        <w:rPr>
          <w:rFonts w:ascii="宋体" w:hAnsi="宋体" w:cs="宋体"/>
          <w:color w:val="000000" w:themeColor="text1"/>
          <w:sz w:val="24"/>
        </w:rPr>
      </w:pPr>
      <w:r>
        <w:rPr>
          <w:rFonts w:hint="eastAsia" w:ascii="宋体" w:hAnsi="宋体" w:cs="宋体"/>
          <w:color w:val="000000" w:themeColor="text1"/>
          <w:sz w:val="24"/>
        </w:rPr>
        <w:t>同意向贵方提供贵方可能另外要求的与其竞争性磋商有关的任何证据和资料。</w:t>
      </w:r>
    </w:p>
    <w:p w14:paraId="1A99FC3A">
      <w:pPr>
        <w:ind w:firstLine="480" w:firstLineChars="200"/>
        <w:rPr>
          <w:rFonts w:ascii="宋体" w:hAnsi="宋体" w:cs="宋体"/>
          <w:color w:val="000000" w:themeColor="text1"/>
          <w:sz w:val="24"/>
        </w:rPr>
      </w:pPr>
      <w:r>
        <w:rPr>
          <w:rFonts w:hint="eastAsia" w:ascii="宋体" w:hAnsi="宋体" w:cs="宋体"/>
          <w:color w:val="000000" w:themeColor="text1"/>
          <w:sz w:val="24"/>
        </w:rPr>
        <w:t>(4)一旦我们成交，我们将严格履行合同责任和义务。</w:t>
      </w:r>
    </w:p>
    <w:p w14:paraId="4B0F3DA3">
      <w:pPr>
        <w:ind w:firstLine="480" w:firstLineChars="200"/>
        <w:rPr>
          <w:rFonts w:ascii="宋体" w:hAnsi="宋体" w:cs="宋体"/>
          <w:color w:val="000000" w:themeColor="text1"/>
          <w:sz w:val="24"/>
        </w:rPr>
      </w:pPr>
      <w:r>
        <w:rPr>
          <w:rFonts w:hint="eastAsia" w:ascii="宋体" w:hAnsi="宋体" w:cs="宋体"/>
          <w:color w:val="000000" w:themeColor="text1"/>
          <w:sz w:val="24"/>
        </w:rPr>
        <w:t>(5)我们完全理解不向未成交人解释未成交理由的义务。</w:t>
      </w:r>
    </w:p>
    <w:p w14:paraId="6B927274">
      <w:pPr>
        <w:ind w:firstLine="480" w:firstLineChars="200"/>
        <w:rPr>
          <w:rFonts w:ascii="宋体" w:hAnsi="宋体" w:cs="宋体"/>
          <w:color w:val="000000" w:themeColor="text1"/>
          <w:sz w:val="24"/>
          <w:lang w:val="zh-CN"/>
        </w:rPr>
      </w:pPr>
      <w:r>
        <w:rPr>
          <w:rFonts w:hint="eastAsia" w:ascii="宋体" w:hAnsi="宋体" w:cs="宋体"/>
          <w:color w:val="000000" w:themeColor="text1"/>
          <w:sz w:val="24"/>
        </w:rPr>
        <w:t>(6)</w:t>
      </w:r>
      <w:r>
        <w:rPr>
          <w:rFonts w:hint="eastAsia" w:ascii="宋体" w:hAnsi="宋体" w:cs="宋体"/>
          <w:color w:val="000000" w:themeColor="text1"/>
          <w:sz w:val="24"/>
          <w:lang w:val="zh-CN"/>
        </w:rPr>
        <w:t>如果我们的谈判响应文件被接受，我们将履行谈判文件中规定的每一项要求，按期、按质、按量履行合同。</w:t>
      </w:r>
    </w:p>
    <w:p w14:paraId="43BEFC4C">
      <w:pPr>
        <w:ind w:firstLine="480" w:firstLineChars="200"/>
        <w:rPr>
          <w:rFonts w:ascii="宋体" w:hAnsi="宋体" w:cs="宋体"/>
          <w:color w:val="000000" w:themeColor="text1"/>
          <w:sz w:val="24"/>
        </w:rPr>
      </w:pPr>
      <w:r>
        <w:rPr>
          <w:rFonts w:hint="eastAsia" w:ascii="宋体" w:hAnsi="宋体" w:cs="宋体"/>
          <w:color w:val="000000" w:themeColor="text1"/>
          <w:sz w:val="24"/>
        </w:rPr>
        <w:t>(7)</w:t>
      </w:r>
      <w:r>
        <w:rPr>
          <w:rFonts w:hint="eastAsia" w:ascii="宋体" w:hAnsi="宋体" w:cs="宋体"/>
          <w:color w:val="000000" w:themeColor="text1"/>
          <w:sz w:val="24"/>
          <w:lang w:val="zh-CN"/>
        </w:rPr>
        <w:t>我方愿按《中华人民共和国民法典》履行我方的全部责任。</w:t>
      </w:r>
    </w:p>
    <w:p w14:paraId="36F6A599">
      <w:pPr>
        <w:ind w:firstLine="480" w:firstLineChars="200"/>
        <w:rPr>
          <w:rFonts w:ascii="宋体" w:hAnsi="宋体" w:cs="宋体"/>
          <w:color w:val="000000" w:themeColor="text1"/>
          <w:sz w:val="24"/>
        </w:rPr>
      </w:pPr>
      <w:r>
        <w:rPr>
          <w:rFonts w:hint="eastAsia" w:ascii="宋体" w:hAnsi="宋体" w:cs="宋体"/>
          <w:color w:val="000000" w:themeColor="text1"/>
          <w:sz w:val="24"/>
        </w:rPr>
        <w:t>(8)与本次竞争性磋商有关的正式通讯地址为：</w:t>
      </w:r>
    </w:p>
    <w:p w14:paraId="73E83E7A">
      <w:pPr>
        <w:ind w:firstLine="480" w:firstLineChars="200"/>
        <w:rPr>
          <w:rFonts w:ascii="宋体" w:hAnsi="宋体" w:cs="宋体"/>
          <w:color w:val="000000" w:themeColor="text1"/>
          <w:sz w:val="24"/>
        </w:rPr>
      </w:pPr>
      <w:r>
        <w:rPr>
          <w:rFonts w:hint="eastAsia" w:ascii="宋体" w:hAnsi="宋体" w:cs="宋体"/>
          <w:color w:val="000000" w:themeColor="text1"/>
          <w:sz w:val="24"/>
        </w:rPr>
        <w:t>地 址：                  邮 编：</w:t>
      </w:r>
    </w:p>
    <w:p w14:paraId="7392BCD4">
      <w:pPr>
        <w:ind w:firstLine="480" w:firstLineChars="200"/>
        <w:rPr>
          <w:rFonts w:ascii="宋体" w:hAnsi="宋体" w:cs="宋体"/>
          <w:color w:val="000000" w:themeColor="text1"/>
          <w:sz w:val="24"/>
        </w:rPr>
      </w:pPr>
      <w:r>
        <w:rPr>
          <w:rFonts w:hint="eastAsia" w:ascii="宋体" w:hAnsi="宋体" w:cs="宋体"/>
          <w:color w:val="000000" w:themeColor="text1"/>
          <w:sz w:val="24"/>
        </w:rPr>
        <w:t>电 话：                  电子信箱：</w:t>
      </w:r>
    </w:p>
    <w:p w14:paraId="3F253296">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我们保证：</w:t>
      </w:r>
    </w:p>
    <w:p w14:paraId="733BF2C0">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(1)不提供虚假材料谋取成交；</w:t>
      </w:r>
    </w:p>
    <w:p w14:paraId="4A6D61B0">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(2)不以不正当手段抵毁、排挤其他供应商；</w:t>
      </w:r>
    </w:p>
    <w:p w14:paraId="5FFBF4E2">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(3)不与采购人和其它供应商恶意串通；</w:t>
      </w:r>
    </w:p>
    <w:p w14:paraId="67CD0234">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(4)不向采购人和采购代理机构提供不正当利益；</w:t>
      </w:r>
    </w:p>
    <w:p w14:paraId="602FE352">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(5)不拒绝有关部门监督检查或提供虚假情况。</w:t>
      </w:r>
    </w:p>
    <w:p w14:paraId="2A7E2AD4">
      <w:pPr>
        <w:spacing w:line="560" w:lineRule="exact"/>
        <w:jc w:val="left"/>
        <w:rPr>
          <w:rFonts w:ascii="宋体" w:hAnsi="宋体" w:cs="宋体"/>
          <w:color w:val="000000" w:themeColor="text1"/>
          <w:sz w:val="24"/>
        </w:rPr>
      </w:pPr>
    </w:p>
    <w:p w14:paraId="658F4D6C">
      <w:pPr>
        <w:spacing w:line="560" w:lineRule="exact"/>
        <w:jc w:val="left"/>
        <w:rPr>
          <w:rFonts w:ascii="宋体" w:hAnsi="宋体" w:cs="宋体"/>
          <w:color w:val="000000" w:themeColor="text1"/>
          <w:sz w:val="24"/>
        </w:rPr>
      </w:pPr>
      <w:r>
        <w:rPr>
          <w:rFonts w:hint="eastAsia" w:ascii="宋体" w:hAnsi="宋体" w:cs="宋体"/>
          <w:color w:val="000000" w:themeColor="text1"/>
          <w:sz w:val="24"/>
        </w:rPr>
        <w:t xml:space="preserve">     联系人：              联系电话：</w:t>
      </w:r>
    </w:p>
    <w:p w14:paraId="2439C55F">
      <w:pPr>
        <w:spacing w:line="360" w:lineRule="auto"/>
        <w:jc w:val="left"/>
        <w:rPr>
          <w:rFonts w:ascii="宋体" w:hAnsi="宋体" w:cs="宋体"/>
          <w:color w:val="000000" w:themeColor="text1"/>
          <w:sz w:val="24"/>
        </w:rPr>
      </w:pPr>
    </w:p>
    <w:p w14:paraId="51D507AD">
      <w:pPr>
        <w:spacing w:line="360" w:lineRule="auto"/>
        <w:jc w:val="left"/>
        <w:rPr>
          <w:rFonts w:ascii="宋体" w:hAnsi="宋体" w:cs="宋体"/>
          <w:color w:val="000000" w:themeColor="text1"/>
          <w:sz w:val="24"/>
        </w:rPr>
      </w:pPr>
    </w:p>
    <w:p w14:paraId="36FF910C">
      <w:pPr>
        <w:spacing w:line="360" w:lineRule="auto"/>
        <w:jc w:val="left"/>
        <w:rPr>
          <w:rFonts w:ascii="宋体" w:hAnsi="宋体" w:cs="宋体"/>
          <w:color w:val="000000" w:themeColor="text1"/>
          <w:sz w:val="24"/>
        </w:rPr>
      </w:pPr>
    </w:p>
    <w:p w14:paraId="3594D7B8">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758EA003">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年   月   日</w:t>
      </w:r>
    </w:p>
    <w:p w14:paraId="54583BC8">
      <w:pPr>
        <w:spacing w:line="360" w:lineRule="auto"/>
        <w:jc w:val="left"/>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格式4</w:t>
      </w:r>
    </w:p>
    <w:p w14:paraId="02A4578E">
      <w:pPr>
        <w:pStyle w:val="6"/>
        <w:jc w:val="center"/>
        <w:rPr>
          <w:rFonts w:ascii="宋体" w:hAnsi="宋体" w:cs="宋体"/>
          <w:b w:val="0"/>
          <w:color w:val="000000" w:themeColor="text1"/>
          <w:sz w:val="24"/>
          <w:szCs w:val="24"/>
        </w:rPr>
      </w:pPr>
      <w:bookmarkStart w:id="55" w:name="_Toc197934561"/>
      <w:bookmarkStart w:id="56" w:name="_Toc495414231"/>
      <w:bookmarkStart w:id="57" w:name="_Toc138765848"/>
      <w:r>
        <w:rPr>
          <w:rFonts w:hint="eastAsia" w:ascii="宋体" w:hAnsi="宋体" w:cs="宋体"/>
          <w:b w:val="0"/>
          <w:color w:val="000000" w:themeColor="text1"/>
          <w:sz w:val="24"/>
          <w:szCs w:val="24"/>
        </w:rPr>
        <w:t>报价一览表</w:t>
      </w:r>
      <w:bookmarkEnd w:id="55"/>
      <w:bookmarkEnd w:id="56"/>
      <w:bookmarkEnd w:id="57"/>
    </w:p>
    <w:tbl>
      <w:tblPr>
        <w:tblStyle w:val="3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2763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474D31AD">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项目名称</w:t>
            </w:r>
          </w:p>
        </w:tc>
        <w:tc>
          <w:tcPr>
            <w:tcW w:w="6667" w:type="dxa"/>
            <w:tcBorders>
              <w:top w:val="single" w:color="auto" w:sz="4" w:space="0"/>
              <w:bottom w:val="single" w:color="auto" w:sz="4" w:space="0"/>
              <w:right w:val="single" w:color="auto" w:sz="4" w:space="0"/>
            </w:tcBorders>
            <w:vAlign w:val="center"/>
          </w:tcPr>
          <w:p w14:paraId="030627D2">
            <w:pPr>
              <w:spacing w:line="360" w:lineRule="exact"/>
              <w:jc w:val="center"/>
              <w:rPr>
                <w:rFonts w:ascii="宋体" w:hAnsi="宋体" w:cs="宋体"/>
                <w:color w:val="000000" w:themeColor="text1"/>
                <w:sz w:val="24"/>
              </w:rPr>
            </w:pPr>
          </w:p>
        </w:tc>
      </w:tr>
      <w:tr w14:paraId="66D8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DBA472E">
            <w:pPr>
              <w:spacing w:line="360" w:lineRule="exact"/>
              <w:jc w:val="center"/>
              <w:rPr>
                <w:rFonts w:ascii="宋体" w:hAnsi="宋体" w:cs="宋体"/>
                <w:color w:val="000000" w:themeColor="text1"/>
                <w:sz w:val="24"/>
              </w:rPr>
            </w:pPr>
            <w:r>
              <w:rPr>
                <w:rFonts w:hint="eastAsia" w:ascii="宋体" w:hAnsi="宋体" w:cs="宋体"/>
                <w:color w:val="000000" w:themeColor="text1"/>
                <w:sz w:val="24"/>
              </w:rPr>
              <w:t>投标人全称</w:t>
            </w:r>
          </w:p>
        </w:tc>
        <w:tc>
          <w:tcPr>
            <w:tcW w:w="6667" w:type="dxa"/>
            <w:tcBorders>
              <w:top w:val="nil"/>
            </w:tcBorders>
            <w:vAlign w:val="center"/>
          </w:tcPr>
          <w:p w14:paraId="72DAFBE8">
            <w:pPr>
              <w:spacing w:line="360" w:lineRule="auto"/>
              <w:rPr>
                <w:rFonts w:ascii="宋体" w:hAnsi="宋体" w:cs="宋体"/>
                <w:color w:val="000000" w:themeColor="text1"/>
                <w:sz w:val="24"/>
              </w:rPr>
            </w:pPr>
          </w:p>
        </w:tc>
      </w:tr>
      <w:tr w14:paraId="1D4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58D646F">
            <w:pPr>
              <w:spacing w:line="360" w:lineRule="exact"/>
              <w:jc w:val="center"/>
              <w:rPr>
                <w:rFonts w:ascii="宋体" w:hAnsi="宋体" w:cs="宋体"/>
                <w:color w:val="000000" w:themeColor="text1"/>
                <w:sz w:val="24"/>
              </w:rPr>
            </w:pPr>
            <w:r>
              <w:rPr>
                <w:rFonts w:hint="eastAsia" w:ascii="宋体" w:hAnsi="宋体" w:cs="宋体"/>
                <w:color w:val="000000" w:themeColor="text1"/>
                <w:sz w:val="24"/>
              </w:rPr>
              <w:t>最终投标报价（包：）</w:t>
            </w:r>
          </w:p>
          <w:p w14:paraId="5444BFFA">
            <w:pPr>
              <w:spacing w:line="360" w:lineRule="exact"/>
              <w:jc w:val="center"/>
              <w:rPr>
                <w:rFonts w:ascii="宋体" w:hAnsi="宋体" w:cs="宋体"/>
                <w:color w:val="000000" w:themeColor="text1"/>
                <w:sz w:val="24"/>
              </w:rPr>
            </w:pPr>
            <w:r>
              <w:rPr>
                <w:rFonts w:hint="eastAsia" w:ascii="宋体" w:hAnsi="宋体" w:cs="宋体"/>
                <w:color w:val="000000" w:themeColor="text1"/>
                <w:sz w:val="24"/>
              </w:rPr>
              <w:t>（人民币）</w:t>
            </w:r>
          </w:p>
        </w:tc>
        <w:tc>
          <w:tcPr>
            <w:tcW w:w="6667" w:type="dxa"/>
            <w:tcBorders>
              <w:top w:val="nil"/>
            </w:tcBorders>
            <w:vAlign w:val="center"/>
          </w:tcPr>
          <w:p w14:paraId="164C4869">
            <w:pPr>
              <w:spacing w:line="360" w:lineRule="auto"/>
              <w:ind w:right="-670"/>
              <w:rPr>
                <w:rFonts w:ascii="宋体" w:hAnsi="宋体" w:cs="宋体"/>
                <w:color w:val="000000" w:themeColor="text1"/>
                <w:sz w:val="24"/>
              </w:rPr>
            </w:pPr>
            <w:r>
              <w:rPr>
                <w:rFonts w:hint="eastAsia" w:ascii="宋体" w:hAnsi="宋体" w:cs="宋体"/>
                <w:color w:val="000000" w:themeColor="text1"/>
                <w:sz w:val="24"/>
              </w:rPr>
              <w:t xml:space="preserve">投标总价：       大写：           </w:t>
            </w:r>
          </w:p>
        </w:tc>
      </w:tr>
      <w:tr w14:paraId="3568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4A970DAC">
            <w:pPr>
              <w:spacing w:line="360" w:lineRule="auto"/>
              <w:jc w:val="center"/>
              <w:rPr>
                <w:rFonts w:ascii="宋体" w:hAnsi="宋体" w:cs="宋体"/>
                <w:color w:val="000000" w:themeColor="text1"/>
                <w:sz w:val="24"/>
              </w:rPr>
            </w:pPr>
            <w:r>
              <w:rPr>
                <w:rFonts w:hint="eastAsia" w:ascii="宋体" w:hAnsi="宋体" w:cs="宋体"/>
                <w:color w:val="000000" w:themeColor="text1"/>
                <w:sz w:val="24"/>
              </w:rPr>
              <w:t>备注</w:t>
            </w:r>
          </w:p>
        </w:tc>
        <w:tc>
          <w:tcPr>
            <w:tcW w:w="6667" w:type="dxa"/>
            <w:tcBorders>
              <w:top w:val="nil"/>
            </w:tcBorders>
            <w:vAlign w:val="center"/>
          </w:tcPr>
          <w:p w14:paraId="13861615">
            <w:pPr>
              <w:spacing w:line="360" w:lineRule="auto"/>
              <w:jc w:val="left"/>
              <w:rPr>
                <w:rFonts w:ascii="宋体" w:hAnsi="宋体" w:cs="宋体"/>
                <w:color w:val="000000" w:themeColor="text1"/>
                <w:sz w:val="24"/>
              </w:rPr>
            </w:pPr>
          </w:p>
        </w:tc>
      </w:tr>
    </w:tbl>
    <w:p w14:paraId="2636E141">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3199833A">
      <w:pPr>
        <w:spacing w:line="360" w:lineRule="auto"/>
        <w:rPr>
          <w:rFonts w:ascii="宋体" w:hAnsi="宋体" w:cs="宋体"/>
          <w:color w:val="000000" w:themeColor="text1"/>
          <w:sz w:val="24"/>
        </w:rPr>
      </w:pPr>
      <w:r>
        <w:rPr>
          <w:rFonts w:hint="eastAsia" w:ascii="宋体" w:hAnsi="宋体" w:cs="宋体"/>
          <w:color w:val="000000" w:themeColor="text1"/>
          <w:sz w:val="24"/>
        </w:rPr>
        <w:t>备注：</w:t>
      </w:r>
    </w:p>
    <w:p w14:paraId="41F17582">
      <w:pPr>
        <w:spacing w:line="360" w:lineRule="auto"/>
        <w:rPr>
          <w:rFonts w:ascii="宋体" w:hAnsi="宋体" w:cs="宋体"/>
          <w:color w:val="000000" w:themeColor="text1"/>
          <w:sz w:val="24"/>
        </w:rPr>
      </w:pPr>
      <w:r>
        <w:rPr>
          <w:rFonts w:hint="eastAsia" w:ascii="宋体" w:hAnsi="宋体" w:cs="宋体"/>
          <w:color w:val="000000" w:themeColor="text1"/>
          <w:sz w:val="24"/>
        </w:rPr>
        <w:t>1、此表用于开标会唱标之用。</w:t>
      </w:r>
    </w:p>
    <w:p w14:paraId="4F43B85F">
      <w:pPr>
        <w:spacing w:line="360" w:lineRule="auto"/>
        <w:rPr>
          <w:rFonts w:ascii="宋体" w:hAnsi="宋体" w:cs="宋体"/>
          <w:color w:val="000000" w:themeColor="text1"/>
          <w:sz w:val="24"/>
        </w:rPr>
      </w:pPr>
      <w:r>
        <w:rPr>
          <w:rFonts w:hint="eastAsia" w:ascii="宋体" w:hAnsi="宋体" w:cs="宋体"/>
          <w:color w:val="000000" w:themeColor="text1"/>
          <w:sz w:val="24"/>
        </w:rPr>
        <w:t>2、表中最终投标报价即为优惠后报价，并作为评审及定标依据。任何有选择或有条件的最终投标报价，或者表中某一包填写多个报价，均为无效报价。</w:t>
      </w:r>
    </w:p>
    <w:p w14:paraId="7DF486DE">
      <w:pPr>
        <w:spacing w:line="360" w:lineRule="auto"/>
        <w:jc w:val="left"/>
        <w:rPr>
          <w:rFonts w:ascii="宋体" w:hAnsi="宋体" w:cs="宋体"/>
          <w:color w:val="000000" w:themeColor="text1"/>
          <w:sz w:val="24"/>
        </w:rPr>
      </w:pPr>
      <w:bookmarkStart w:id="58" w:name="_Toc495414234"/>
      <w:bookmarkStart w:id="59" w:name="_Toc220232409"/>
    </w:p>
    <w:p w14:paraId="0127B23F">
      <w:pPr>
        <w:pStyle w:val="2"/>
        <w:ind w:firstLine="240"/>
        <w:rPr>
          <w:rFonts w:ascii="宋体" w:hAnsi="宋体" w:cs="宋体"/>
          <w:color w:val="000000" w:themeColor="text1"/>
          <w:sz w:val="24"/>
        </w:rPr>
      </w:pPr>
    </w:p>
    <w:p w14:paraId="4EED9B87">
      <w:pPr>
        <w:pStyle w:val="2"/>
        <w:ind w:firstLine="240"/>
        <w:rPr>
          <w:rFonts w:ascii="宋体" w:hAnsi="宋体" w:cs="宋体"/>
          <w:color w:val="000000" w:themeColor="text1"/>
          <w:sz w:val="24"/>
        </w:rPr>
      </w:pPr>
    </w:p>
    <w:p w14:paraId="2EE10D25">
      <w:pPr>
        <w:pStyle w:val="2"/>
        <w:ind w:firstLine="240"/>
        <w:rPr>
          <w:rFonts w:ascii="宋体" w:hAnsi="宋体" w:cs="宋体"/>
          <w:color w:val="000000" w:themeColor="text1"/>
          <w:sz w:val="24"/>
        </w:rPr>
      </w:pPr>
    </w:p>
    <w:p w14:paraId="458FA60B">
      <w:pPr>
        <w:pStyle w:val="2"/>
        <w:ind w:firstLine="240"/>
        <w:rPr>
          <w:rFonts w:ascii="宋体" w:hAnsi="宋体" w:cs="宋体"/>
          <w:color w:val="000000" w:themeColor="text1"/>
          <w:sz w:val="24"/>
        </w:rPr>
      </w:pPr>
    </w:p>
    <w:p w14:paraId="0CA54A93">
      <w:pPr>
        <w:pStyle w:val="2"/>
        <w:ind w:firstLine="240"/>
        <w:rPr>
          <w:rFonts w:ascii="宋体" w:hAnsi="宋体" w:cs="宋体"/>
          <w:color w:val="000000" w:themeColor="text1"/>
          <w:sz w:val="24"/>
        </w:rPr>
      </w:pPr>
    </w:p>
    <w:p w14:paraId="1875005F">
      <w:pPr>
        <w:pStyle w:val="2"/>
        <w:ind w:firstLine="240"/>
        <w:rPr>
          <w:rFonts w:ascii="宋体" w:hAnsi="宋体" w:cs="宋体"/>
          <w:color w:val="000000" w:themeColor="text1"/>
          <w:sz w:val="24"/>
        </w:rPr>
      </w:pPr>
    </w:p>
    <w:p w14:paraId="582B3C90">
      <w:pPr>
        <w:spacing w:line="360" w:lineRule="auto"/>
        <w:jc w:val="left"/>
        <w:rPr>
          <w:rFonts w:ascii="宋体" w:hAnsi="宋体" w:cs="宋体"/>
          <w:color w:val="000000" w:themeColor="text1"/>
          <w:sz w:val="24"/>
        </w:rPr>
      </w:pPr>
      <w:r>
        <w:rPr>
          <w:rFonts w:hint="eastAsia" w:ascii="宋体" w:hAnsi="宋体" w:cs="宋体"/>
          <w:color w:val="000000" w:themeColor="text1"/>
          <w:sz w:val="24"/>
        </w:rPr>
        <w:t>格式5</w:t>
      </w:r>
    </w:p>
    <w:p w14:paraId="33838A86">
      <w:pPr>
        <w:pStyle w:val="6"/>
        <w:jc w:val="center"/>
        <w:rPr>
          <w:rFonts w:ascii="宋体" w:hAnsi="宋体" w:cs="宋体"/>
          <w:b w:val="0"/>
          <w:color w:val="000000" w:themeColor="text1"/>
          <w:sz w:val="24"/>
          <w:szCs w:val="24"/>
        </w:rPr>
      </w:pPr>
      <w:bookmarkStart w:id="60" w:name="_Toc138765849"/>
      <w:r>
        <w:rPr>
          <w:rFonts w:hint="eastAsia" w:ascii="宋体" w:hAnsi="宋体" w:cs="宋体"/>
          <w:b w:val="0"/>
          <w:color w:val="000000" w:themeColor="text1"/>
          <w:sz w:val="24"/>
          <w:szCs w:val="24"/>
        </w:rPr>
        <w:t>投标分项报价表</w:t>
      </w:r>
      <w:bookmarkEnd w:id="58"/>
      <w:bookmarkEnd w:id="59"/>
      <w:bookmarkEnd w:id="60"/>
    </w:p>
    <w:tbl>
      <w:tblPr>
        <w:tblStyle w:val="3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0F10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7090DB65">
            <w:pPr>
              <w:pStyle w:val="62"/>
              <w:widowControl w:val="0"/>
              <w:spacing w:before="0" w:beforeAutospacing="0" w:after="0" w:afterAutospacing="0" w:line="340" w:lineRule="exact"/>
              <w:rPr>
                <w:rFonts w:cs="宋体"/>
                <w:b w:val="0"/>
                <w:bCs w:val="0"/>
                <w:color w:val="000000" w:themeColor="text1"/>
                <w:kern w:val="2"/>
                <w:sz w:val="24"/>
                <w:szCs w:val="24"/>
              </w:rPr>
            </w:pPr>
            <w:r>
              <w:rPr>
                <w:rFonts w:hint="eastAsia" w:cs="宋体"/>
                <w:b w:val="0"/>
                <w:bCs w:val="0"/>
                <w:color w:val="000000" w:themeColor="text1"/>
                <w:kern w:val="2"/>
                <w:sz w:val="24"/>
                <w:szCs w:val="24"/>
              </w:rPr>
              <w:t>序号</w:t>
            </w:r>
          </w:p>
        </w:tc>
        <w:tc>
          <w:tcPr>
            <w:tcW w:w="2205" w:type="dxa"/>
            <w:vAlign w:val="center"/>
          </w:tcPr>
          <w:p w14:paraId="0443D685">
            <w:pPr>
              <w:spacing w:line="340" w:lineRule="exact"/>
              <w:jc w:val="center"/>
              <w:rPr>
                <w:rFonts w:ascii="宋体" w:hAnsi="宋体" w:cs="宋体"/>
                <w:color w:val="000000" w:themeColor="text1"/>
                <w:sz w:val="24"/>
              </w:rPr>
            </w:pPr>
            <w:r>
              <w:rPr>
                <w:rFonts w:hint="eastAsia" w:ascii="宋体" w:hAnsi="宋体" w:cs="宋体"/>
                <w:color w:val="000000" w:themeColor="text1"/>
                <w:sz w:val="24"/>
              </w:rPr>
              <w:t>服务项目名称</w:t>
            </w:r>
          </w:p>
        </w:tc>
        <w:tc>
          <w:tcPr>
            <w:tcW w:w="957" w:type="dxa"/>
            <w:vAlign w:val="center"/>
          </w:tcPr>
          <w:p w14:paraId="4BC7A503">
            <w:pPr>
              <w:spacing w:line="340" w:lineRule="exact"/>
              <w:jc w:val="center"/>
              <w:rPr>
                <w:rFonts w:ascii="宋体" w:hAnsi="宋体" w:cs="宋体"/>
                <w:color w:val="000000" w:themeColor="text1"/>
                <w:sz w:val="24"/>
              </w:rPr>
            </w:pPr>
            <w:r>
              <w:rPr>
                <w:rFonts w:hint="eastAsia" w:ascii="宋体" w:hAnsi="宋体" w:cs="宋体"/>
                <w:color w:val="000000" w:themeColor="text1"/>
                <w:sz w:val="24"/>
              </w:rPr>
              <w:t>单位</w:t>
            </w:r>
          </w:p>
        </w:tc>
        <w:tc>
          <w:tcPr>
            <w:tcW w:w="840" w:type="dxa"/>
            <w:vAlign w:val="center"/>
          </w:tcPr>
          <w:p w14:paraId="1AFD4988">
            <w:pPr>
              <w:spacing w:line="340" w:lineRule="exact"/>
              <w:jc w:val="center"/>
              <w:rPr>
                <w:rFonts w:ascii="宋体" w:hAnsi="宋体" w:cs="宋体"/>
                <w:color w:val="000000" w:themeColor="text1"/>
                <w:sz w:val="24"/>
              </w:rPr>
            </w:pPr>
            <w:r>
              <w:rPr>
                <w:rFonts w:hint="eastAsia" w:ascii="宋体" w:hAnsi="宋体" w:cs="宋体"/>
                <w:color w:val="000000" w:themeColor="text1"/>
                <w:sz w:val="24"/>
              </w:rPr>
              <w:t>数量</w:t>
            </w:r>
          </w:p>
        </w:tc>
        <w:tc>
          <w:tcPr>
            <w:tcW w:w="1260" w:type="dxa"/>
            <w:vAlign w:val="center"/>
          </w:tcPr>
          <w:p w14:paraId="6B015566">
            <w:pPr>
              <w:spacing w:line="340" w:lineRule="exact"/>
              <w:jc w:val="center"/>
              <w:rPr>
                <w:rFonts w:ascii="宋体" w:hAnsi="宋体" w:cs="宋体"/>
                <w:color w:val="000000" w:themeColor="text1"/>
                <w:sz w:val="24"/>
              </w:rPr>
            </w:pPr>
            <w:r>
              <w:rPr>
                <w:rFonts w:hint="eastAsia" w:ascii="宋体" w:hAnsi="宋体" w:cs="宋体"/>
                <w:color w:val="000000" w:themeColor="text1"/>
                <w:sz w:val="24"/>
              </w:rPr>
              <w:t>单价</w:t>
            </w:r>
          </w:p>
        </w:tc>
        <w:tc>
          <w:tcPr>
            <w:tcW w:w="1340" w:type="dxa"/>
            <w:vAlign w:val="center"/>
          </w:tcPr>
          <w:p w14:paraId="5ED9ABAD">
            <w:pPr>
              <w:spacing w:line="340" w:lineRule="exact"/>
              <w:jc w:val="center"/>
              <w:rPr>
                <w:rFonts w:ascii="宋体" w:hAnsi="宋体" w:cs="宋体"/>
                <w:color w:val="000000" w:themeColor="text1"/>
                <w:sz w:val="24"/>
              </w:rPr>
            </w:pPr>
            <w:r>
              <w:rPr>
                <w:rFonts w:hint="eastAsia" w:ascii="宋体" w:hAnsi="宋体" w:cs="宋体"/>
                <w:bCs/>
                <w:color w:val="000000" w:themeColor="text1"/>
                <w:sz w:val="24"/>
              </w:rPr>
              <w:t>小计</w:t>
            </w:r>
          </w:p>
        </w:tc>
        <w:tc>
          <w:tcPr>
            <w:tcW w:w="1347" w:type="dxa"/>
            <w:vAlign w:val="center"/>
          </w:tcPr>
          <w:p w14:paraId="4ABC376E">
            <w:pPr>
              <w:spacing w:line="340" w:lineRule="exact"/>
              <w:jc w:val="center"/>
              <w:rPr>
                <w:rFonts w:ascii="宋体" w:hAnsi="宋体" w:cs="宋体"/>
                <w:color w:val="000000" w:themeColor="text1"/>
                <w:sz w:val="24"/>
              </w:rPr>
            </w:pPr>
            <w:r>
              <w:rPr>
                <w:rFonts w:hint="eastAsia" w:ascii="宋体" w:hAnsi="宋体" w:cs="宋体"/>
                <w:color w:val="000000" w:themeColor="text1"/>
                <w:sz w:val="24"/>
              </w:rPr>
              <w:t>备注</w:t>
            </w:r>
          </w:p>
        </w:tc>
      </w:tr>
      <w:tr w14:paraId="6B31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7BB52DF0">
            <w:pPr>
              <w:spacing w:line="34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2205" w:type="dxa"/>
          </w:tcPr>
          <w:p w14:paraId="179BE2B3">
            <w:pPr>
              <w:spacing w:line="340" w:lineRule="exact"/>
              <w:rPr>
                <w:rFonts w:ascii="宋体" w:hAnsi="宋体" w:cs="宋体"/>
                <w:color w:val="000000" w:themeColor="text1"/>
                <w:sz w:val="24"/>
              </w:rPr>
            </w:pPr>
          </w:p>
        </w:tc>
        <w:tc>
          <w:tcPr>
            <w:tcW w:w="957" w:type="dxa"/>
          </w:tcPr>
          <w:p w14:paraId="2BEADB8D">
            <w:pPr>
              <w:spacing w:line="340" w:lineRule="exact"/>
              <w:rPr>
                <w:rFonts w:ascii="宋体" w:hAnsi="宋体" w:cs="宋体"/>
                <w:color w:val="000000" w:themeColor="text1"/>
                <w:sz w:val="24"/>
              </w:rPr>
            </w:pPr>
          </w:p>
        </w:tc>
        <w:tc>
          <w:tcPr>
            <w:tcW w:w="840" w:type="dxa"/>
          </w:tcPr>
          <w:p w14:paraId="3510F8FB">
            <w:pPr>
              <w:spacing w:line="340" w:lineRule="exact"/>
              <w:rPr>
                <w:rFonts w:ascii="宋体" w:hAnsi="宋体" w:cs="宋体"/>
                <w:color w:val="000000" w:themeColor="text1"/>
                <w:sz w:val="24"/>
              </w:rPr>
            </w:pPr>
          </w:p>
        </w:tc>
        <w:tc>
          <w:tcPr>
            <w:tcW w:w="1260" w:type="dxa"/>
          </w:tcPr>
          <w:p w14:paraId="4B071421">
            <w:pPr>
              <w:spacing w:line="340" w:lineRule="exact"/>
              <w:rPr>
                <w:rFonts w:ascii="宋体" w:hAnsi="宋体" w:cs="宋体"/>
                <w:color w:val="000000" w:themeColor="text1"/>
                <w:sz w:val="24"/>
              </w:rPr>
            </w:pPr>
          </w:p>
        </w:tc>
        <w:tc>
          <w:tcPr>
            <w:tcW w:w="1340" w:type="dxa"/>
          </w:tcPr>
          <w:p w14:paraId="6ED79B05">
            <w:pPr>
              <w:spacing w:line="340" w:lineRule="exact"/>
              <w:rPr>
                <w:rFonts w:ascii="宋体" w:hAnsi="宋体" w:cs="宋体"/>
                <w:color w:val="000000" w:themeColor="text1"/>
                <w:sz w:val="24"/>
              </w:rPr>
            </w:pPr>
          </w:p>
        </w:tc>
        <w:tc>
          <w:tcPr>
            <w:tcW w:w="1347" w:type="dxa"/>
          </w:tcPr>
          <w:p w14:paraId="088B11A4">
            <w:pPr>
              <w:spacing w:line="340" w:lineRule="exact"/>
              <w:rPr>
                <w:rFonts w:ascii="宋体" w:hAnsi="宋体" w:cs="宋体"/>
                <w:color w:val="000000" w:themeColor="text1"/>
                <w:sz w:val="24"/>
              </w:rPr>
            </w:pPr>
          </w:p>
        </w:tc>
      </w:tr>
      <w:tr w14:paraId="1D5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56ADB4C">
            <w:pPr>
              <w:spacing w:line="34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2205" w:type="dxa"/>
          </w:tcPr>
          <w:p w14:paraId="092DF489">
            <w:pPr>
              <w:spacing w:line="340" w:lineRule="exact"/>
              <w:rPr>
                <w:rFonts w:ascii="宋体" w:hAnsi="宋体" w:cs="宋体"/>
                <w:color w:val="000000" w:themeColor="text1"/>
                <w:sz w:val="24"/>
              </w:rPr>
            </w:pPr>
          </w:p>
        </w:tc>
        <w:tc>
          <w:tcPr>
            <w:tcW w:w="957" w:type="dxa"/>
          </w:tcPr>
          <w:p w14:paraId="5E2A14E7">
            <w:pPr>
              <w:spacing w:line="340" w:lineRule="exact"/>
              <w:rPr>
                <w:rFonts w:ascii="宋体" w:hAnsi="宋体" w:cs="宋体"/>
                <w:color w:val="000000" w:themeColor="text1"/>
                <w:sz w:val="24"/>
              </w:rPr>
            </w:pPr>
          </w:p>
        </w:tc>
        <w:tc>
          <w:tcPr>
            <w:tcW w:w="840" w:type="dxa"/>
          </w:tcPr>
          <w:p w14:paraId="6E44683A">
            <w:pPr>
              <w:spacing w:line="340" w:lineRule="exact"/>
              <w:rPr>
                <w:rFonts w:ascii="宋体" w:hAnsi="宋体" w:cs="宋体"/>
                <w:color w:val="000000" w:themeColor="text1"/>
                <w:sz w:val="24"/>
              </w:rPr>
            </w:pPr>
          </w:p>
        </w:tc>
        <w:tc>
          <w:tcPr>
            <w:tcW w:w="1260" w:type="dxa"/>
          </w:tcPr>
          <w:p w14:paraId="2C4BF95E">
            <w:pPr>
              <w:spacing w:line="340" w:lineRule="exact"/>
              <w:rPr>
                <w:rFonts w:ascii="宋体" w:hAnsi="宋体" w:cs="宋体"/>
                <w:color w:val="000000" w:themeColor="text1"/>
                <w:sz w:val="24"/>
              </w:rPr>
            </w:pPr>
          </w:p>
        </w:tc>
        <w:tc>
          <w:tcPr>
            <w:tcW w:w="1340" w:type="dxa"/>
          </w:tcPr>
          <w:p w14:paraId="37297040">
            <w:pPr>
              <w:spacing w:line="340" w:lineRule="exact"/>
              <w:rPr>
                <w:rFonts w:ascii="宋体" w:hAnsi="宋体" w:cs="宋体"/>
                <w:color w:val="000000" w:themeColor="text1"/>
                <w:sz w:val="24"/>
              </w:rPr>
            </w:pPr>
          </w:p>
        </w:tc>
        <w:tc>
          <w:tcPr>
            <w:tcW w:w="1347" w:type="dxa"/>
          </w:tcPr>
          <w:p w14:paraId="08A434FA">
            <w:pPr>
              <w:spacing w:line="340" w:lineRule="exact"/>
              <w:rPr>
                <w:rFonts w:ascii="宋体" w:hAnsi="宋体" w:cs="宋体"/>
                <w:color w:val="000000" w:themeColor="text1"/>
                <w:sz w:val="24"/>
              </w:rPr>
            </w:pPr>
          </w:p>
        </w:tc>
      </w:tr>
      <w:tr w14:paraId="04C3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E82776E">
            <w:pPr>
              <w:spacing w:line="340" w:lineRule="exact"/>
              <w:jc w:val="center"/>
              <w:rPr>
                <w:rFonts w:ascii="宋体" w:hAnsi="宋体" w:cs="宋体"/>
                <w:color w:val="000000" w:themeColor="text1"/>
                <w:sz w:val="24"/>
              </w:rPr>
            </w:pPr>
            <w:r>
              <w:rPr>
                <w:rFonts w:hint="eastAsia" w:ascii="宋体" w:hAnsi="宋体" w:cs="宋体"/>
                <w:color w:val="000000" w:themeColor="text1"/>
                <w:sz w:val="24"/>
              </w:rPr>
              <w:t>3</w:t>
            </w:r>
          </w:p>
        </w:tc>
        <w:tc>
          <w:tcPr>
            <w:tcW w:w="2205" w:type="dxa"/>
          </w:tcPr>
          <w:p w14:paraId="495FCE73">
            <w:pPr>
              <w:spacing w:line="340" w:lineRule="exact"/>
              <w:rPr>
                <w:rFonts w:ascii="宋体" w:hAnsi="宋体" w:cs="宋体"/>
                <w:color w:val="000000" w:themeColor="text1"/>
                <w:sz w:val="24"/>
              </w:rPr>
            </w:pPr>
          </w:p>
        </w:tc>
        <w:tc>
          <w:tcPr>
            <w:tcW w:w="957" w:type="dxa"/>
          </w:tcPr>
          <w:p w14:paraId="5A22AA49">
            <w:pPr>
              <w:spacing w:line="340" w:lineRule="exact"/>
              <w:rPr>
                <w:rFonts w:ascii="宋体" w:hAnsi="宋体" w:cs="宋体"/>
                <w:color w:val="000000" w:themeColor="text1"/>
                <w:sz w:val="24"/>
              </w:rPr>
            </w:pPr>
          </w:p>
        </w:tc>
        <w:tc>
          <w:tcPr>
            <w:tcW w:w="840" w:type="dxa"/>
          </w:tcPr>
          <w:p w14:paraId="734C5242">
            <w:pPr>
              <w:spacing w:line="340" w:lineRule="exact"/>
              <w:rPr>
                <w:rFonts w:ascii="宋体" w:hAnsi="宋体" w:cs="宋体"/>
                <w:color w:val="000000" w:themeColor="text1"/>
                <w:sz w:val="24"/>
              </w:rPr>
            </w:pPr>
          </w:p>
        </w:tc>
        <w:tc>
          <w:tcPr>
            <w:tcW w:w="1260" w:type="dxa"/>
          </w:tcPr>
          <w:p w14:paraId="177C122F">
            <w:pPr>
              <w:spacing w:line="340" w:lineRule="exact"/>
              <w:rPr>
                <w:rFonts w:ascii="宋体" w:hAnsi="宋体" w:cs="宋体"/>
                <w:color w:val="000000" w:themeColor="text1"/>
                <w:sz w:val="24"/>
              </w:rPr>
            </w:pPr>
          </w:p>
        </w:tc>
        <w:tc>
          <w:tcPr>
            <w:tcW w:w="1340" w:type="dxa"/>
          </w:tcPr>
          <w:p w14:paraId="3D31115D">
            <w:pPr>
              <w:spacing w:line="340" w:lineRule="exact"/>
              <w:rPr>
                <w:rFonts w:ascii="宋体" w:hAnsi="宋体" w:cs="宋体"/>
                <w:color w:val="000000" w:themeColor="text1"/>
                <w:sz w:val="24"/>
              </w:rPr>
            </w:pPr>
          </w:p>
        </w:tc>
        <w:tc>
          <w:tcPr>
            <w:tcW w:w="1347" w:type="dxa"/>
          </w:tcPr>
          <w:p w14:paraId="166F8808">
            <w:pPr>
              <w:spacing w:line="340" w:lineRule="exact"/>
              <w:rPr>
                <w:rFonts w:ascii="宋体" w:hAnsi="宋体" w:cs="宋体"/>
                <w:color w:val="000000" w:themeColor="text1"/>
                <w:sz w:val="24"/>
              </w:rPr>
            </w:pPr>
          </w:p>
        </w:tc>
      </w:tr>
      <w:tr w14:paraId="7F27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4D3CB7E8">
            <w:pPr>
              <w:spacing w:line="34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2205" w:type="dxa"/>
          </w:tcPr>
          <w:p w14:paraId="262E5730">
            <w:pPr>
              <w:spacing w:line="340" w:lineRule="exact"/>
              <w:rPr>
                <w:rFonts w:ascii="宋体" w:hAnsi="宋体" w:cs="宋体"/>
                <w:color w:val="000000" w:themeColor="text1"/>
                <w:sz w:val="24"/>
              </w:rPr>
            </w:pPr>
          </w:p>
        </w:tc>
        <w:tc>
          <w:tcPr>
            <w:tcW w:w="957" w:type="dxa"/>
          </w:tcPr>
          <w:p w14:paraId="69387388">
            <w:pPr>
              <w:spacing w:line="340" w:lineRule="exact"/>
              <w:rPr>
                <w:rFonts w:ascii="宋体" w:hAnsi="宋体" w:cs="宋体"/>
                <w:color w:val="000000" w:themeColor="text1"/>
                <w:sz w:val="24"/>
              </w:rPr>
            </w:pPr>
          </w:p>
        </w:tc>
        <w:tc>
          <w:tcPr>
            <w:tcW w:w="840" w:type="dxa"/>
          </w:tcPr>
          <w:p w14:paraId="0BB98E8C">
            <w:pPr>
              <w:spacing w:line="340" w:lineRule="exact"/>
              <w:rPr>
                <w:rFonts w:ascii="宋体" w:hAnsi="宋体" w:cs="宋体"/>
                <w:color w:val="000000" w:themeColor="text1"/>
                <w:sz w:val="24"/>
              </w:rPr>
            </w:pPr>
          </w:p>
        </w:tc>
        <w:tc>
          <w:tcPr>
            <w:tcW w:w="1260" w:type="dxa"/>
          </w:tcPr>
          <w:p w14:paraId="29E3667C">
            <w:pPr>
              <w:spacing w:line="340" w:lineRule="exact"/>
              <w:rPr>
                <w:rFonts w:ascii="宋体" w:hAnsi="宋体" w:cs="宋体"/>
                <w:color w:val="000000" w:themeColor="text1"/>
                <w:sz w:val="24"/>
              </w:rPr>
            </w:pPr>
          </w:p>
        </w:tc>
        <w:tc>
          <w:tcPr>
            <w:tcW w:w="1340" w:type="dxa"/>
          </w:tcPr>
          <w:p w14:paraId="23D36185">
            <w:pPr>
              <w:spacing w:line="340" w:lineRule="exact"/>
              <w:rPr>
                <w:rFonts w:ascii="宋体" w:hAnsi="宋体" w:cs="宋体"/>
                <w:color w:val="000000" w:themeColor="text1"/>
                <w:sz w:val="24"/>
              </w:rPr>
            </w:pPr>
          </w:p>
        </w:tc>
        <w:tc>
          <w:tcPr>
            <w:tcW w:w="1347" w:type="dxa"/>
          </w:tcPr>
          <w:p w14:paraId="34D290A4">
            <w:pPr>
              <w:spacing w:line="340" w:lineRule="exact"/>
              <w:rPr>
                <w:rFonts w:ascii="宋体" w:hAnsi="宋体" w:cs="宋体"/>
                <w:color w:val="000000" w:themeColor="text1"/>
                <w:sz w:val="24"/>
              </w:rPr>
            </w:pPr>
          </w:p>
        </w:tc>
      </w:tr>
      <w:tr w14:paraId="6FBE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2392CDE">
            <w:pPr>
              <w:spacing w:line="34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2205" w:type="dxa"/>
          </w:tcPr>
          <w:p w14:paraId="6C978122">
            <w:pPr>
              <w:spacing w:line="340" w:lineRule="exact"/>
              <w:rPr>
                <w:rFonts w:ascii="宋体" w:hAnsi="宋体" w:cs="宋体"/>
                <w:color w:val="000000" w:themeColor="text1"/>
                <w:sz w:val="24"/>
              </w:rPr>
            </w:pPr>
          </w:p>
        </w:tc>
        <w:tc>
          <w:tcPr>
            <w:tcW w:w="957" w:type="dxa"/>
          </w:tcPr>
          <w:p w14:paraId="73B7AF63">
            <w:pPr>
              <w:spacing w:line="340" w:lineRule="exact"/>
              <w:rPr>
                <w:rFonts w:ascii="宋体" w:hAnsi="宋体" w:cs="宋体"/>
                <w:color w:val="000000" w:themeColor="text1"/>
                <w:sz w:val="24"/>
              </w:rPr>
            </w:pPr>
          </w:p>
        </w:tc>
        <w:tc>
          <w:tcPr>
            <w:tcW w:w="840" w:type="dxa"/>
          </w:tcPr>
          <w:p w14:paraId="431F5A89">
            <w:pPr>
              <w:spacing w:line="340" w:lineRule="exact"/>
              <w:rPr>
                <w:rFonts w:ascii="宋体" w:hAnsi="宋体" w:cs="宋体"/>
                <w:color w:val="000000" w:themeColor="text1"/>
                <w:sz w:val="24"/>
              </w:rPr>
            </w:pPr>
          </w:p>
        </w:tc>
        <w:tc>
          <w:tcPr>
            <w:tcW w:w="1260" w:type="dxa"/>
          </w:tcPr>
          <w:p w14:paraId="2996460A">
            <w:pPr>
              <w:spacing w:line="340" w:lineRule="exact"/>
              <w:rPr>
                <w:rFonts w:ascii="宋体" w:hAnsi="宋体" w:cs="宋体"/>
                <w:color w:val="000000" w:themeColor="text1"/>
                <w:sz w:val="24"/>
              </w:rPr>
            </w:pPr>
          </w:p>
        </w:tc>
        <w:tc>
          <w:tcPr>
            <w:tcW w:w="1340" w:type="dxa"/>
          </w:tcPr>
          <w:p w14:paraId="13FB1B88">
            <w:pPr>
              <w:spacing w:line="340" w:lineRule="exact"/>
              <w:rPr>
                <w:rFonts w:ascii="宋体" w:hAnsi="宋体" w:cs="宋体"/>
                <w:color w:val="000000" w:themeColor="text1"/>
                <w:sz w:val="24"/>
              </w:rPr>
            </w:pPr>
          </w:p>
        </w:tc>
        <w:tc>
          <w:tcPr>
            <w:tcW w:w="1347" w:type="dxa"/>
          </w:tcPr>
          <w:p w14:paraId="7F23F3D5">
            <w:pPr>
              <w:spacing w:line="340" w:lineRule="exact"/>
              <w:rPr>
                <w:rFonts w:ascii="宋体" w:hAnsi="宋体" w:cs="宋体"/>
                <w:color w:val="000000" w:themeColor="text1"/>
                <w:sz w:val="24"/>
              </w:rPr>
            </w:pPr>
          </w:p>
        </w:tc>
      </w:tr>
      <w:tr w14:paraId="5F8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4FB3E3A1">
            <w:pPr>
              <w:spacing w:line="340" w:lineRule="exact"/>
              <w:jc w:val="center"/>
              <w:rPr>
                <w:rFonts w:ascii="宋体" w:hAnsi="宋体" w:cs="宋体"/>
                <w:color w:val="000000" w:themeColor="text1"/>
                <w:sz w:val="24"/>
              </w:rPr>
            </w:pPr>
            <w:r>
              <w:rPr>
                <w:rFonts w:hint="eastAsia" w:ascii="宋体" w:hAnsi="宋体" w:cs="宋体"/>
                <w:color w:val="000000" w:themeColor="text1"/>
                <w:sz w:val="24"/>
              </w:rPr>
              <w:t>6</w:t>
            </w:r>
          </w:p>
        </w:tc>
        <w:tc>
          <w:tcPr>
            <w:tcW w:w="2205" w:type="dxa"/>
          </w:tcPr>
          <w:p w14:paraId="2AD015BA">
            <w:pPr>
              <w:spacing w:line="340" w:lineRule="exact"/>
              <w:rPr>
                <w:rFonts w:ascii="宋体" w:hAnsi="宋体" w:cs="宋体"/>
                <w:color w:val="000000" w:themeColor="text1"/>
                <w:sz w:val="24"/>
              </w:rPr>
            </w:pPr>
          </w:p>
        </w:tc>
        <w:tc>
          <w:tcPr>
            <w:tcW w:w="957" w:type="dxa"/>
          </w:tcPr>
          <w:p w14:paraId="25C5774B">
            <w:pPr>
              <w:spacing w:line="340" w:lineRule="exact"/>
              <w:rPr>
                <w:rFonts w:ascii="宋体" w:hAnsi="宋体" w:cs="宋体"/>
                <w:color w:val="000000" w:themeColor="text1"/>
                <w:sz w:val="24"/>
              </w:rPr>
            </w:pPr>
          </w:p>
        </w:tc>
        <w:tc>
          <w:tcPr>
            <w:tcW w:w="840" w:type="dxa"/>
          </w:tcPr>
          <w:p w14:paraId="512E600A">
            <w:pPr>
              <w:spacing w:line="340" w:lineRule="exact"/>
              <w:rPr>
                <w:rFonts w:ascii="宋体" w:hAnsi="宋体" w:cs="宋体"/>
                <w:color w:val="000000" w:themeColor="text1"/>
                <w:sz w:val="24"/>
              </w:rPr>
            </w:pPr>
          </w:p>
        </w:tc>
        <w:tc>
          <w:tcPr>
            <w:tcW w:w="1260" w:type="dxa"/>
          </w:tcPr>
          <w:p w14:paraId="1499B2F4">
            <w:pPr>
              <w:spacing w:line="340" w:lineRule="exact"/>
              <w:rPr>
                <w:rFonts w:ascii="宋体" w:hAnsi="宋体" w:cs="宋体"/>
                <w:color w:val="000000" w:themeColor="text1"/>
                <w:sz w:val="24"/>
              </w:rPr>
            </w:pPr>
          </w:p>
        </w:tc>
        <w:tc>
          <w:tcPr>
            <w:tcW w:w="1340" w:type="dxa"/>
          </w:tcPr>
          <w:p w14:paraId="76290073">
            <w:pPr>
              <w:spacing w:line="340" w:lineRule="exact"/>
              <w:rPr>
                <w:rFonts w:ascii="宋体" w:hAnsi="宋体" w:cs="宋体"/>
                <w:color w:val="000000" w:themeColor="text1"/>
                <w:sz w:val="24"/>
              </w:rPr>
            </w:pPr>
          </w:p>
        </w:tc>
        <w:tc>
          <w:tcPr>
            <w:tcW w:w="1347" w:type="dxa"/>
          </w:tcPr>
          <w:p w14:paraId="7C7E5B0E">
            <w:pPr>
              <w:spacing w:line="340" w:lineRule="exact"/>
              <w:rPr>
                <w:rFonts w:ascii="宋体" w:hAnsi="宋体" w:cs="宋体"/>
                <w:color w:val="000000" w:themeColor="text1"/>
                <w:sz w:val="24"/>
              </w:rPr>
            </w:pPr>
          </w:p>
        </w:tc>
      </w:tr>
      <w:tr w14:paraId="45F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B76ABC8">
            <w:pPr>
              <w:spacing w:line="340" w:lineRule="exact"/>
              <w:jc w:val="center"/>
              <w:rPr>
                <w:rFonts w:ascii="宋体" w:hAnsi="宋体" w:cs="宋体"/>
                <w:color w:val="000000" w:themeColor="text1"/>
                <w:sz w:val="24"/>
              </w:rPr>
            </w:pPr>
            <w:r>
              <w:rPr>
                <w:rFonts w:hint="eastAsia" w:ascii="宋体" w:hAnsi="宋体" w:cs="宋体"/>
                <w:color w:val="000000" w:themeColor="text1"/>
                <w:sz w:val="24"/>
              </w:rPr>
              <w:t>7</w:t>
            </w:r>
          </w:p>
        </w:tc>
        <w:tc>
          <w:tcPr>
            <w:tcW w:w="2205" w:type="dxa"/>
          </w:tcPr>
          <w:p w14:paraId="2268E9D2">
            <w:pPr>
              <w:spacing w:line="340" w:lineRule="exact"/>
              <w:rPr>
                <w:rFonts w:ascii="宋体" w:hAnsi="宋体" w:cs="宋体"/>
                <w:color w:val="000000" w:themeColor="text1"/>
                <w:sz w:val="24"/>
              </w:rPr>
            </w:pPr>
          </w:p>
        </w:tc>
        <w:tc>
          <w:tcPr>
            <w:tcW w:w="957" w:type="dxa"/>
          </w:tcPr>
          <w:p w14:paraId="4716A61F">
            <w:pPr>
              <w:spacing w:line="340" w:lineRule="exact"/>
              <w:rPr>
                <w:rFonts w:ascii="宋体" w:hAnsi="宋体" w:cs="宋体"/>
                <w:color w:val="000000" w:themeColor="text1"/>
                <w:sz w:val="24"/>
              </w:rPr>
            </w:pPr>
          </w:p>
        </w:tc>
        <w:tc>
          <w:tcPr>
            <w:tcW w:w="840" w:type="dxa"/>
          </w:tcPr>
          <w:p w14:paraId="07474DA6">
            <w:pPr>
              <w:spacing w:line="340" w:lineRule="exact"/>
              <w:rPr>
                <w:rFonts w:ascii="宋体" w:hAnsi="宋体" w:cs="宋体"/>
                <w:color w:val="000000" w:themeColor="text1"/>
                <w:sz w:val="24"/>
              </w:rPr>
            </w:pPr>
          </w:p>
        </w:tc>
        <w:tc>
          <w:tcPr>
            <w:tcW w:w="1260" w:type="dxa"/>
          </w:tcPr>
          <w:p w14:paraId="75CF4A9C">
            <w:pPr>
              <w:spacing w:line="340" w:lineRule="exact"/>
              <w:rPr>
                <w:rFonts w:ascii="宋体" w:hAnsi="宋体" w:cs="宋体"/>
                <w:color w:val="000000" w:themeColor="text1"/>
                <w:sz w:val="24"/>
              </w:rPr>
            </w:pPr>
          </w:p>
        </w:tc>
        <w:tc>
          <w:tcPr>
            <w:tcW w:w="1340" w:type="dxa"/>
          </w:tcPr>
          <w:p w14:paraId="0BCF2D28">
            <w:pPr>
              <w:spacing w:line="340" w:lineRule="exact"/>
              <w:rPr>
                <w:rFonts w:ascii="宋体" w:hAnsi="宋体" w:cs="宋体"/>
                <w:color w:val="000000" w:themeColor="text1"/>
                <w:sz w:val="24"/>
              </w:rPr>
            </w:pPr>
          </w:p>
        </w:tc>
        <w:tc>
          <w:tcPr>
            <w:tcW w:w="1347" w:type="dxa"/>
          </w:tcPr>
          <w:p w14:paraId="3BCE5148">
            <w:pPr>
              <w:spacing w:line="340" w:lineRule="exact"/>
              <w:rPr>
                <w:rFonts w:ascii="宋体" w:hAnsi="宋体" w:cs="宋体"/>
                <w:color w:val="000000" w:themeColor="text1"/>
                <w:sz w:val="24"/>
              </w:rPr>
            </w:pPr>
          </w:p>
        </w:tc>
      </w:tr>
      <w:tr w14:paraId="3808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19F66A32">
            <w:pPr>
              <w:spacing w:line="340" w:lineRule="exact"/>
              <w:jc w:val="center"/>
              <w:rPr>
                <w:rFonts w:ascii="宋体" w:hAnsi="宋体" w:cs="宋体"/>
                <w:color w:val="000000" w:themeColor="text1"/>
                <w:sz w:val="24"/>
              </w:rPr>
            </w:pPr>
            <w:r>
              <w:rPr>
                <w:rFonts w:hint="eastAsia" w:ascii="宋体" w:hAnsi="宋体" w:cs="宋体"/>
                <w:color w:val="000000" w:themeColor="text1"/>
                <w:sz w:val="24"/>
              </w:rPr>
              <w:t>8</w:t>
            </w:r>
          </w:p>
        </w:tc>
        <w:tc>
          <w:tcPr>
            <w:tcW w:w="2205" w:type="dxa"/>
          </w:tcPr>
          <w:p w14:paraId="62E6B8FB">
            <w:pPr>
              <w:spacing w:line="340" w:lineRule="exact"/>
              <w:rPr>
                <w:rFonts w:ascii="宋体" w:hAnsi="宋体" w:cs="宋体"/>
                <w:color w:val="000000" w:themeColor="text1"/>
                <w:sz w:val="24"/>
              </w:rPr>
            </w:pPr>
          </w:p>
        </w:tc>
        <w:tc>
          <w:tcPr>
            <w:tcW w:w="957" w:type="dxa"/>
          </w:tcPr>
          <w:p w14:paraId="533C58A5">
            <w:pPr>
              <w:spacing w:line="340" w:lineRule="exact"/>
              <w:rPr>
                <w:rFonts w:ascii="宋体" w:hAnsi="宋体" w:cs="宋体"/>
                <w:color w:val="000000" w:themeColor="text1"/>
                <w:sz w:val="24"/>
              </w:rPr>
            </w:pPr>
          </w:p>
        </w:tc>
        <w:tc>
          <w:tcPr>
            <w:tcW w:w="840" w:type="dxa"/>
          </w:tcPr>
          <w:p w14:paraId="2A29C65B">
            <w:pPr>
              <w:spacing w:line="340" w:lineRule="exact"/>
              <w:rPr>
                <w:rFonts w:ascii="宋体" w:hAnsi="宋体" w:cs="宋体"/>
                <w:color w:val="000000" w:themeColor="text1"/>
                <w:sz w:val="24"/>
              </w:rPr>
            </w:pPr>
          </w:p>
        </w:tc>
        <w:tc>
          <w:tcPr>
            <w:tcW w:w="1260" w:type="dxa"/>
          </w:tcPr>
          <w:p w14:paraId="313A6943">
            <w:pPr>
              <w:spacing w:line="340" w:lineRule="exact"/>
              <w:rPr>
                <w:rFonts w:ascii="宋体" w:hAnsi="宋体" w:cs="宋体"/>
                <w:color w:val="000000" w:themeColor="text1"/>
                <w:sz w:val="24"/>
              </w:rPr>
            </w:pPr>
          </w:p>
        </w:tc>
        <w:tc>
          <w:tcPr>
            <w:tcW w:w="1340" w:type="dxa"/>
          </w:tcPr>
          <w:p w14:paraId="6A614F3F">
            <w:pPr>
              <w:spacing w:line="340" w:lineRule="exact"/>
              <w:rPr>
                <w:rFonts w:ascii="宋体" w:hAnsi="宋体" w:cs="宋体"/>
                <w:color w:val="000000" w:themeColor="text1"/>
                <w:sz w:val="24"/>
              </w:rPr>
            </w:pPr>
          </w:p>
        </w:tc>
        <w:tc>
          <w:tcPr>
            <w:tcW w:w="1347" w:type="dxa"/>
          </w:tcPr>
          <w:p w14:paraId="11BB90E3">
            <w:pPr>
              <w:spacing w:line="340" w:lineRule="exact"/>
              <w:rPr>
                <w:rFonts w:ascii="宋体" w:hAnsi="宋体" w:cs="宋体"/>
                <w:color w:val="000000" w:themeColor="text1"/>
                <w:sz w:val="24"/>
              </w:rPr>
            </w:pPr>
          </w:p>
        </w:tc>
      </w:tr>
      <w:tr w14:paraId="48E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6FBEDC6">
            <w:pPr>
              <w:spacing w:line="340" w:lineRule="exact"/>
              <w:jc w:val="center"/>
              <w:rPr>
                <w:rFonts w:ascii="宋体" w:hAnsi="宋体" w:cs="宋体"/>
                <w:color w:val="000000" w:themeColor="text1"/>
                <w:sz w:val="24"/>
              </w:rPr>
            </w:pPr>
            <w:r>
              <w:rPr>
                <w:rFonts w:hint="eastAsia" w:ascii="宋体" w:hAnsi="宋体" w:cs="宋体"/>
                <w:color w:val="000000" w:themeColor="text1"/>
                <w:sz w:val="24"/>
              </w:rPr>
              <w:t>9</w:t>
            </w:r>
          </w:p>
        </w:tc>
        <w:tc>
          <w:tcPr>
            <w:tcW w:w="2205" w:type="dxa"/>
          </w:tcPr>
          <w:p w14:paraId="29C4DAFD">
            <w:pPr>
              <w:spacing w:line="340" w:lineRule="exact"/>
              <w:rPr>
                <w:rFonts w:ascii="宋体" w:hAnsi="宋体" w:cs="宋体"/>
                <w:color w:val="000000" w:themeColor="text1"/>
                <w:sz w:val="24"/>
              </w:rPr>
            </w:pPr>
          </w:p>
        </w:tc>
        <w:tc>
          <w:tcPr>
            <w:tcW w:w="957" w:type="dxa"/>
          </w:tcPr>
          <w:p w14:paraId="02983A3A">
            <w:pPr>
              <w:spacing w:line="340" w:lineRule="exact"/>
              <w:rPr>
                <w:rFonts w:ascii="宋体" w:hAnsi="宋体" w:cs="宋体"/>
                <w:color w:val="000000" w:themeColor="text1"/>
                <w:sz w:val="24"/>
              </w:rPr>
            </w:pPr>
          </w:p>
        </w:tc>
        <w:tc>
          <w:tcPr>
            <w:tcW w:w="840" w:type="dxa"/>
          </w:tcPr>
          <w:p w14:paraId="1A30B266">
            <w:pPr>
              <w:spacing w:line="340" w:lineRule="exact"/>
              <w:rPr>
                <w:rFonts w:ascii="宋体" w:hAnsi="宋体" w:cs="宋体"/>
                <w:color w:val="000000" w:themeColor="text1"/>
                <w:sz w:val="24"/>
              </w:rPr>
            </w:pPr>
          </w:p>
        </w:tc>
        <w:tc>
          <w:tcPr>
            <w:tcW w:w="1260" w:type="dxa"/>
          </w:tcPr>
          <w:p w14:paraId="495CA292">
            <w:pPr>
              <w:spacing w:line="340" w:lineRule="exact"/>
              <w:rPr>
                <w:rFonts w:ascii="宋体" w:hAnsi="宋体" w:cs="宋体"/>
                <w:color w:val="000000" w:themeColor="text1"/>
                <w:sz w:val="24"/>
              </w:rPr>
            </w:pPr>
          </w:p>
        </w:tc>
        <w:tc>
          <w:tcPr>
            <w:tcW w:w="1340" w:type="dxa"/>
          </w:tcPr>
          <w:p w14:paraId="24959D7F">
            <w:pPr>
              <w:spacing w:line="340" w:lineRule="exact"/>
              <w:rPr>
                <w:rFonts w:ascii="宋体" w:hAnsi="宋体" w:cs="宋体"/>
                <w:color w:val="000000" w:themeColor="text1"/>
                <w:sz w:val="24"/>
              </w:rPr>
            </w:pPr>
          </w:p>
        </w:tc>
        <w:tc>
          <w:tcPr>
            <w:tcW w:w="1347" w:type="dxa"/>
          </w:tcPr>
          <w:p w14:paraId="4FB22BEE">
            <w:pPr>
              <w:spacing w:line="340" w:lineRule="exact"/>
              <w:rPr>
                <w:rFonts w:ascii="宋体" w:hAnsi="宋体" w:cs="宋体"/>
                <w:color w:val="000000" w:themeColor="text1"/>
                <w:sz w:val="24"/>
              </w:rPr>
            </w:pPr>
          </w:p>
        </w:tc>
      </w:tr>
      <w:tr w14:paraId="3CD6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B927E49">
            <w:pPr>
              <w:spacing w:line="340" w:lineRule="exact"/>
              <w:jc w:val="center"/>
              <w:rPr>
                <w:rFonts w:ascii="宋体" w:hAnsi="宋体" w:cs="宋体"/>
                <w:color w:val="000000" w:themeColor="text1"/>
                <w:sz w:val="24"/>
              </w:rPr>
            </w:pPr>
            <w:r>
              <w:rPr>
                <w:rFonts w:hint="eastAsia" w:ascii="宋体" w:hAnsi="宋体" w:cs="宋体"/>
                <w:color w:val="000000" w:themeColor="text1"/>
                <w:sz w:val="24"/>
              </w:rPr>
              <w:t>10</w:t>
            </w:r>
          </w:p>
        </w:tc>
        <w:tc>
          <w:tcPr>
            <w:tcW w:w="2205" w:type="dxa"/>
          </w:tcPr>
          <w:p w14:paraId="478891A5">
            <w:pPr>
              <w:spacing w:line="340" w:lineRule="exact"/>
              <w:rPr>
                <w:rFonts w:ascii="宋体" w:hAnsi="宋体" w:cs="宋体"/>
                <w:color w:val="000000" w:themeColor="text1"/>
                <w:sz w:val="24"/>
              </w:rPr>
            </w:pPr>
          </w:p>
        </w:tc>
        <w:tc>
          <w:tcPr>
            <w:tcW w:w="957" w:type="dxa"/>
          </w:tcPr>
          <w:p w14:paraId="65BB21CD">
            <w:pPr>
              <w:spacing w:line="340" w:lineRule="exact"/>
              <w:rPr>
                <w:rFonts w:ascii="宋体" w:hAnsi="宋体" w:cs="宋体"/>
                <w:color w:val="000000" w:themeColor="text1"/>
                <w:sz w:val="24"/>
              </w:rPr>
            </w:pPr>
          </w:p>
        </w:tc>
        <w:tc>
          <w:tcPr>
            <w:tcW w:w="840" w:type="dxa"/>
          </w:tcPr>
          <w:p w14:paraId="31EA0DB2">
            <w:pPr>
              <w:spacing w:line="340" w:lineRule="exact"/>
              <w:rPr>
                <w:rFonts w:ascii="宋体" w:hAnsi="宋体" w:cs="宋体"/>
                <w:color w:val="000000" w:themeColor="text1"/>
                <w:sz w:val="24"/>
              </w:rPr>
            </w:pPr>
          </w:p>
        </w:tc>
        <w:tc>
          <w:tcPr>
            <w:tcW w:w="1260" w:type="dxa"/>
          </w:tcPr>
          <w:p w14:paraId="296A0CD0">
            <w:pPr>
              <w:spacing w:line="340" w:lineRule="exact"/>
              <w:rPr>
                <w:rFonts w:ascii="宋体" w:hAnsi="宋体" w:cs="宋体"/>
                <w:color w:val="000000" w:themeColor="text1"/>
                <w:sz w:val="24"/>
              </w:rPr>
            </w:pPr>
          </w:p>
        </w:tc>
        <w:tc>
          <w:tcPr>
            <w:tcW w:w="1340" w:type="dxa"/>
          </w:tcPr>
          <w:p w14:paraId="73A2A85D">
            <w:pPr>
              <w:spacing w:line="340" w:lineRule="exact"/>
              <w:rPr>
                <w:rFonts w:ascii="宋体" w:hAnsi="宋体" w:cs="宋体"/>
                <w:color w:val="000000" w:themeColor="text1"/>
                <w:sz w:val="24"/>
              </w:rPr>
            </w:pPr>
          </w:p>
        </w:tc>
        <w:tc>
          <w:tcPr>
            <w:tcW w:w="1347" w:type="dxa"/>
          </w:tcPr>
          <w:p w14:paraId="4B79D248">
            <w:pPr>
              <w:spacing w:line="340" w:lineRule="exact"/>
              <w:rPr>
                <w:rFonts w:ascii="宋体" w:hAnsi="宋体" w:cs="宋体"/>
                <w:color w:val="000000" w:themeColor="text1"/>
                <w:sz w:val="24"/>
              </w:rPr>
            </w:pPr>
          </w:p>
        </w:tc>
      </w:tr>
      <w:tr w14:paraId="2A5B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DB2352A">
            <w:pPr>
              <w:spacing w:line="340" w:lineRule="exact"/>
              <w:jc w:val="center"/>
              <w:rPr>
                <w:rFonts w:ascii="宋体" w:hAnsi="宋体" w:cs="宋体"/>
                <w:color w:val="000000" w:themeColor="text1"/>
                <w:sz w:val="24"/>
              </w:rPr>
            </w:pPr>
            <w:r>
              <w:rPr>
                <w:rFonts w:hint="eastAsia" w:ascii="宋体" w:hAnsi="宋体" w:cs="宋体"/>
                <w:color w:val="000000" w:themeColor="text1"/>
                <w:sz w:val="24"/>
              </w:rPr>
              <w:t>11</w:t>
            </w:r>
          </w:p>
        </w:tc>
        <w:tc>
          <w:tcPr>
            <w:tcW w:w="2205" w:type="dxa"/>
          </w:tcPr>
          <w:p w14:paraId="20423E90">
            <w:pPr>
              <w:spacing w:line="340" w:lineRule="exact"/>
              <w:rPr>
                <w:rFonts w:ascii="宋体" w:hAnsi="宋体" w:cs="宋体"/>
                <w:color w:val="000000" w:themeColor="text1"/>
                <w:sz w:val="24"/>
              </w:rPr>
            </w:pPr>
          </w:p>
        </w:tc>
        <w:tc>
          <w:tcPr>
            <w:tcW w:w="957" w:type="dxa"/>
          </w:tcPr>
          <w:p w14:paraId="3123A974">
            <w:pPr>
              <w:spacing w:line="340" w:lineRule="exact"/>
              <w:rPr>
                <w:rFonts w:ascii="宋体" w:hAnsi="宋体" w:cs="宋体"/>
                <w:color w:val="000000" w:themeColor="text1"/>
                <w:sz w:val="24"/>
              </w:rPr>
            </w:pPr>
          </w:p>
        </w:tc>
        <w:tc>
          <w:tcPr>
            <w:tcW w:w="840" w:type="dxa"/>
          </w:tcPr>
          <w:p w14:paraId="53138897">
            <w:pPr>
              <w:spacing w:line="340" w:lineRule="exact"/>
              <w:rPr>
                <w:rFonts w:ascii="宋体" w:hAnsi="宋体" w:cs="宋体"/>
                <w:color w:val="000000" w:themeColor="text1"/>
                <w:sz w:val="24"/>
              </w:rPr>
            </w:pPr>
          </w:p>
        </w:tc>
        <w:tc>
          <w:tcPr>
            <w:tcW w:w="1260" w:type="dxa"/>
          </w:tcPr>
          <w:p w14:paraId="735A1A4C">
            <w:pPr>
              <w:spacing w:line="340" w:lineRule="exact"/>
              <w:rPr>
                <w:rFonts w:ascii="宋体" w:hAnsi="宋体" w:cs="宋体"/>
                <w:color w:val="000000" w:themeColor="text1"/>
                <w:sz w:val="24"/>
              </w:rPr>
            </w:pPr>
          </w:p>
        </w:tc>
        <w:tc>
          <w:tcPr>
            <w:tcW w:w="1340" w:type="dxa"/>
          </w:tcPr>
          <w:p w14:paraId="40F6A6C4">
            <w:pPr>
              <w:spacing w:line="340" w:lineRule="exact"/>
              <w:rPr>
                <w:rFonts w:ascii="宋体" w:hAnsi="宋体" w:cs="宋体"/>
                <w:color w:val="000000" w:themeColor="text1"/>
                <w:sz w:val="24"/>
              </w:rPr>
            </w:pPr>
          </w:p>
        </w:tc>
        <w:tc>
          <w:tcPr>
            <w:tcW w:w="1347" w:type="dxa"/>
          </w:tcPr>
          <w:p w14:paraId="248F5C81">
            <w:pPr>
              <w:spacing w:line="340" w:lineRule="exact"/>
              <w:rPr>
                <w:rFonts w:ascii="宋体" w:hAnsi="宋体" w:cs="宋体"/>
                <w:color w:val="000000" w:themeColor="text1"/>
                <w:sz w:val="24"/>
              </w:rPr>
            </w:pPr>
          </w:p>
        </w:tc>
      </w:tr>
      <w:tr w14:paraId="2E66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7530A80">
            <w:pPr>
              <w:spacing w:line="340" w:lineRule="exact"/>
              <w:jc w:val="center"/>
              <w:rPr>
                <w:rFonts w:ascii="宋体" w:hAnsi="宋体" w:cs="宋体"/>
                <w:color w:val="000000" w:themeColor="text1"/>
                <w:sz w:val="24"/>
              </w:rPr>
            </w:pPr>
            <w:r>
              <w:rPr>
                <w:rFonts w:hint="eastAsia" w:ascii="宋体" w:hAnsi="宋体" w:cs="宋体"/>
                <w:color w:val="000000" w:themeColor="text1"/>
                <w:sz w:val="24"/>
              </w:rPr>
              <w:t>12</w:t>
            </w:r>
          </w:p>
        </w:tc>
        <w:tc>
          <w:tcPr>
            <w:tcW w:w="2205" w:type="dxa"/>
          </w:tcPr>
          <w:p w14:paraId="4C64F22C">
            <w:pPr>
              <w:spacing w:line="340" w:lineRule="exact"/>
              <w:rPr>
                <w:rFonts w:ascii="宋体" w:hAnsi="宋体" w:cs="宋体"/>
                <w:color w:val="000000" w:themeColor="text1"/>
                <w:sz w:val="24"/>
              </w:rPr>
            </w:pPr>
          </w:p>
        </w:tc>
        <w:tc>
          <w:tcPr>
            <w:tcW w:w="957" w:type="dxa"/>
          </w:tcPr>
          <w:p w14:paraId="24268768">
            <w:pPr>
              <w:spacing w:line="340" w:lineRule="exact"/>
              <w:rPr>
                <w:rFonts w:ascii="宋体" w:hAnsi="宋体" w:cs="宋体"/>
                <w:color w:val="000000" w:themeColor="text1"/>
                <w:sz w:val="24"/>
              </w:rPr>
            </w:pPr>
          </w:p>
        </w:tc>
        <w:tc>
          <w:tcPr>
            <w:tcW w:w="840" w:type="dxa"/>
          </w:tcPr>
          <w:p w14:paraId="11598E13">
            <w:pPr>
              <w:spacing w:line="340" w:lineRule="exact"/>
              <w:rPr>
                <w:rFonts w:ascii="宋体" w:hAnsi="宋体" w:cs="宋体"/>
                <w:color w:val="000000" w:themeColor="text1"/>
                <w:sz w:val="24"/>
              </w:rPr>
            </w:pPr>
          </w:p>
        </w:tc>
        <w:tc>
          <w:tcPr>
            <w:tcW w:w="1260" w:type="dxa"/>
          </w:tcPr>
          <w:p w14:paraId="52D391B0">
            <w:pPr>
              <w:spacing w:line="340" w:lineRule="exact"/>
              <w:rPr>
                <w:rFonts w:ascii="宋体" w:hAnsi="宋体" w:cs="宋体"/>
                <w:color w:val="000000" w:themeColor="text1"/>
                <w:sz w:val="24"/>
              </w:rPr>
            </w:pPr>
          </w:p>
        </w:tc>
        <w:tc>
          <w:tcPr>
            <w:tcW w:w="1340" w:type="dxa"/>
          </w:tcPr>
          <w:p w14:paraId="140FB666">
            <w:pPr>
              <w:spacing w:line="340" w:lineRule="exact"/>
              <w:rPr>
                <w:rFonts w:ascii="宋体" w:hAnsi="宋体" w:cs="宋体"/>
                <w:color w:val="000000" w:themeColor="text1"/>
                <w:sz w:val="24"/>
              </w:rPr>
            </w:pPr>
          </w:p>
        </w:tc>
        <w:tc>
          <w:tcPr>
            <w:tcW w:w="1347" w:type="dxa"/>
          </w:tcPr>
          <w:p w14:paraId="4F0564F5">
            <w:pPr>
              <w:spacing w:line="340" w:lineRule="exact"/>
              <w:rPr>
                <w:rFonts w:ascii="宋体" w:hAnsi="宋体" w:cs="宋体"/>
                <w:color w:val="000000" w:themeColor="text1"/>
                <w:sz w:val="24"/>
              </w:rPr>
            </w:pPr>
          </w:p>
        </w:tc>
      </w:tr>
      <w:tr w14:paraId="0F08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A3E5B6B">
            <w:pPr>
              <w:spacing w:line="340" w:lineRule="exact"/>
              <w:jc w:val="center"/>
              <w:rPr>
                <w:rFonts w:ascii="宋体" w:hAnsi="宋体" w:cs="宋体"/>
                <w:color w:val="000000" w:themeColor="text1"/>
                <w:sz w:val="24"/>
              </w:rPr>
            </w:pPr>
            <w:r>
              <w:rPr>
                <w:rFonts w:hint="eastAsia" w:ascii="宋体" w:hAnsi="宋体" w:cs="宋体"/>
                <w:color w:val="000000" w:themeColor="text1"/>
                <w:sz w:val="24"/>
              </w:rPr>
              <w:t>13</w:t>
            </w:r>
          </w:p>
        </w:tc>
        <w:tc>
          <w:tcPr>
            <w:tcW w:w="2205" w:type="dxa"/>
          </w:tcPr>
          <w:p w14:paraId="7FDA833D">
            <w:pPr>
              <w:spacing w:line="340" w:lineRule="exact"/>
              <w:rPr>
                <w:rFonts w:ascii="宋体" w:hAnsi="宋体" w:cs="宋体"/>
                <w:color w:val="000000" w:themeColor="text1"/>
                <w:sz w:val="24"/>
              </w:rPr>
            </w:pPr>
          </w:p>
        </w:tc>
        <w:tc>
          <w:tcPr>
            <w:tcW w:w="957" w:type="dxa"/>
          </w:tcPr>
          <w:p w14:paraId="0990F15D">
            <w:pPr>
              <w:spacing w:line="340" w:lineRule="exact"/>
              <w:rPr>
                <w:rFonts w:ascii="宋体" w:hAnsi="宋体" w:cs="宋体"/>
                <w:color w:val="000000" w:themeColor="text1"/>
                <w:sz w:val="24"/>
              </w:rPr>
            </w:pPr>
          </w:p>
        </w:tc>
        <w:tc>
          <w:tcPr>
            <w:tcW w:w="840" w:type="dxa"/>
          </w:tcPr>
          <w:p w14:paraId="3F63A6CE">
            <w:pPr>
              <w:spacing w:line="340" w:lineRule="exact"/>
              <w:rPr>
                <w:rFonts w:ascii="宋体" w:hAnsi="宋体" w:cs="宋体"/>
                <w:color w:val="000000" w:themeColor="text1"/>
                <w:sz w:val="24"/>
              </w:rPr>
            </w:pPr>
          </w:p>
        </w:tc>
        <w:tc>
          <w:tcPr>
            <w:tcW w:w="1260" w:type="dxa"/>
          </w:tcPr>
          <w:p w14:paraId="282344D8">
            <w:pPr>
              <w:spacing w:line="340" w:lineRule="exact"/>
              <w:rPr>
                <w:rFonts w:ascii="宋体" w:hAnsi="宋体" w:cs="宋体"/>
                <w:color w:val="000000" w:themeColor="text1"/>
                <w:sz w:val="24"/>
              </w:rPr>
            </w:pPr>
          </w:p>
        </w:tc>
        <w:tc>
          <w:tcPr>
            <w:tcW w:w="1340" w:type="dxa"/>
          </w:tcPr>
          <w:p w14:paraId="14393503">
            <w:pPr>
              <w:spacing w:line="340" w:lineRule="exact"/>
              <w:rPr>
                <w:rFonts w:ascii="宋体" w:hAnsi="宋体" w:cs="宋体"/>
                <w:color w:val="000000" w:themeColor="text1"/>
                <w:sz w:val="24"/>
              </w:rPr>
            </w:pPr>
          </w:p>
        </w:tc>
        <w:tc>
          <w:tcPr>
            <w:tcW w:w="1347" w:type="dxa"/>
          </w:tcPr>
          <w:p w14:paraId="2F75D070">
            <w:pPr>
              <w:spacing w:line="340" w:lineRule="exact"/>
              <w:rPr>
                <w:rFonts w:ascii="宋体" w:hAnsi="宋体" w:cs="宋体"/>
                <w:color w:val="000000" w:themeColor="text1"/>
                <w:sz w:val="24"/>
              </w:rPr>
            </w:pPr>
          </w:p>
        </w:tc>
      </w:tr>
      <w:tr w14:paraId="35BF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396F51">
            <w:pPr>
              <w:spacing w:line="340" w:lineRule="exact"/>
              <w:jc w:val="center"/>
              <w:rPr>
                <w:rFonts w:ascii="宋体" w:hAnsi="宋体" w:cs="宋体"/>
                <w:color w:val="000000" w:themeColor="text1"/>
                <w:sz w:val="24"/>
              </w:rPr>
            </w:pPr>
          </w:p>
        </w:tc>
        <w:tc>
          <w:tcPr>
            <w:tcW w:w="2205" w:type="dxa"/>
            <w:vAlign w:val="center"/>
          </w:tcPr>
          <w:p w14:paraId="69B094C3">
            <w:pPr>
              <w:pStyle w:val="63"/>
              <w:spacing w:line="340" w:lineRule="exact"/>
              <w:rPr>
                <w:rFonts w:ascii="宋体" w:hAnsi="宋体" w:cs="宋体"/>
                <w:color w:val="000000" w:themeColor="text1"/>
                <w:szCs w:val="24"/>
              </w:rPr>
            </w:pPr>
            <w:r>
              <w:rPr>
                <w:rFonts w:hint="eastAsia" w:ascii="宋体" w:hAnsi="宋体" w:cs="宋体"/>
                <w:color w:val="000000" w:themeColor="text1"/>
                <w:szCs w:val="24"/>
              </w:rPr>
              <w:t>其他费用</w:t>
            </w:r>
          </w:p>
        </w:tc>
        <w:tc>
          <w:tcPr>
            <w:tcW w:w="957" w:type="dxa"/>
          </w:tcPr>
          <w:p w14:paraId="09135E4F">
            <w:pPr>
              <w:spacing w:line="340" w:lineRule="exact"/>
              <w:rPr>
                <w:rFonts w:ascii="宋体" w:hAnsi="宋体" w:cs="宋体"/>
                <w:color w:val="000000" w:themeColor="text1"/>
                <w:sz w:val="24"/>
              </w:rPr>
            </w:pPr>
          </w:p>
        </w:tc>
        <w:tc>
          <w:tcPr>
            <w:tcW w:w="840" w:type="dxa"/>
          </w:tcPr>
          <w:p w14:paraId="6E2E5959">
            <w:pPr>
              <w:spacing w:line="340" w:lineRule="exact"/>
              <w:rPr>
                <w:rFonts w:ascii="宋体" w:hAnsi="宋体" w:cs="宋体"/>
                <w:color w:val="000000" w:themeColor="text1"/>
                <w:sz w:val="24"/>
              </w:rPr>
            </w:pPr>
          </w:p>
        </w:tc>
        <w:tc>
          <w:tcPr>
            <w:tcW w:w="1260" w:type="dxa"/>
          </w:tcPr>
          <w:p w14:paraId="25B7287C">
            <w:pPr>
              <w:spacing w:line="340" w:lineRule="exact"/>
              <w:rPr>
                <w:rFonts w:ascii="宋体" w:hAnsi="宋体" w:cs="宋体"/>
                <w:color w:val="000000" w:themeColor="text1"/>
                <w:sz w:val="24"/>
              </w:rPr>
            </w:pPr>
          </w:p>
        </w:tc>
        <w:tc>
          <w:tcPr>
            <w:tcW w:w="1340" w:type="dxa"/>
          </w:tcPr>
          <w:p w14:paraId="53221388">
            <w:pPr>
              <w:spacing w:line="340" w:lineRule="exact"/>
              <w:rPr>
                <w:rFonts w:ascii="宋体" w:hAnsi="宋体" w:cs="宋体"/>
                <w:color w:val="000000" w:themeColor="text1"/>
                <w:sz w:val="24"/>
              </w:rPr>
            </w:pPr>
          </w:p>
        </w:tc>
        <w:tc>
          <w:tcPr>
            <w:tcW w:w="1347" w:type="dxa"/>
          </w:tcPr>
          <w:p w14:paraId="48E45DD5">
            <w:pPr>
              <w:spacing w:line="340" w:lineRule="exact"/>
              <w:rPr>
                <w:rFonts w:ascii="宋体" w:hAnsi="宋体" w:cs="宋体"/>
                <w:color w:val="000000" w:themeColor="text1"/>
                <w:sz w:val="24"/>
              </w:rPr>
            </w:pPr>
          </w:p>
        </w:tc>
      </w:tr>
      <w:tr w14:paraId="44B1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BAAADE6">
            <w:pPr>
              <w:spacing w:line="340" w:lineRule="exact"/>
              <w:jc w:val="center"/>
              <w:rPr>
                <w:rFonts w:ascii="宋体" w:hAnsi="宋体" w:cs="宋体"/>
                <w:color w:val="000000" w:themeColor="text1"/>
                <w:sz w:val="24"/>
              </w:rPr>
            </w:pPr>
          </w:p>
        </w:tc>
        <w:tc>
          <w:tcPr>
            <w:tcW w:w="2205" w:type="dxa"/>
          </w:tcPr>
          <w:p w14:paraId="014FC2D8">
            <w:pPr>
              <w:spacing w:line="340" w:lineRule="exact"/>
              <w:rPr>
                <w:rFonts w:ascii="宋体" w:hAnsi="宋体" w:cs="宋体"/>
                <w:color w:val="000000" w:themeColor="text1"/>
                <w:sz w:val="24"/>
              </w:rPr>
            </w:pPr>
            <w:r>
              <w:rPr>
                <w:rFonts w:hint="eastAsia" w:ascii="宋体" w:hAnsi="宋体" w:cs="宋体"/>
                <w:color w:val="000000" w:themeColor="text1"/>
                <w:sz w:val="24"/>
              </w:rPr>
              <w:t>…</w:t>
            </w:r>
          </w:p>
        </w:tc>
        <w:tc>
          <w:tcPr>
            <w:tcW w:w="957" w:type="dxa"/>
          </w:tcPr>
          <w:p w14:paraId="4DFFC4B1">
            <w:pPr>
              <w:spacing w:line="340" w:lineRule="exact"/>
              <w:rPr>
                <w:rFonts w:ascii="宋体" w:hAnsi="宋体" w:cs="宋体"/>
                <w:color w:val="000000" w:themeColor="text1"/>
                <w:sz w:val="24"/>
              </w:rPr>
            </w:pPr>
          </w:p>
        </w:tc>
        <w:tc>
          <w:tcPr>
            <w:tcW w:w="840" w:type="dxa"/>
          </w:tcPr>
          <w:p w14:paraId="04D563D7">
            <w:pPr>
              <w:spacing w:line="340" w:lineRule="exact"/>
              <w:rPr>
                <w:rFonts w:ascii="宋体" w:hAnsi="宋体" w:cs="宋体"/>
                <w:color w:val="000000" w:themeColor="text1"/>
                <w:sz w:val="24"/>
              </w:rPr>
            </w:pPr>
          </w:p>
        </w:tc>
        <w:tc>
          <w:tcPr>
            <w:tcW w:w="1260" w:type="dxa"/>
          </w:tcPr>
          <w:p w14:paraId="46B5360B">
            <w:pPr>
              <w:spacing w:line="340" w:lineRule="exact"/>
              <w:rPr>
                <w:rFonts w:ascii="宋体" w:hAnsi="宋体" w:cs="宋体"/>
                <w:color w:val="000000" w:themeColor="text1"/>
                <w:sz w:val="24"/>
              </w:rPr>
            </w:pPr>
          </w:p>
        </w:tc>
        <w:tc>
          <w:tcPr>
            <w:tcW w:w="1340" w:type="dxa"/>
          </w:tcPr>
          <w:p w14:paraId="0DBEA05E">
            <w:pPr>
              <w:spacing w:line="340" w:lineRule="exact"/>
              <w:rPr>
                <w:rFonts w:ascii="宋体" w:hAnsi="宋体" w:cs="宋体"/>
                <w:color w:val="000000" w:themeColor="text1"/>
                <w:sz w:val="24"/>
              </w:rPr>
            </w:pPr>
          </w:p>
        </w:tc>
        <w:tc>
          <w:tcPr>
            <w:tcW w:w="1347" w:type="dxa"/>
          </w:tcPr>
          <w:p w14:paraId="2DDB48A6">
            <w:pPr>
              <w:spacing w:line="340" w:lineRule="exact"/>
              <w:rPr>
                <w:rFonts w:ascii="宋体" w:hAnsi="宋体" w:cs="宋体"/>
                <w:color w:val="000000" w:themeColor="text1"/>
                <w:sz w:val="24"/>
              </w:rPr>
            </w:pPr>
          </w:p>
        </w:tc>
      </w:tr>
      <w:tr w14:paraId="05D7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6F418E1">
            <w:pPr>
              <w:spacing w:line="340" w:lineRule="exact"/>
              <w:jc w:val="center"/>
              <w:rPr>
                <w:rFonts w:ascii="宋体" w:hAnsi="宋体" w:cs="宋体"/>
                <w:color w:val="000000" w:themeColor="text1"/>
                <w:sz w:val="24"/>
              </w:rPr>
            </w:pPr>
          </w:p>
        </w:tc>
        <w:tc>
          <w:tcPr>
            <w:tcW w:w="2205" w:type="dxa"/>
          </w:tcPr>
          <w:p w14:paraId="2DA353DF">
            <w:pPr>
              <w:pStyle w:val="63"/>
              <w:spacing w:line="340" w:lineRule="exact"/>
              <w:rPr>
                <w:rFonts w:ascii="宋体" w:hAnsi="宋体" w:cs="宋体"/>
                <w:color w:val="000000" w:themeColor="text1"/>
                <w:szCs w:val="24"/>
              </w:rPr>
            </w:pPr>
            <w:r>
              <w:rPr>
                <w:rFonts w:hint="eastAsia" w:ascii="宋体" w:hAnsi="宋体" w:cs="宋体"/>
                <w:color w:val="000000" w:themeColor="text1"/>
                <w:szCs w:val="24"/>
              </w:rPr>
              <w:t>…</w:t>
            </w:r>
          </w:p>
        </w:tc>
        <w:tc>
          <w:tcPr>
            <w:tcW w:w="957" w:type="dxa"/>
          </w:tcPr>
          <w:p w14:paraId="53F874A2">
            <w:pPr>
              <w:spacing w:line="340" w:lineRule="exact"/>
              <w:rPr>
                <w:rFonts w:ascii="宋体" w:hAnsi="宋体" w:cs="宋体"/>
                <w:color w:val="000000" w:themeColor="text1"/>
                <w:sz w:val="24"/>
              </w:rPr>
            </w:pPr>
          </w:p>
        </w:tc>
        <w:tc>
          <w:tcPr>
            <w:tcW w:w="840" w:type="dxa"/>
          </w:tcPr>
          <w:p w14:paraId="2D70B284">
            <w:pPr>
              <w:spacing w:line="340" w:lineRule="exact"/>
              <w:rPr>
                <w:rFonts w:ascii="宋体" w:hAnsi="宋体" w:cs="宋体"/>
                <w:color w:val="000000" w:themeColor="text1"/>
                <w:sz w:val="24"/>
              </w:rPr>
            </w:pPr>
          </w:p>
        </w:tc>
        <w:tc>
          <w:tcPr>
            <w:tcW w:w="1260" w:type="dxa"/>
          </w:tcPr>
          <w:p w14:paraId="2766750E">
            <w:pPr>
              <w:spacing w:line="340" w:lineRule="exact"/>
              <w:rPr>
                <w:rFonts w:ascii="宋体" w:hAnsi="宋体" w:cs="宋体"/>
                <w:color w:val="000000" w:themeColor="text1"/>
                <w:sz w:val="24"/>
              </w:rPr>
            </w:pPr>
          </w:p>
        </w:tc>
        <w:tc>
          <w:tcPr>
            <w:tcW w:w="1340" w:type="dxa"/>
          </w:tcPr>
          <w:p w14:paraId="1C8FA45E">
            <w:pPr>
              <w:spacing w:line="340" w:lineRule="exact"/>
              <w:rPr>
                <w:rFonts w:ascii="宋体" w:hAnsi="宋体" w:cs="宋体"/>
                <w:color w:val="000000" w:themeColor="text1"/>
                <w:sz w:val="24"/>
              </w:rPr>
            </w:pPr>
          </w:p>
        </w:tc>
        <w:tc>
          <w:tcPr>
            <w:tcW w:w="1347" w:type="dxa"/>
          </w:tcPr>
          <w:p w14:paraId="472EC170">
            <w:pPr>
              <w:spacing w:line="340" w:lineRule="exact"/>
              <w:rPr>
                <w:rFonts w:ascii="宋体" w:hAnsi="宋体" w:cs="宋体"/>
                <w:color w:val="000000" w:themeColor="text1"/>
                <w:sz w:val="24"/>
              </w:rPr>
            </w:pPr>
          </w:p>
        </w:tc>
      </w:tr>
      <w:tr w14:paraId="086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638E2B2">
            <w:pPr>
              <w:spacing w:line="340" w:lineRule="exact"/>
              <w:jc w:val="center"/>
              <w:rPr>
                <w:rFonts w:ascii="宋体" w:hAnsi="宋体" w:cs="宋体"/>
                <w:color w:val="000000" w:themeColor="text1"/>
                <w:sz w:val="24"/>
              </w:rPr>
            </w:pPr>
          </w:p>
        </w:tc>
        <w:tc>
          <w:tcPr>
            <w:tcW w:w="2205" w:type="dxa"/>
          </w:tcPr>
          <w:p w14:paraId="3DD4C51E">
            <w:pPr>
              <w:spacing w:line="340" w:lineRule="exact"/>
              <w:rPr>
                <w:rFonts w:ascii="宋体" w:hAnsi="宋体" w:cs="宋体"/>
                <w:color w:val="000000" w:themeColor="text1"/>
                <w:sz w:val="24"/>
              </w:rPr>
            </w:pPr>
            <w:r>
              <w:rPr>
                <w:rFonts w:hint="eastAsia" w:ascii="宋体" w:hAnsi="宋体" w:cs="宋体"/>
                <w:color w:val="000000" w:themeColor="text1"/>
                <w:sz w:val="24"/>
              </w:rPr>
              <w:t>…</w:t>
            </w:r>
          </w:p>
        </w:tc>
        <w:tc>
          <w:tcPr>
            <w:tcW w:w="957" w:type="dxa"/>
          </w:tcPr>
          <w:p w14:paraId="6B6AD10C">
            <w:pPr>
              <w:spacing w:line="340" w:lineRule="exact"/>
              <w:rPr>
                <w:rFonts w:ascii="宋体" w:hAnsi="宋体" w:cs="宋体"/>
                <w:color w:val="000000" w:themeColor="text1"/>
                <w:sz w:val="24"/>
              </w:rPr>
            </w:pPr>
          </w:p>
        </w:tc>
        <w:tc>
          <w:tcPr>
            <w:tcW w:w="840" w:type="dxa"/>
          </w:tcPr>
          <w:p w14:paraId="2D62A5E6">
            <w:pPr>
              <w:spacing w:line="340" w:lineRule="exact"/>
              <w:rPr>
                <w:rFonts w:ascii="宋体" w:hAnsi="宋体" w:cs="宋体"/>
                <w:color w:val="000000" w:themeColor="text1"/>
                <w:sz w:val="24"/>
              </w:rPr>
            </w:pPr>
          </w:p>
        </w:tc>
        <w:tc>
          <w:tcPr>
            <w:tcW w:w="1260" w:type="dxa"/>
          </w:tcPr>
          <w:p w14:paraId="3B77AE5F">
            <w:pPr>
              <w:spacing w:line="340" w:lineRule="exact"/>
              <w:rPr>
                <w:rFonts w:ascii="宋体" w:hAnsi="宋体" w:cs="宋体"/>
                <w:color w:val="000000" w:themeColor="text1"/>
                <w:sz w:val="24"/>
              </w:rPr>
            </w:pPr>
          </w:p>
        </w:tc>
        <w:tc>
          <w:tcPr>
            <w:tcW w:w="1340" w:type="dxa"/>
          </w:tcPr>
          <w:p w14:paraId="2B733CCD">
            <w:pPr>
              <w:spacing w:line="340" w:lineRule="exact"/>
              <w:rPr>
                <w:rFonts w:ascii="宋体" w:hAnsi="宋体" w:cs="宋体"/>
                <w:color w:val="000000" w:themeColor="text1"/>
                <w:sz w:val="24"/>
              </w:rPr>
            </w:pPr>
          </w:p>
        </w:tc>
        <w:tc>
          <w:tcPr>
            <w:tcW w:w="1347" w:type="dxa"/>
          </w:tcPr>
          <w:p w14:paraId="4873E3BC">
            <w:pPr>
              <w:spacing w:line="340" w:lineRule="exact"/>
              <w:rPr>
                <w:rFonts w:ascii="宋体" w:hAnsi="宋体" w:cs="宋体"/>
                <w:color w:val="000000" w:themeColor="text1"/>
                <w:sz w:val="24"/>
              </w:rPr>
            </w:pPr>
          </w:p>
        </w:tc>
      </w:tr>
      <w:tr w14:paraId="341F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5AB564B">
            <w:pPr>
              <w:spacing w:line="340" w:lineRule="exact"/>
              <w:jc w:val="center"/>
              <w:rPr>
                <w:rFonts w:ascii="宋体" w:hAnsi="宋体" w:cs="宋体"/>
                <w:color w:val="000000" w:themeColor="text1"/>
                <w:sz w:val="24"/>
              </w:rPr>
            </w:pPr>
          </w:p>
        </w:tc>
        <w:tc>
          <w:tcPr>
            <w:tcW w:w="2205" w:type="dxa"/>
            <w:vAlign w:val="center"/>
          </w:tcPr>
          <w:p w14:paraId="5155CE28">
            <w:pPr>
              <w:pStyle w:val="63"/>
              <w:spacing w:line="340" w:lineRule="exact"/>
              <w:rPr>
                <w:rFonts w:ascii="宋体" w:hAnsi="宋体" w:cs="宋体"/>
                <w:color w:val="000000" w:themeColor="text1"/>
                <w:szCs w:val="24"/>
              </w:rPr>
            </w:pPr>
            <w:r>
              <w:rPr>
                <w:rFonts w:hint="eastAsia" w:ascii="宋体" w:hAnsi="宋体" w:cs="宋体"/>
                <w:color w:val="000000" w:themeColor="text1"/>
                <w:szCs w:val="24"/>
              </w:rPr>
              <w:t>合计</w:t>
            </w:r>
          </w:p>
        </w:tc>
        <w:tc>
          <w:tcPr>
            <w:tcW w:w="957" w:type="dxa"/>
          </w:tcPr>
          <w:p w14:paraId="2FB68432">
            <w:pPr>
              <w:spacing w:line="340" w:lineRule="exact"/>
              <w:rPr>
                <w:rFonts w:ascii="宋体" w:hAnsi="宋体" w:cs="宋体"/>
                <w:color w:val="000000" w:themeColor="text1"/>
                <w:sz w:val="24"/>
              </w:rPr>
            </w:pPr>
          </w:p>
        </w:tc>
        <w:tc>
          <w:tcPr>
            <w:tcW w:w="840" w:type="dxa"/>
          </w:tcPr>
          <w:p w14:paraId="53279BC0">
            <w:pPr>
              <w:spacing w:line="340" w:lineRule="exact"/>
              <w:rPr>
                <w:rFonts w:ascii="宋体" w:hAnsi="宋体" w:cs="宋体"/>
                <w:color w:val="000000" w:themeColor="text1"/>
                <w:sz w:val="24"/>
              </w:rPr>
            </w:pPr>
          </w:p>
        </w:tc>
        <w:tc>
          <w:tcPr>
            <w:tcW w:w="1260" w:type="dxa"/>
          </w:tcPr>
          <w:p w14:paraId="7F36E2C9">
            <w:pPr>
              <w:spacing w:line="340" w:lineRule="exact"/>
              <w:rPr>
                <w:rFonts w:ascii="宋体" w:hAnsi="宋体" w:cs="宋体"/>
                <w:color w:val="000000" w:themeColor="text1"/>
                <w:sz w:val="24"/>
              </w:rPr>
            </w:pPr>
          </w:p>
        </w:tc>
        <w:tc>
          <w:tcPr>
            <w:tcW w:w="1340" w:type="dxa"/>
          </w:tcPr>
          <w:p w14:paraId="1480DCCC">
            <w:pPr>
              <w:spacing w:line="340" w:lineRule="exact"/>
              <w:rPr>
                <w:rFonts w:ascii="宋体" w:hAnsi="宋体" w:cs="宋体"/>
                <w:color w:val="000000" w:themeColor="text1"/>
                <w:sz w:val="24"/>
              </w:rPr>
            </w:pPr>
          </w:p>
        </w:tc>
        <w:tc>
          <w:tcPr>
            <w:tcW w:w="1347" w:type="dxa"/>
          </w:tcPr>
          <w:p w14:paraId="2C011A4C">
            <w:pPr>
              <w:spacing w:line="340" w:lineRule="exact"/>
              <w:rPr>
                <w:rFonts w:ascii="宋体" w:hAnsi="宋体" w:cs="宋体"/>
                <w:color w:val="000000" w:themeColor="text1"/>
                <w:sz w:val="24"/>
              </w:rPr>
            </w:pPr>
          </w:p>
        </w:tc>
      </w:tr>
    </w:tbl>
    <w:p w14:paraId="3EFDCC25">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15D0B42A">
      <w:pPr>
        <w:spacing w:line="360" w:lineRule="auto"/>
        <w:jc w:val="right"/>
        <w:rPr>
          <w:rFonts w:ascii="宋体" w:hAnsi="宋体" w:cs="宋体"/>
          <w:color w:val="000000" w:themeColor="text1"/>
          <w:sz w:val="24"/>
        </w:rPr>
      </w:pPr>
      <w:r>
        <w:rPr>
          <w:rFonts w:hint="eastAsia" w:ascii="宋体" w:hAnsi="宋体" w:cs="宋体"/>
          <w:color w:val="000000" w:themeColor="text1"/>
          <w:sz w:val="24"/>
        </w:rPr>
        <w:t xml:space="preserve">  年  月  日</w:t>
      </w:r>
    </w:p>
    <w:p w14:paraId="66DDE712">
      <w:pPr>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备注：</w:t>
      </w:r>
    </w:p>
    <w:p w14:paraId="32DA8D1B">
      <w:pPr>
        <w:spacing w:line="360" w:lineRule="auto"/>
        <w:jc w:val="left"/>
        <w:rPr>
          <w:rFonts w:ascii="宋体" w:hAnsi="宋体" w:cs="宋体"/>
          <w:color w:val="000000" w:themeColor="text1"/>
          <w:sz w:val="24"/>
        </w:rPr>
      </w:pPr>
      <w:r>
        <w:rPr>
          <w:rFonts w:hint="eastAsia" w:ascii="宋体" w:hAnsi="宋体" w:cs="宋体"/>
          <w:color w:val="000000" w:themeColor="text1"/>
          <w:sz w:val="24"/>
        </w:rPr>
        <w:t>表中所列内容为对应本项目需求的全部要求。如有漏项或缺项，投标人承担全部责任。</w:t>
      </w:r>
    </w:p>
    <w:p w14:paraId="0BB18EAA">
      <w:pPr>
        <w:spacing w:line="360" w:lineRule="auto"/>
        <w:jc w:val="center"/>
        <w:rPr>
          <w:rFonts w:ascii="宋体" w:hAnsi="宋体" w:cs="宋体"/>
          <w:b/>
          <w:color w:val="000000" w:themeColor="text1"/>
          <w:sz w:val="24"/>
        </w:rPr>
      </w:pPr>
    </w:p>
    <w:p w14:paraId="0A548989">
      <w:pPr>
        <w:spacing w:line="360" w:lineRule="auto"/>
        <w:jc w:val="center"/>
        <w:rPr>
          <w:rFonts w:ascii="宋体" w:hAnsi="宋体" w:cs="宋体"/>
          <w:b/>
          <w:color w:val="000000" w:themeColor="text1"/>
          <w:sz w:val="24"/>
        </w:rPr>
      </w:pPr>
    </w:p>
    <w:p w14:paraId="035EFD78">
      <w:pPr>
        <w:pStyle w:val="2"/>
        <w:ind w:firstLine="241"/>
        <w:rPr>
          <w:rFonts w:ascii="宋体" w:hAnsi="宋体" w:cs="宋体"/>
          <w:b/>
          <w:color w:val="000000" w:themeColor="text1"/>
          <w:sz w:val="24"/>
        </w:rPr>
      </w:pPr>
    </w:p>
    <w:p w14:paraId="1994340A">
      <w:pPr>
        <w:pStyle w:val="2"/>
        <w:ind w:firstLine="241"/>
        <w:rPr>
          <w:rFonts w:ascii="宋体" w:hAnsi="宋体" w:cs="宋体"/>
          <w:b/>
          <w:color w:val="000000" w:themeColor="text1"/>
          <w:sz w:val="24"/>
        </w:rPr>
      </w:pPr>
    </w:p>
    <w:p w14:paraId="45D706CA">
      <w:pPr>
        <w:spacing w:line="360" w:lineRule="auto"/>
        <w:jc w:val="left"/>
        <w:rPr>
          <w:rFonts w:ascii="宋体" w:hAnsi="宋体" w:cs="宋体"/>
          <w:color w:val="000000" w:themeColor="text1"/>
          <w:sz w:val="24"/>
        </w:rPr>
      </w:pPr>
      <w:r>
        <w:rPr>
          <w:rFonts w:hint="eastAsia" w:ascii="宋体" w:hAnsi="宋体" w:cs="宋体"/>
          <w:color w:val="000000" w:themeColor="text1"/>
          <w:sz w:val="24"/>
        </w:rPr>
        <w:t xml:space="preserve">格式6                     </w:t>
      </w:r>
      <w:r>
        <w:rPr>
          <w:rFonts w:hint="eastAsia" w:ascii="宋体" w:hAnsi="宋体" w:cs="宋体"/>
          <w:b/>
          <w:color w:val="000000" w:themeColor="text1"/>
          <w:sz w:val="24"/>
        </w:rPr>
        <w:t>技术参数响应表</w:t>
      </w:r>
    </w:p>
    <w:p w14:paraId="75993628">
      <w:pPr>
        <w:rPr>
          <w:rFonts w:ascii="宋体" w:hAnsi="宋体" w:cs="宋体"/>
          <w:color w:val="000000" w:themeColor="text1"/>
          <w:sz w:val="24"/>
        </w:rPr>
      </w:pPr>
    </w:p>
    <w:p w14:paraId="5102D688">
      <w:pPr>
        <w:rPr>
          <w:rFonts w:ascii="宋体" w:hAnsi="宋体" w:cs="宋体"/>
          <w:color w:val="000000" w:themeColor="text1"/>
          <w:sz w:val="24"/>
        </w:rPr>
      </w:pPr>
    </w:p>
    <w:tbl>
      <w:tblPr>
        <w:tblStyle w:val="3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1013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17B90766">
            <w:pPr>
              <w:pStyle w:val="18"/>
              <w:jc w:val="center"/>
              <w:rPr>
                <w:rFonts w:hAnsi="宋体" w:cs="宋体"/>
                <w:bCs/>
                <w:color w:val="000000" w:themeColor="text1"/>
                <w:sz w:val="24"/>
                <w:szCs w:val="24"/>
              </w:rPr>
            </w:pPr>
            <w:r>
              <w:rPr>
                <w:rFonts w:hint="eastAsia" w:hAnsi="宋体" w:cs="宋体"/>
                <w:bCs/>
                <w:color w:val="000000" w:themeColor="text1"/>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22BA5045">
            <w:pPr>
              <w:pStyle w:val="18"/>
              <w:jc w:val="center"/>
              <w:rPr>
                <w:rFonts w:hAnsi="宋体" w:cs="宋体"/>
                <w:bCs/>
                <w:color w:val="000000" w:themeColor="text1"/>
                <w:sz w:val="24"/>
                <w:szCs w:val="24"/>
              </w:rPr>
            </w:pPr>
            <w:r>
              <w:rPr>
                <w:rFonts w:hint="eastAsia" w:hAnsi="宋体" w:cs="宋体"/>
                <w:bCs/>
                <w:color w:val="000000" w:themeColor="text1"/>
                <w:sz w:val="24"/>
                <w:szCs w:val="24"/>
              </w:rPr>
              <w:t>按投标人所投内容填写</w:t>
            </w:r>
          </w:p>
        </w:tc>
      </w:tr>
      <w:tr w14:paraId="1A07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74093F55">
            <w:pPr>
              <w:pStyle w:val="18"/>
              <w:jc w:val="center"/>
              <w:rPr>
                <w:rFonts w:hAnsi="宋体" w:cs="宋体"/>
                <w:bCs/>
                <w:color w:val="000000" w:themeColor="text1"/>
                <w:sz w:val="24"/>
                <w:szCs w:val="24"/>
              </w:rPr>
            </w:pPr>
            <w:r>
              <w:rPr>
                <w:rFonts w:hint="eastAsia" w:hAnsi="宋体" w:cs="宋体"/>
                <w:bCs/>
                <w:color w:val="000000" w:themeColor="text1"/>
                <w:sz w:val="24"/>
                <w:szCs w:val="24"/>
              </w:rPr>
              <w:t>序号</w:t>
            </w:r>
          </w:p>
        </w:tc>
        <w:tc>
          <w:tcPr>
            <w:tcW w:w="723" w:type="dxa"/>
            <w:tcBorders>
              <w:top w:val="single" w:color="auto" w:sz="4" w:space="0"/>
              <w:left w:val="nil"/>
              <w:bottom w:val="single" w:color="auto" w:sz="4" w:space="0"/>
              <w:right w:val="single" w:color="auto" w:sz="4" w:space="0"/>
            </w:tcBorders>
            <w:vAlign w:val="center"/>
          </w:tcPr>
          <w:p w14:paraId="183C82B1">
            <w:pPr>
              <w:pStyle w:val="18"/>
              <w:jc w:val="center"/>
              <w:rPr>
                <w:rFonts w:hAnsi="宋体" w:cs="宋体"/>
                <w:bCs/>
                <w:color w:val="000000" w:themeColor="text1"/>
                <w:sz w:val="24"/>
                <w:szCs w:val="24"/>
              </w:rPr>
            </w:pPr>
            <w:r>
              <w:rPr>
                <w:rFonts w:hint="eastAsia" w:hAnsi="宋体" w:cs="宋体"/>
                <w:bCs/>
                <w:color w:val="000000" w:themeColor="text1"/>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12863F7F">
            <w:pPr>
              <w:pStyle w:val="18"/>
              <w:jc w:val="center"/>
              <w:rPr>
                <w:rFonts w:hAnsi="宋体" w:cs="宋体"/>
                <w:bCs/>
                <w:color w:val="000000" w:themeColor="text1"/>
                <w:sz w:val="24"/>
                <w:szCs w:val="24"/>
              </w:rPr>
            </w:pPr>
            <w:r>
              <w:rPr>
                <w:rFonts w:hint="eastAsia" w:hAnsi="宋体" w:cs="宋体"/>
                <w:color w:val="000000" w:themeColor="text1"/>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64A689BF">
            <w:pPr>
              <w:pStyle w:val="18"/>
              <w:jc w:val="center"/>
              <w:rPr>
                <w:rFonts w:hAnsi="宋体" w:cs="宋体"/>
                <w:bCs/>
                <w:color w:val="000000" w:themeColor="text1"/>
                <w:sz w:val="24"/>
                <w:szCs w:val="24"/>
              </w:rPr>
            </w:pPr>
            <w:r>
              <w:rPr>
                <w:rFonts w:hint="eastAsia" w:hAnsi="宋体" w:cs="宋体"/>
                <w:color w:val="000000" w:themeColor="text1"/>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357C573E">
            <w:pPr>
              <w:pStyle w:val="18"/>
              <w:jc w:val="center"/>
              <w:rPr>
                <w:rFonts w:hAnsi="宋体" w:cs="宋体"/>
                <w:bCs/>
                <w:color w:val="000000" w:themeColor="text1"/>
                <w:sz w:val="24"/>
                <w:szCs w:val="24"/>
              </w:rPr>
            </w:pPr>
            <w:r>
              <w:rPr>
                <w:rFonts w:hint="eastAsia" w:hAnsi="宋体" w:cs="宋体"/>
                <w:bCs/>
                <w:color w:val="000000" w:themeColor="text1"/>
                <w:sz w:val="24"/>
                <w:szCs w:val="24"/>
              </w:rPr>
              <w:t>偏离说明</w:t>
            </w:r>
          </w:p>
        </w:tc>
      </w:tr>
      <w:tr w14:paraId="5F50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6750652">
            <w:pPr>
              <w:jc w:val="center"/>
              <w:rPr>
                <w:rFonts w:ascii="宋体" w:hAnsi="宋体" w:cs="宋体"/>
                <w:color w:val="000000" w:themeColor="text1"/>
                <w:sz w:val="24"/>
              </w:rPr>
            </w:pPr>
            <w:r>
              <w:rPr>
                <w:rFonts w:hint="eastAsia" w:ascii="宋体" w:hAnsi="宋体" w:cs="宋体"/>
                <w:color w:val="000000" w:themeColor="text1"/>
                <w:sz w:val="24"/>
              </w:rPr>
              <w:t>1</w:t>
            </w:r>
          </w:p>
        </w:tc>
        <w:tc>
          <w:tcPr>
            <w:tcW w:w="723" w:type="dxa"/>
            <w:tcBorders>
              <w:top w:val="single" w:color="auto" w:sz="4" w:space="0"/>
              <w:left w:val="nil"/>
              <w:bottom w:val="single" w:color="auto" w:sz="4" w:space="0"/>
              <w:right w:val="single" w:color="auto" w:sz="4" w:space="0"/>
            </w:tcBorders>
            <w:vAlign w:val="center"/>
          </w:tcPr>
          <w:p w14:paraId="0DBB3F0D">
            <w:pPr>
              <w:widowControl/>
              <w:jc w:val="left"/>
              <w:rPr>
                <w:rFonts w:ascii="宋体" w:hAnsi="宋体" w:cs="宋体"/>
                <w:color w:val="000000" w:themeColor="text1"/>
                <w:kern w:val="0"/>
                <w:sz w:val="24"/>
              </w:rPr>
            </w:pPr>
          </w:p>
        </w:tc>
        <w:tc>
          <w:tcPr>
            <w:tcW w:w="3490" w:type="dxa"/>
            <w:tcBorders>
              <w:top w:val="single" w:color="auto" w:sz="4" w:space="0"/>
              <w:left w:val="nil"/>
              <w:bottom w:val="single" w:color="auto" w:sz="4" w:space="0"/>
              <w:right w:val="single" w:color="auto" w:sz="4" w:space="0"/>
            </w:tcBorders>
          </w:tcPr>
          <w:p w14:paraId="45468D87">
            <w:pPr>
              <w:rPr>
                <w:rFonts w:ascii="宋体" w:hAnsi="宋体" w:cs="宋体"/>
                <w:color w:val="000000" w:themeColor="text1"/>
                <w:sz w:val="24"/>
              </w:rPr>
            </w:pPr>
          </w:p>
        </w:tc>
        <w:tc>
          <w:tcPr>
            <w:tcW w:w="2810" w:type="dxa"/>
            <w:tcBorders>
              <w:top w:val="single" w:color="auto" w:sz="4" w:space="0"/>
              <w:left w:val="nil"/>
              <w:bottom w:val="single" w:color="auto" w:sz="4" w:space="0"/>
              <w:right w:val="single" w:color="auto" w:sz="4" w:space="0"/>
            </w:tcBorders>
          </w:tcPr>
          <w:p w14:paraId="56664BF6">
            <w:pPr>
              <w:widowControl/>
              <w:rPr>
                <w:rFonts w:ascii="宋体" w:hAnsi="宋体" w:cs="宋体"/>
                <w:color w:val="000000" w:themeColor="text1"/>
                <w:kern w:val="0"/>
                <w:sz w:val="24"/>
              </w:rPr>
            </w:pPr>
          </w:p>
        </w:tc>
        <w:tc>
          <w:tcPr>
            <w:tcW w:w="1336" w:type="dxa"/>
            <w:tcBorders>
              <w:top w:val="single" w:color="auto" w:sz="4" w:space="0"/>
              <w:left w:val="nil"/>
              <w:bottom w:val="single" w:color="auto" w:sz="4" w:space="0"/>
              <w:right w:val="single" w:color="auto" w:sz="4" w:space="0"/>
            </w:tcBorders>
            <w:vAlign w:val="center"/>
          </w:tcPr>
          <w:p w14:paraId="309FD2DA">
            <w:pPr>
              <w:jc w:val="center"/>
              <w:rPr>
                <w:rFonts w:ascii="宋体" w:hAnsi="宋体" w:cs="宋体"/>
                <w:color w:val="000000" w:themeColor="text1"/>
                <w:sz w:val="24"/>
              </w:rPr>
            </w:pPr>
          </w:p>
        </w:tc>
      </w:tr>
      <w:tr w14:paraId="412E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96D19B0">
            <w:pPr>
              <w:jc w:val="center"/>
              <w:rPr>
                <w:rFonts w:ascii="宋体" w:hAnsi="宋体" w:cs="宋体"/>
                <w:color w:val="000000" w:themeColor="text1"/>
                <w:sz w:val="24"/>
              </w:rPr>
            </w:pPr>
            <w:r>
              <w:rPr>
                <w:rFonts w:hint="eastAsia" w:ascii="宋体" w:hAnsi="宋体" w:cs="宋体"/>
                <w:color w:val="000000" w:themeColor="text1"/>
                <w:sz w:val="24"/>
              </w:rPr>
              <w:t>2</w:t>
            </w:r>
          </w:p>
        </w:tc>
        <w:tc>
          <w:tcPr>
            <w:tcW w:w="723" w:type="dxa"/>
            <w:tcBorders>
              <w:top w:val="single" w:color="auto" w:sz="4" w:space="0"/>
              <w:left w:val="nil"/>
              <w:bottom w:val="single" w:color="auto" w:sz="4" w:space="0"/>
              <w:right w:val="single" w:color="auto" w:sz="4" w:space="0"/>
            </w:tcBorders>
            <w:vAlign w:val="center"/>
          </w:tcPr>
          <w:p w14:paraId="049B139A">
            <w:pPr>
              <w:jc w:val="center"/>
              <w:rPr>
                <w:rFonts w:ascii="宋体" w:hAnsi="宋体" w:cs="宋体"/>
                <w:color w:val="000000" w:themeColor="text1"/>
                <w:sz w:val="24"/>
              </w:rPr>
            </w:pPr>
          </w:p>
        </w:tc>
        <w:tc>
          <w:tcPr>
            <w:tcW w:w="3490" w:type="dxa"/>
            <w:tcBorders>
              <w:top w:val="single" w:color="auto" w:sz="4" w:space="0"/>
              <w:left w:val="nil"/>
              <w:bottom w:val="single" w:color="auto" w:sz="4" w:space="0"/>
              <w:right w:val="single" w:color="auto" w:sz="4" w:space="0"/>
            </w:tcBorders>
            <w:vAlign w:val="center"/>
          </w:tcPr>
          <w:p w14:paraId="461978D3">
            <w:pPr>
              <w:ind w:left="240" w:hanging="240" w:hangingChars="100"/>
              <w:jc w:val="left"/>
              <w:rPr>
                <w:rFonts w:ascii="宋体" w:hAnsi="宋体" w:cs="宋体"/>
                <w:color w:val="000000" w:themeColor="text1"/>
                <w:sz w:val="24"/>
              </w:rPr>
            </w:pPr>
          </w:p>
        </w:tc>
        <w:tc>
          <w:tcPr>
            <w:tcW w:w="2810" w:type="dxa"/>
            <w:tcBorders>
              <w:top w:val="single" w:color="auto" w:sz="4" w:space="0"/>
              <w:left w:val="nil"/>
              <w:bottom w:val="single" w:color="auto" w:sz="4" w:space="0"/>
              <w:right w:val="single" w:color="auto" w:sz="4" w:space="0"/>
            </w:tcBorders>
            <w:vAlign w:val="center"/>
          </w:tcPr>
          <w:p w14:paraId="0F6C5798">
            <w:pPr>
              <w:ind w:left="240" w:hanging="240" w:hangingChars="100"/>
              <w:jc w:val="left"/>
              <w:rPr>
                <w:rFonts w:ascii="宋体" w:hAnsi="宋体" w:cs="宋体"/>
                <w:color w:val="000000" w:themeColor="text1"/>
                <w:sz w:val="24"/>
              </w:rPr>
            </w:pPr>
          </w:p>
        </w:tc>
        <w:tc>
          <w:tcPr>
            <w:tcW w:w="1336" w:type="dxa"/>
            <w:tcBorders>
              <w:top w:val="single" w:color="auto" w:sz="4" w:space="0"/>
              <w:left w:val="nil"/>
              <w:bottom w:val="single" w:color="auto" w:sz="4" w:space="0"/>
              <w:right w:val="single" w:color="auto" w:sz="4" w:space="0"/>
            </w:tcBorders>
            <w:vAlign w:val="center"/>
          </w:tcPr>
          <w:p w14:paraId="3FA6C66F">
            <w:pPr>
              <w:jc w:val="center"/>
              <w:rPr>
                <w:rFonts w:ascii="宋体" w:hAnsi="宋体" w:cs="宋体"/>
                <w:color w:val="000000" w:themeColor="text1"/>
                <w:sz w:val="24"/>
              </w:rPr>
            </w:pPr>
          </w:p>
        </w:tc>
      </w:tr>
      <w:tr w14:paraId="07BA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0C75971">
            <w:pPr>
              <w:rPr>
                <w:rFonts w:ascii="宋体" w:hAnsi="宋体" w:cs="宋体"/>
                <w:color w:val="000000" w:themeColor="text1"/>
                <w:sz w:val="24"/>
              </w:rPr>
            </w:pPr>
          </w:p>
        </w:tc>
        <w:tc>
          <w:tcPr>
            <w:tcW w:w="723" w:type="dxa"/>
            <w:tcBorders>
              <w:top w:val="single" w:color="auto" w:sz="4" w:space="0"/>
              <w:left w:val="nil"/>
              <w:bottom w:val="single" w:color="auto" w:sz="4" w:space="0"/>
              <w:right w:val="single" w:color="auto" w:sz="4" w:space="0"/>
            </w:tcBorders>
            <w:vAlign w:val="center"/>
          </w:tcPr>
          <w:p w14:paraId="337D299F">
            <w:pPr>
              <w:jc w:val="center"/>
              <w:rPr>
                <w:rFonts w:ascii="宋体" w:hAnsi="宋体" w:cs="宋体"/>
                <w:color w:val="000000" w:themeColor="text1"/>
                <w:sz w:val="24"/>
              </w:rPr>
            </w:pPr>
          </w:p>
        </w:tc>
        <w:tc>
          <w:tcPr>
            <w:tcW w:w="3490" w:type="dxa"/>
            <w:tcBorders>
              <w:top w:val="single" w:color="auto" w:sz="4" w:space="0"/>
              <w:left w:val="nil"/>
              <w:bottom w:val="single" w:color="auto" w:sz="4" w:space="0"/>
              <w:right w:val="single" w:color="auto" w:sz="4" w:space="0"/>
            </w:tcBorders>
            <w:vAlign w:val="center"/>
          </w:tcPr>
          <w:p w14:paraId="7FB1AC34">
            <w:pPr>
              <w:jc w:val="left"/>
              <w:rPr>
                <w:rFonts w:ascii="宋体" w:hAnsi="宋体" w:cs="宋体"/>
                <w:color w:val="000000" w:themeColor="text1"/>
                <w:sz w:val="24"/>
              </w:rPr>
            </w:pPr>
          </w:p>
        </w:tc>
        <w:tc>
          <w:tcPr>
            <w:tcW w:w="2810" w:type="dxa"/>
            <w:tcBorders>
              <w:top w:val="single" w:color="auto" w:sz="4" w:space="0"/>
              <w:left w:val="nil"/>
              <w:bottom w:val="single" w:color="auto" w:sz="4" w:space="0"/>
              <w:right w:val="single" w:color="auto" w:sz="4" w:space="0"/>
            </w:tcBorders>
            <w:vAlign w:val="center"/>
          </w:tcPr>
          <w:p w14:paraId="7887DBBB">
            <w:pPr>
              <w:ind w:left="240" w:hanging="240" w:hangingChars="100"/>
              <w:jc w:val="left"/>
              <w:rPr>
                <w:rFonts w:ascii="宋体" w:hAnsi="宋体" w:cs="宋体"/>
                <w:color w:val="000000" w:themeColor="text1"/>
                <w:sz w:val="24"/>
              </w:rPr>
            </w:pPr>
          </w:p>
        </w:tc>
        <w:tc>
          <w:tcPr>
            <w:tcW w:w="1336" w:type="dxa"/>
            <w:tcBorders>
              <w:top w:val="single" w:color="auto" w:sz="4" w:space="0"/>
              <w:left w:val="nil"/>
              <w:bottom w:val="single" w:color="auto" w:sz="4" w:space="0"/>
              <w:right w:val="single" w:color="auto" w:sz="4" w:space="0"/>
            </w:tcBorders>
            <w:vAlign w:val="center"/>
          </w:tcPr>
          <w:p w14:paraId="16B245DC">
            <w:pPr>
              <w:jc w:val="center"/>
              <w:rPr>
                <w:rFonts w:ascii="宋体" w:hAnsi="宋体" w:cs="宋体"/>
                <w:color w:val="000000" w:themeColor="text1"/>
                <w:sz w:val="24"/>
              </w:rPr>
            </w:pPr>
          </w:p>
        </w:tc>
      </w:tr>
      <w:tr w14:paraId="43E0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5039BE9">
            <w:pPr>
              <w:rPr>
                <w:rFonts w:ascii="宋体" w:hAnsi="宋体" w:cs="宋体"/>
                <w:color w:val="000000" w:themeColor="text1"/>
                <w:sz w:val="24"/>
              </w:rPr>
            </w:pPr>
          </w:p>
        </w:tc>
        <w:tc>
          <w:tcPr>
            <w:tcW w:w="723" w:type="dxa"/>
            <w:tcBorders>
              <w:top w:val="single" w:color="auto" w:sz="4" w:space="0"/>
              <w:left w:val="nil"/>
              <w:bottom w:val="single" w:color="auto" w:sz="4" w:space="0"/>
              <w:right w:val="single" w:color="auto" w:sz="4" w:space="0"/>
            </w:tcBorders>
            <w:vAlign w:val="center"/>
          </w:tcPr>
          <w:p w14:paraId="71A46ECD">
            <w:pPr>
              <w:jc w:val="center"/>
              <w:rPr>
                <w:rFonts w:ascii="宋体" w:hAnsi="宋体" w:cs="宋体"/>
                <w:color w:val="000000" w:themeColor="text1"/>
                <w:sz w:val="24"/>
              </w:rPr>
            </w:pPr>
          </w:p>
        </w:tc>
        <w:tc>
          <w:tcPr>
            <w:tcW w:w="3490" w:type="dxa"/>
            <w:tcBorders>
              <w:top w:val="single" w:color="auto" w:sz="4" w:space="0"/>
              <w:left w:val="nil"/>
              <w:bottom w:val="single" w:color="auto" w:sz="4" w:space="0"/>
              <w:right w:val="single" w:color="auto" w:sz="4" w:space="0"/>
            </w:tcBorders>
            <w:vAlign w:val="center"/>
          </w:tcPr>
          <w:p w14:paraId="23D7D504">
            <w:pPr>
              <w:jc w:val="left"/>
              <w:rPr>
                <w:rFonts w:ascii="宋体" w:hAnsi="宋体" w:cs="宋体"/>
                <w:color w:val="000000" w:themeColor="text1"/>
                <w:sz w:val="24"/>
              </w:rPr>
            </w:pPr>
          </w:p>
        </w:tc>
        <w:tc>
          <w:tcPr>
            <w:tcW w:w="2810" w:type="dxa"/>
            <w:tcBorders>
              <w:top w:val="single" w:color="auto" w:sz="4" w:space="0"/>
              <w:left w:val="nil"/>
              <w:bottom w:val="single" w:color="auto" w:sz="4" w:space="0"/>
              <w:right w:val="single" w:color="auto" w:sz="4" w:space="0"/>
            </w:tcBorders>
            <w:vAlign w:val="center"/>
          </w:tcPr>
          <w:p w14:paraId="40BAF227">
            <w:pPr>
              <w:ind w:left="240" w:hanging="240" w:hangingChars="100"/>
              <w:jc w:val="left"/>
              <w:rPr>
                <w:rFonts w:ascii="宋体" w:hAnsi="宋体" w:cs="宋体"/>
                <w:color w:val="000000" w:themeColor="text1"/>
                <w:sz w:val="24"/>
              </w:rPr>
            </w:pPr>
          </w:p>
        </w:tc>
        <w:tc>
          <w:tcPr>
            <w:tcW w:w="1336" w:type="dxa"/>
            <w:tcBorders>
              <w:top w:val="single" w:color="auto" w:sz="4" w:space="0"/>
              <w:left w:val="nil"/>
              <w:bottom w:val="single" w:color="auto" w:sz="4" w:space="0"/>
              <w:right w:val="single" w:color="auto" w:sz="4" w:space="0"/>
            </w:tcBorders>
            <w:vAlign w:val="center"/>
          </w:tcPr>
          <w:p w14:paraId="19042781">
            <w:pPr>
              <w:jc w:val="center"/>
              <w:rPr>
                <w:rFonts w:ascii="宋体" w:hAnsi="宋体" w:cs="宋体"/>
                <w:color w:val="000000" w:themeColor="text1"/>
                <w:sz w:val="24"/>
              </w:rPr>
            </w:pPr>
          </w:p>
        </w:tc>
      </w:tr>
      <w:tr w14:paraId="37C6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401CF69">
            <w:pPr>
              <w:rPr>
                <w:rFonts w:ascii="宋体" w:hAnsi="宋体" w:cs="宋体"/>
                <w:color w:val="000000" w:themeColor="text1"/>
                <w:sz w:val="24"/>
              </w:rPr>
            </w:pPr>
          </w:p>
        </w:tc>
        <w:tc>
          <w:tcPr>
            <w:tcW w:w="723" w:type="dxa"/>
            <w:tcBorders>
              <w:top w:val="single" w:color="auto" w:sz="4" w:space="0"/>
              <w:left w:val="nil"/>
              <w:bottom w:val="single" w:color="auto" w:sz="4" w:space="0"/>
              <w:right w:val="single" w:color="auto" w:sz="4" w:space="0"/>
            </w:tcBorders>
            <w:vAlign w:val="center"/>
          </w:tcPr>
          <w:p w14:paraId="6CA1CBAA">
            <w:pPr>
              <w:jc w:val="center"/>
              <w:rPr>
                <w:rFonts w:ascii="宋体" w:hAnsi="宋体" w:cs="宋体"/>
                <w:color w:val="000000" w:themeColor="text1"/>
                <w:sz w:val="24"/>
              </w:rPr>
            </w:pPr>
          </w:p>
        </w:tc>
        <w:tc>
          <w:tcPr>
            <w:tcW w:w="3490" w:type="dxa"/>
            <w:tcBorders>
              <w:top w:val="single" w:color="auto" w:sz="4" w:space="0"/>
              <w:left w:val="nil"/>
              <w:bottom w:val="single" w:color="auto" w:sz="4" w:space="0"/>
              <w:right w:val="single" w:color="auto" w:sz="4" w:space="0"/>
            </w:tcBorders>
            <w:vAlign w:val="center"/>
          </w:tcPr>
          <w:p w14:paraId="0421333B">
            <w:pPr>
              <w:ind w:left="240" w:hanging="240" w:hangingChars="100"/>
              <w:jc w:val="left"/>
              <w:rPr>
                <w:rFonts w:ascii="宋体" w:hAnsi="宋体" w:cs="宋体"/>
                <w:color w:val="000000" w:themeColor="text1"/>
                <w:sz w:val="24"/>
              </w:rPr>
            </w:pPr>
          </w:p>
        </w:tc>
        <w:tc>
          <w:tcPr>
            <w:tcW w:w="2810" w:type="dxa"/>
            <w:tcBorders>
              <w:top w:val="single" w:color="auto" w:sz="4" w:space="0"/>
              <w:left w:val="nil"/>
              <w:bottom w:val="single" w:color="auto" w:sz="4" w:space="0"/>
              <w:right w:val="single" w:color="auto" w:sz="4" w:space="0"/>
            </w:tcBorders>
            <w:vAlign w:val="center"/>
          </w:tcPr>
          <w:p w14:paraId="5ECFF570">
            <w:pPr>
              <w:ind w:left="240" w:hanging="240" w:hangingChars="100"/>
              <w:jc w:val="left"/>
              <w:rPr>
                <w:rFonts w:ascii="宋体" w:hAnsi="宋体" w:cs="宋体"/>
                <w:color w:val="000000" w:themeColor="text1"/>
                <w:sz w:val="24"/>
              </w:rPr>
            </w:pPr>
          </w:p>
        </w:tc>
        <w:tc>
          <w:tcPr>
            <w:tcW w:w="1336" w:type="dxa"/>
            <w:tcBorders>
              <w:top w:val="single" w:color="auto" w:sz="4" w:space="0"/>
              <w:left w:val="nil"/>
              <w:bottom w:val="single" w:color="auto" w:sz="4" w:space="0"/>
              <w:right w:val="single" w:color="auto" w:sz="4" w:space="0"/>
            </w:tcBorders>
            <w:vAlign w:val="center"/>
          </w:tcPr>
          <w:p w14:paraId="305E2419">
            <w:pPr>
              <w:jc w:val="center"/>
              <w:rPr>
                <w:rFonts w:ascii="宋体" w:hAnsi="宋体" w:cs="宋体"/>
                <w:color w:val="000000" w:themeColor="text1"/>
                <w:sz w:val="24"/>
              </w:rPr>
            </w:pPr>
          </w:p>
        </w:tc>
      </w:tr>
      <w:tr w14:paraId="5B7A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C2DDCBF">
            <w:pPr>
              <w:jc w:val="center"/>
              <w:rPr>
                <w:rFonts w:ascii="宋体" w:hAnsi="宋体" w:cs="宋体"/>
                <w:color w:val="000000" w:themeColor="text1"/>
                <w:sz w:val="24"/>
              </w:rPr>
            </w:pPr>
            <w:r>
              <w:rPr>
                <w:rFonts w:hint="eastAsia" w:ascii="宋体" w:hAnsi="宋体" w:cs="宋体"/>
                <w:color w:val="000000" w:themeColor="text1"/>
                <w:sz w:val="24"/>
              </w:rPr>
              <w:t>....</w:t>
            </w:r>
          </w:p>
        </w:tc>
        <w:tc>
          <w:tcPr>
            <w:tcW w:w="723" w:type="dxa"/>
            <w:tcBorders>
              <w:top w:val="single" w:color="auto" w:sz="4" w:space="0"/>
              <w:left w:val="nil"/>
              <w:bottom w:val="single" w:color="auto" w:sz="4" w:space="0"/>
              <w:right w:val="single" w:color="auto" w:sz="4" w:space="0"/>
            </w:tcBorders>
            <w:vAlign w:val="center"/>
          </w:tcPr>
          <w:p w14:paraId="11C45035">
            <w:pPr>
              <w:jc w:val="center"/>
              <w:rPr>
                <w:rFonts w:ascii="宋体" w:hAnsi="宋体" w:cs="宋体"/>
                <w:color w:val="000000" w:themeColor="text1"/>
                <w:sz w:val="24"/>
              </w:rPr>
            </w:pPr>
          </w:p>
        </w:tc>
        <w:tc>
          <w:tcPr>
            <w:tcW w:w="3490" w:type="dxa"/>
            <w:tcBorders>
              <w:top w:val="single" w:color="auto" w:sz="4" w:space="0"/>
              <w:left w:val="nil"/>
              <w:bottom w:val="single" w:color="auto" w:sz="4" w:space="0"/>
              <w:right w:val="single" w:color="auto" w:sz="4" w:space="0"/>
            </w:tcBorders>
            <w:vAlign w:val="center"/>
          </w:tcPr>
          <w:p w14:paraId="4FFC2840">
            <w:pPr>
              <w:ind w:left="240" w:hanging="240" w:hangingChars="100"/>
              <w:jc w:val="left"/>
              <w:rPr>
                <w:rFonts w:ascii="宋体" w:hAnsi="宋体" w:cs="宋体"/>
                <w:color w:val="000000" w:themeColor="text1"/>
                <w:sz w:val="24"/>
              </w:rPr>
            </w:pPr>
            <w:r>
              <w:rPr>
                <w:rFonts w:hint="eastAsia" w:ascii="宋体" w:hAnsi="宋体" w:cs="宋体"/>
                <w:color w:val="000000" w:themeColor="text1"/>
                <w:sz w:val="24"/>
              </w:rPr>
              <w:t>.....</w:t>
            </w:r>
          </w:p>
        </w:tc>
        <w:tc>
          <w:tcPr>
            <w:tcW w:w="2810" w:type="dxa"/>
            <w:tcBorders>
              <w:top w:val="single" w:color="auto" w:sz="4" w:space="0"/>
              <w:left w:val="nil"/>
              <w:bottom w:val="single" w:color="auto" w:sz="4" w:space="0"/>
              <w:right w:val="single" w:color="auto" w:sz="4" w:space="0"/>
            </w:tcBorders>
            <w:vAlign w:val="center"/>
          </w:tcPr>
          <w:p w14:paraId="54D7DE9D">
            <w:pPr>
              <w:ind w:left="240" w:hanging="240" w:hangingChars="100"/>
              <w:jc w:val="left"/>
              <w:rPr>
                <w:rFonts w:ascii="宋体" w:hAnsi="宋体" w:cs="宋体"/>
                <w:color w:val="000000" w:themeColor="text1"/>
                <w:sz w:val="24"/>
              </w:rPr>
            </w:pPr>
          </w:p>
        </w:tc>
        <w:tc>
          <w:tcPr>
            <w:tcW w:w="1336" w:type="dxa"/>
            <w:tcBorders>
              <w:top w:val="single" w:color="auto" w:sz="4" w:space="0"/>
              <w:left w:val="nil"/>
              <w:bottom w:val="single" w:color="auto" w:sz="4" w:space="0"/>
              <w:right w:val="single" w:color="auto" w:sz="4" w:space="0"/>
            </w:tcBorders>
            <w:vAlign w:val="center"/>
          </w:tcPr>
          <w:p w14:paraId="1E75AED7">
            <w:pPr>
              <w:jc w:val="center"/>
              <w:rPr>
                <w:rFonts w:ascii="宋体" w:hAnsi="宋体" w:cs="宋体"/>
                <w:color w:val="000000" w:themeColor="text1"/>
                <w:sz w:val="24"/>
              </w:rPr>
            </w:pPr>
          </w:p>
        </w:tc>
      </w:tr>
    </w:tbl>
    <w:p w14:paraId="5BF65643">
      <w:pPr>
        <w:rPr>
          <w:rFonts w:ascii="宋体" w:hAnsi="宋体" w:cs="宋体"/>
          <w:color w:val="000000" w:themeColor="text1"/>
          <w:sz w:val="24"/>
        </w:rPr>
      </w:pPr>
    </w:p>
    <w:p w14:paraId="649C6597">
      <w:pPr>
        <w:rPr>
          <w:rFonts w:ascii="宋体" w:hAnsi="宋体" w:cs="宋体"/>
          <w:color w:val="000000" w:themeColor="text1"/>
          <w:sz w:val="24"/>
        </w:rPr>
      </w:pPr>
      <w:r>
        <w:rPr>
          <w:rFonts w:hint="eastAsia" w:ascii="宋体" w:hAnsi="宋体" w:cs="宋体"/>
          <w:color w:val="000000" w:themeColor="text1"/>
          <w:sz w:val="24"/>
        </w:rPr>
        <w:t>(可根据需求自行更改)</w:t>
      </w:r>
    </w:p>
    <w:p w14:paraId="49562C65">
      <w:pPr>
        <w:rPr>
          <w:rFonts w:ascii="宋体" w:hAnsi="宋体" w:cs="宋体"/>
          <w:color w:val="000000" w:themeColor="text1"/>
          <w:sz w:val="24"/>
        </w:rPr>
      </w:pPr>
    </w:p>
    <w:p w14:paraId="35C54A19">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4A0FC19C">
      <w:pPr>
        <w:spacing w:line="360" w:lineRule="auto"/>
        <w:jc w:val="right"/>
        <w:rPr>
          <w:rFonts w:ascii="宋体" w:hAnsi="宋体" w:cs="宋体"/>
          <w:color w:val="000000" w:themeColor="text1"/>
          <w:sz w:val="24"/>
        </w:rPr>
      </w:pPr>
      <w:r>
        <w:rPr>
          <w:rFonts w:hint="eastAsia" w:ascii="宋体" w:hAnsi="宋体" w:cs="宋体"/>
          <w:color w:val="000000" w:themeColor="text1"/>
          <w:sz w:val="24"/>
        </w:rPr>
        <w:t xml:space="preserve">  年  月  日</w:t>
      </w:r>
    </w:p>
    <w:p w14:paraId="3B6E0E20">
      <w:pPr>
        <w:spacing w:line="360" w:lineRule="auto"/>
        <w:rPr>
          <w:rFonts w:ascii="宋体" w:hAnsi="宋体" w:cs="宋体"/>
          <w:b/>
          <w:color w:val="000000" w:themeColor="text1"/>
          <w:sz w:val="24"/>
        </w:rPr>
      </w:pPr>
    </w:p>
    <w:p w14:paraId="4ED801BE">
      <w:pPr>
        <w:spacing w:line="360" w:lineRule="auto"/>
        <w:rPr>
          <w:rFonts w:ascii="宋体" w:hAnsi="宋体" w:cs="宋体"/>
          <w:b/>
          <w:color w:val="000000" w:themeColor="text1"/>
          <w:sz w:val="24"/>
        </w:rPr>
      </w:pPr>
    </w:p>
    <w:p w14:paraId="33388F4E">
      <w:pPr>
        <w:spacing w:line="360" w:lineRule="auto"/>
        <w:rPr>
          <w:rFonts w:ascii="宋体" w:hAnsi="宋体" w:cs="宋体"/>
          <w:b/>
          <w:color w:val="000000" w:themeColor="text1"/>
          <w:sz w:val="24"/>
        </w:rPr>
      </w:pPr>
    </w:p>
    <w:p w14:paraId="6C584F17">
      <w:pPr>
        <w:spacing w:line="360" w:lineRule="auto"/>
        <w:rPr>
          <w:rFonts w:ascii="宋体" w:hAnsi="宋体" w:cs="宋体"/>
          <w:b/>
          <w:color w:val="000000" w:themeColor="text1"/>
          <w:sz w:val="24"/>
        </w:rPr>
      </w:pPr>
    </w:p>
    <w:p w14:paraId="1A83AE13">
      <w:pPr>
        <w:spacing w:line="360" w:lineRule="auto"/>
        <w:jc w:val="left"/>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格式7</w:t>
      </w:r>
    </w:p>
    <w:p w14:paraId="4E295FBC">
      <w:pPr>
        <w:pStyle w:val="31"/>
        <w:ind w:firstLine="480"/>
        <w:rPr>
          <w:rFonts w:ascii="宋体" w:hAnsi="宋体" w:eastAsia="宋体" w:cs="宋体"/>
          <w:color w:val="000000" w:themeColor="text1"/>
          <w:sz w:val="24"/>
        </w:rPr>
      </w:pPr>
    </w:p>
    <w:p w14:paraId="6C1A6E81">
      <w:pPr>
        <w:spacing w:line="380" w:lineRule="exact"/>
        <w:jc w:val="center"/>
        <w:rPr>
          <w:rFonts w:ascii="宋体" w:hAnsi="宋体" w:cs="宋体"/>
          <w:color w:val="000000" w:themeColor="text1"/>
          <w:sz w:val="24"/>
        </w:rPr>
      </w:pPr>
      <w:r>
        <w:rPr>
          <w:rFonts w:hint="eastAsia" w:ascii="宋体" w:hAnsi="宋体" w:cs="宋体"/>
          <w:color w:val="000000" w:themeColor="text1"/>
          <w:sz w:val="24"/>
        </w:rPr>
        <w:t>服务方案及服务承诺</w:t>
      </w:r>
    </w:p>
    <w:p w14:paraId="34D61A3E">
      <w:pPr>
        <w:spacing w:line="380" w:lineRule="exact"/>
        <w:jc w:val="center"/>
        <w:rPr>
          <w:rFonts w:ascii="宋体" w:hAnsi="宋体" w:cs="宋体"/>
          <w:color w:val="000000" w:themeColor="text1"/>
          <w:sz w:val="24"/>
        </w:rPr>
      </w:pPr>
    </w:p>
    <w:p w14:paraId="1D956F64">
      <w:pPr>
        <w:spacing w:line="380" w:lineRule="exact"/>
        <w:ind w:firstLine="360" w:firstLineChars="150"/>
        <w:rPr>
          <w:rFonts w:ascii="宋体" w:hAnsi="宋体" w:cs="宋体"/>
          <w:color w:val="000000" w:themeColor="text1"/>
          <w:sz w:val="24"/>
        </w:rPr>
      </w:pPr>
    </w:p>
    <w:p w14:paraId="193730B2">
      <w:pPr>
        <w:pStyle w:val="40"/>
        <w:rPr>
          <w:rFonts w:ascii="宋体" w:hAnsi="宋体" w:cs="宋体"/>
          <w:color w:val="000000" w:themeColor="text1"/>
          <w:sz w:val="24"/>
          <w:szCs w:val="24"/>
        </w:rPr>
      </w:pPr>
    </w:p>
    <w:p w14:paraId="6B305FF7">
      <w:pPr>
        <w:pStyle w:val="40"/>
        <w:rPr>
          <w:rFonts w:ascii="宋体" w:hAnsi="宋体" w:cs="宋体"/>
          <w:color w:val="000000" w:themeColor="text1"/>
          <w:sz w:val="24"/>
          <w:szCs w:val="24"/>
        </w:rPr>
      </w:pPr>
    </w:p>
    <w:p w14:paraId="2DA89DC3">
      <w:pPr>
        <w:pStyle w:val="40"/>
        <w:rPr>
          <w:rFonts w:ascii="宋体" w:hAnsi="宋体" w:cs="宋体"/>
          <w:color w:val="000000" w:themeColor="text1"/>
          <w:sz w:val="24"/>
          <w:szCs w:val="24"/>
        </w:rPr>
      </w:pPr>
    </w:p>
    <w:p w14:paraId="1279E92D">
      <w:pPr>
        <w:pStyle w:val="40"/>
        <w:rPr>
          <w:rFonts w:ascii="宋体" w:hAnsi="宋体" w:cs="宋体"/>
          <w:color w:val="000000" w:themeColor="text1"/>
          <w:sz w:val="24"/>
          <w:szCs w:val="24"/>
        </w:rPr>
      </w:pPr>
    </w:p>
    <w:p w14:paraId="1336EB18">
      <w:pPr>
        <w:pStyle w:val="40"/>
        <w:rPr>
          <w:rFonts w:ascii="宋体" w:hAnsi="宋体" w:cs="宋体"/>
          <w:color w:val="000000" w:themeColor="text1"/>
          <w:sz w:val="24"/>
          <w:szCs w:val="24"/>
        </w:rPr>
      </w:pPr>
    </w:p>
    <w:p w14:paraId="3183DD20">
      <w:pPr>
        <w:pStyle w:val="40"/>
        <w:rPr>
          <w:rFonts w:ascii="宋体" w:hAnsi="宋体" w:cs="宋体"/>
          <w:color w:val="000000" w:themeColor="text1"/>
          <w:sz w:val="24"/>
          <w:szCs w:val="24"/>
        </w:rPr>
      </w:pPr>
    </w:p>
    <w:p w14:paraId="0C00D6B2">
      <w:pPr>
        <w:spacing w:line="380" w:lineRule="exact"/>
        <w:rPr>
          <w:rFonts w:ascii="宋体" w:hAnsi="宋体" w:cs="宋体"/>
          <w:color w:val="000000" w:themeColor="text1"/>
          <w:sz w:val="24"/>
        </w:rPr>
      </w:pPr>
    </w:p>
    <w:p w14:paraId="54F77D6C">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364551C0">
      <w:pPr>
        <w:spacing w:line="380" w:lineRule="exact"/>
        <w:ind w:right="640" w:firstLine="1560" w:firstLineChars="650"/>
        <w:rPr>
          <w:rFonts w:ascii="宋体" w:hAnsi="宋体" w:cs="宋体"/>
          <w:color w:val="000000" w:themeColor="text1"/>
          <w:sz w:val="24"/>
        </w:rPr>
      </w:pPr>
    </w:p>
    <w:p w14:paraId="786D0AE3">
      <w:pPr>
        <w:spacing w:line="380" w:lineRule="exact"/>
        <w:ind w:right="640" w:firstLine="4680" w:firstLineChars="1950"/>
        <w:rPr>
          <w:rFonts w:ascii="宋体" w:hAnsi="宋体" w:cs="宋体"/>
          <w:color w:val="000000" w:themeColor="text1"/>
          <w:sz w:val="24"/>
        </w:rPr>
      </w:pPr>
    </w:p>
    <w:p w14:paraId="0C4DCAFB">
      <w:pPr>
        <w:spacing w:line="380" w:lineRule="exact"/>
        <w:jc w:val="center"/>
        <w:rPr>
          <w:rFonts w:ascii="宋体" w:hAnsi="宋体" w:cs="宋体"/>
          <w:color w:val="000000" w:themeColor="text1"/>
          <w:sz w:val="24"/>
        </w:rPr>
      </w:pPr>
    </w:p>
    <w:p w14:paraId="639595C7">
      <w:pPr>
        <w:spacing w:line="380" w:lineRule="exact"/>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      年   月    日</w:t>
      </w:r>
    </w:p>
    <w:p w14:paraId="27797C26">
      <w:pPr>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br w:type="page"/>
      </w:r>
    </w:p>
    <w:p w14:paraId="56E17E1C">
      <w:pPr>
        <w:spacing w:line="380" w:lineRule="exact"/>
        <w:jc w:val="center"/>
        <w:rPr>
          <w:rFonts w:ascii="宋体" w:hAnsi="宋体" w:cs="宋体"/>
          <w:color w:val="000000" w:themeColor="text1"/>
          <w:sz w:val="24"/>
        </w:rPr>
      </w:pPr>
      <w:r>
        <w:rPr>
          <w:rFonts w:hint="eastAsia" w:ascii="宋体" w:hAnsi="宋体" w:cs="宋体"/>
          <w:color w:val="000000" w:themeColor="text1"/>
          <w:sz w:val="24"/>
        </w:rPr>
        <w:t>格式8合格供应商的声明函和承诺书</w:t>
      </w:r>
    </w:p>
    <w:p w14:paraId="14166C86">
      <w:pPr>
        <w:spacing w:line="360" w:lineRule="auto"/>
        <w:rPr>
          <w:rFonts w:ascii="宋体" w:hAnsi="宋体" w:cs="宋体"/>
          <w:color w:val="000000" w:themeColor="text1"/>
          <w:sz w:val="24"/>
        </w:rPr>
      </w:pPr>
    </w:p>
    <w:p w14:paraId="26DB316D">
      <w:pPr>
        <w:spacing w:line="360" w:lineRule="auto"/>
        <w:jc w:val="center"/>
        <w:rPr>
          <w:rFonts w:ascii="宋体" w:hAnsi="宋体" w:cs="宋体"/>
          <w:b/>
          <w:bCs/>
          <w:color w:val="000000" w:themeColor="text1"/>
          <w:sz w:val="24"/>
        </w:rPr>
      </w:pPr>
    </w:p>
    <w:p w14:paraId="2B7297E2">
      <w:pPr>
        <w:pStyle w:val="40"/>
        <w:rPr>
          <w:color w:val="000000" w:themeColor="text1"/>
        </w:rPr>
      </w:pPr>
    </w:p>
    <w:p w14:paraId="473C1939">
      <w:pPr>
        <w:spacing w:line="360" w:lineRule="auto"/>
        <w:jc w:val="center"/>
        <w:rPr>
          <w:rFonts w:ascii="宋体" w:hAnsi="宋体" w:cs="宋体"/>
          <w:b/>
          <w:color w:val="000000" w:themeColor="text1"/>
          <w:sz w:val="24"/>
        </w:rPr>
      </w:pPr>
    </w:p>
    <w:p w14:paraId="0200B67D">
      <w:pPr>
        <w:spacing w:line="360" w:lineRule="auto"/>
        <w:jc w:val="center"/>
        <w:rPr>
          <w:rFonts w:ascii="宋体" w:hAnsi="宋体" w:cs="宋体"/>
          <w:b/>
          <w:color w:val="000000" w:themeColor="text1"/>
          <w:sz w:val="24"/>
        </w:rPr>
      </w:pPr>
    </w:p>
    <w:p w14:paraId="64B971BA">
      <w:pPr>
        <w:spacing w:line="360" w:lineRule="auto"/>
        <w:jc w:val="center"/>
        <w:rPr>
          <w:rFonts w:ascii="宋体" w:hAnsi="宋体" w:cs="宋体"/>
          <w:b/>
          <w:color w:val="000000" w:themeColor="text1"/>
          <w:sz w:val="24"/>
        </w:rPr>
      </w:pPr>
    </w:p>
    <w:p w14:paraId="7D5D60E5">
      <w:pPr>
        <w:spacing w:line="360" w:lineRule="auto"/>
        <w:jc w:val="center"/>
        <w:rPr>
          <w:rFonts w:ascii="宋体" w:hAnsi="宋体" w:cs="宋体"/>
          <w:b/>
          <w:color w:val="000000" w:themeColor="text1"/>
          <w:sz w:val="24"/>
        </w:rPr>
      </w:pPr>
    </w:p>
    <w:p w14:paraId="775CE627">
      <w:pPr>
        <w:spacing w:line="360" w:lineRule="auto"/>
        <w:jc w:val="center"/>
        <w:rPr>
          <w:rFonts w:ascii="宋体" w:hAnsi="宋体" w:cs="宋体"/>
          <w:b/>
          <w:color w:val="000000" w:themeColor="text1"/>
          <w:sz w:val="24"/>
        </w:rPr>
      </w:pPr>
    </w:p>
    <w:p w14:paraId="35D08254">
      <w:pPr>
        <w:spacing w:line="360" w:lineRule="auto"/>
        <w:jc w:val="center"/>
        <w:rPr>
          <w:rFonts w:ascii="宋体" w:hAnsi="宋体" w:cs="宋体"/>
          <w:b/>
          <w:color w:val="000000" w:themeColor="text1"/>
          <w:sz w:val="24"/>
        </w:rPr>
      </w:pPr>
    </w:p>
    <w:p w14:paraId="5D4468C7">
      <w:pPr>
        <w:spacing w:line="360" w:lineRule="auto"/>
        <w:jc w:val="center"/>
        <w:rPr>
          <w:rFonts w:ascii="宋体" w:hAnsi="宋体" w:cs="宋体"/>
          <w:b/>
          <w:color w:val="000000" w:themeColor="text1"/>
          <w:sz w:val="24"/>
        </w:rPr>
      </w:pPr>
    </w:p>
    <w:p w14:paraId="29F505A9">
      <w:pPr>
        <w:spacing w:line="360" w:lineRule="auto"/>
        <w:jc w:val="center"/>
        <w:rPr>
          <w:rFonts w:ascii="宋体" w:hAnsi="宋体" w:cs="宋体"/>
          <w:b/>
          <w:color w:val="000000" w:themeColor="text1"/>
          <w:sz w:val="24"/>
        </w:rPr>
      </w:pPr>
    </w:p>
    <w:p w14:paraId="4E7ADE44">
      <w:pPr>
        <w:spacing w:line="360" w:lineRule="auto"/>
        <w:jc w:val="center"/>
        <w:rPr>
          <w:rFonts w:ascii="宋体" w:hAnsi="宋体" w:cs="宋体"/>
          <w:b/>
          <w:color w:val="000000" w:themeColor="text1"/>
          <w:sz w:val="24"/>
        </w:rPr>
      </w:pPr>
    </w:p>
    <w:p w14:paraId="4E0FF3C3">
      <w:pPr>
        <w:spacing w:line="360" w:lineRule="auto"/>
        <w:jc w:val="center"/>
        <w:rPr>
          <w:rFonts w:ascii="宋体" w:hAnsi="宋体" w:cs="宋体"/>
          <w:b/>
          <w:color w:val="000000" w:themeColor="text1"/>
          <w:sz w:val="24"/>
        </w:rPr>
      </w:pPr>
    </w:p>
    <w:p w14:paraId="2DA7FF4F">
      <w:pPr>
        <w:spacing w:line="360" w:lineRule="auto"/>
        <w:jc w:val="center"/>
        <w:rPr>
          <w:rFonts w:ascii="宋体" w:hAnsi="宋体" w:cs="宋体"/>
          <w:b/>
          <w:color w:val="000000" w:themeColor="text1"/>
          <w:sz w:val="24"/>
        </w:rPr>
      </w:pPr>
    </w:p>
    <w:p w14:paraId="2C1A1F9A">
      <w:pPr>
        <w:spacing w:line="360" w:lineRule="auto"/>
        <w:ind w:firstLine="3840" w:firstLineChars="1600"/>
        <w:rPr>
          <w:rFonts w:ascii="宋体" w:hAnsi="宋体" w:cs="宋体"/>
          <w:color w:val="000000" w:themeColor="text1"/>
          <w:sz w:val="24"/>
        </w:rPr>
      </w:pPr>
      <w:r>
        <w:rPr>
          <w:rFonts w:hint="eastAsia" w:ascii="宋体" w:hAnsi="宋体" w:cs="宋体"/>
          <w:color w:val="000000" w:themeColor="text1"/>
          <w:sz w:val="24"/>
        </w:rPr>
        <w:t xml:space="preserve">供应商电子公章： </w:t>
      </w:r>
    </w:p>
    <w:p w14:paraId="27FDE087">
      <w:pPr>
        <w:spacing w:line="380" w:lineRule="exact"/>
        <w:ind w:right="640" w:firstLine="1560" w:firstLineChars="650"/>
        <w:rPr>
          <w:rFonts w:ascii="宋体" w:hAnsi="宋体" w:cs="宋体"/>
          <w:color w:val="000000" w:themeColor="text1"/>
          <w:sz w:val="24"/>
        </w:rPr>
      </w:pPr>
    </w:p>
    <w:p w14:paraId="33746310">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年   月    日</w:t>
      </w:r>
    </w:p>
    <w:p w14:paraId="2FA70B8D">
      <w:pPr>
        <w:spacing w:line="360" w:lineRule="auto"/>
        <w:rPr>
          <w:rFonts w:ascii="宋体" w:hAnsi="宋体" w:cs="宋体"/>
          <w:color w:val="000000" w:themeColor="text1"/>
          <w:sz w:val="24"/>
        </w:rPr>
      </w:pPr>
    </w:p>
    <w:p w14:paraId="75C44149">
      <w:pPr>
        <w:spacing w:line="360" w:lineRule="auto"/>
        <w:rPr>
          <w:rFonts w:ascii="宋体" w:hAnsi="宋体" w:cs="宋体"/>
          <w:color w:val="000000" w:themeColor="text1"/>
          <w:sz w:val="24"/>
        </w:rPr>
      </w:pPr>
    </w:p>
    <w:p w14:paraId="1C2097BA">
      <w:pPr>
        <w:spacing w:line="360" w:lineRule="auto"/>
        <w:rPr>
          <w:rFonts w:ascii="宋体" w:hAnsi="宋体" w:cs="宋体"/>
          <w:color w:val="000000" w:themeColor="text1"/>
          <w:sz w:val="24"/>
        </w:rPr>
      </w:pPr>
    </w:p>
    <w:p w14:paraId="0D0D476D">
      <w:pPr>
        <w:spacing w:line="360" w:lineRule="auto"/>
        <w:rPr>
          <w:rFonts w:ascii="宋体" w:hAnsi="宋体" w:cs="宋体"/>
          <w:color w:val="000000" w:themeColor="text1"/>
          <w:sz w:val="24"/>
        </w:rPr>
      </w:pPr>
    </w:p>
    <w:p w14:paraId="0962E04F">
      <w:pPr>
        <w:spacing w:line="380" w:lineRule="exact"/>
        <w:jc w:val="center"/>
        <w:rPr>
          <w:rFonts w:ascii="宋体" w:hAnsi="宋体" w:cs="宋体"/>
          <w:color w:val="000000" w:themeColor="text1"/>
          <w:sz w:val="24"/>
        </w:rPr>
      </w:pPr>
    </w:p>
    <w:p w14:paraId="6F7DDAB9">
      <w:pPr>
        <w:spacing w:line="380" w:lineRule="exact"/>
        <w:jc w:val="center"/>
        <w:rPr>
          <w:rFonts w:ascii="宋体" w:hAnsi="宋体" w:cs="宋体"/>
          <w:color w:val="000000" w:themeColor="text1"/>
          <w:sz w:val="24"/>
        </w:rPr>
      </w:pPr>
    </w:p>
    <w:p w14:paraId="73629FE8">
      <w:pPr>
        <w:spacing w:line="380" w:lineRule="exact"/>
        <w:jc w:val="center"/>
        <w:rPr>
          <w:rFonts w:ascii="宋体" w:hAnsi="宋体" w:cs="宋体"/>
          <w:color w:val="000000" w:themeColor="text1"/>
          <w:sz w:val="24"/>
        </w:rPr>
      </w:pPr>
    </w:p>
    <w:p w14:paraId="63206882">
      <w:pPr>
        <w:spacing w:line="380" w:lineRule="exact"/>
        <w:jc w:val="center"/>
        <w:rPr>
          <w:rFonts w:ascii="宋体" w:hAnsi="宋体" w:cs="宋体"/>
          <w:color w:val="000000" w:themeColor="text1"/>
          <w:sz w:val="24"/>
        </w:rPr>
      </w:pPr>
    </w:p>
    <w:p w14:paraId="022FAA43">
      <w:pPr>
        <w:spacing w:line="380" w:lineRule="exact"/>
        <w:jc w:val="center"/>
        <w:rPr>
          <w:rFonts w:ascii="宋体" w:hAnsi="宋体" w:cs="宋体"/>
          <w:color w:val="000000" w:themeColor="text1"/>
          <w:sz w:val="24"/>
        </w:rPr>
      </w:pPr>
    </w:p>
    <w:p w14:paraId="7CDFF3D2">
      <w:pPr>
        <w:spacing w:line="380" w:lineRule="exact"/>
        <w:jc w:val="center"/>
        <w:rPr>
          <w:rFonts w:ascii="宋体" w:hAnsi="宋体" w:cs="宋体"/>
          <w:color w:val="000000" w:themeColor="text1"/>
          <w:sz w:val="24"/>
        </w:rPr>
      </w:pPr>
    </w:p>
    <w:p w14:paraId="41607517">
      <w:pPr>
        <w:spacing w:line="380" w:lineRule="exact"/>
        <w:jc w:val="center"/>
        <w:rPr>
          <w:rFonts w:ascii="宋体" w:hAnsi="宋体" w:cs="宋体"/>
          <w:color w:val="000000" w:themeColor="text1"/>
          <w:sz w:val="24"/>
        </w:rPr>
      </w:pPr>
    </w:p>
    <w:p w14:paraId="4A1A34AE">
      <w:pPr>
        <w:spacing w:line="380" w:lineRule="exact"/>
        <w:jc w:val="center"/>
        <w:rPr>
          <w:rFonts w:ascii="宋体" w:hAnsi="宋体" w:cs="宋体"/>
          <w:color w:val="000000" w:themeColor="text1"/>
          <w:sz w:val="24"/>
        </w:rPr>
      </w:pPr>
    </w:p>
    <w:p w14:paraId="56D0EC6B">
      <w:pPr>
        <w:spacing w:line="380" w:lineRule="exact"/>
        <w:jc w:val="center"/>
        <w:rPr>
          <w:rFonts w:ascii="宋体" w:hAnsi="宋体" w:cs="宋体"/>
          <w:color w:val="000000" w:themeColor="text1"/>
          <w:sz w:val="24"/>
        </w:rPr>
      </w:pPr>
    </w:p>
    <w:p w14:paraId="7ECDF446">
      <w:pPr>
        <w:spacing w:line="380" w:lineRule="exact"/>
        <w:jc w:val="center"/>
        <w:rPr>
          <w:rFonts w:ascii="宋体" w:hAnsi="宋体" w:cs="宋体"/>
          <w:color w:val="000000" w:themeColor="text1"/>
          <w:sz w:val="24"/>
        </w:rPr>
      </w:pPr>
    </w:p>
    <w:p w14:paraId="2B97DD5C">
      <w:pPr>
        <w:spacing w:line="380" w:lineRule="exact"/>
        <w:jc w:val="center"/>
        <w:rPr>
          <w:rFonts w:ascii="宋体" w:hAnsi="宋体" w:cs="宋体"/>
          <w:color w:val="000000" w:themeColor="text1"/>
          <w:sz w:val="24"/>
        </w:rPr>
      </w:pPr>
      <w:r>
        <w:rPr>
          <w:rFonts w:hint="eastAsia" w:ascii="宋体" w:hAnsi="宋体" w:cs="宋体"/>
          <w:color w:val="000000" w:themeColor="text1"/>
          <w:sz w:val="24"/>
        </w:rPr>
        <w:t>格式9中小企业声明函（工程、服务）</w:t>
      </w:r>
    </w:p>
    <w:p w14:paraId="4E00CBDC">
      <w:pPr>
        <w:spacing w:line="360" w:lineRule="auto"/>
        <w:rPr>
          <w:b/>
          <w:bCs/>
          <w:color w:val="000000" w:themeColor="text1"/>
          <w:sz w:val="32"/>
          <w:szCs w:val="32"/>
        </w:rPr>
      </w:pPr>
    </w:p>
    <w:p w14:paraId="5830F9B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本公司（联合体）郑重声明，根据《政府采购促进中小企业发展管理办法》（财库﹝2020﹞46号）的规定，本公司（联合体）参加</w:t>
      </w:r>
      <w:r>
        <w:rPr>
          <w:rFonts w:hint="eastAsia" w:ascii="宋体" w:hAnsi="宋体" w:cs="宋体"/>
          <w:color w:val="000000" w:themeColor="text1"/>
          <w:sz w:val="24"/>
          <w:u w:val="single"/>
        </w:rPr>
        <w:t>（单位名称）</w:t>
      </w:r>
      <w:r>
        <w:rPr>
          <w:rFonts w:hint="eastAsia" w:ascii="宋体" w:hAnsi="宋体" w:cs="宋体"/>
          <w:color w:val="000000" w:themeColor="text1"/>
          <w:sz w:val="24"/>
        </w:rPr>
        <w:t>的</w:t>
      </w:r>
      <w:r>
        <w:rPr>
          <w:rFonts w:hint="eastAsia" w:ascii="宋体" w:hAnsi="宋体" w:cs="宋体"/>
          <w:color w:val="000000" w:themeColor="text1"/>
          <w:sz w:val="24"/>
          <w:u w:val="single"/>
        </w:rPr>
        <w:t>（项目名称）</w:t>
      </w:r>
      <w:r>
        <w:rPr>
          <w:rFonts w:hint="eastAsia" w:ascii="宋体" w:hAnsi="宋体" w:cs="宋体"/>
          <w:color w:val="000000" w:themeColor="text1"/>
          <w:sz w:val="24"/>
        </w:rPr>
        <w:t>采购活动，工程的施工单位全部为符合政策要求的中小企业</w:t>
      </w:r>
      <w:r>
        <w:rPr>
          <w:rFonts w:hint="eastAsia" w:ascii="宋体" w:hAnsi="宋体" w:cs="宋体"/>
          <w:color w:val="000000" w:themeColor="text1"/>
          <w:sz w:val="24"/>
          <w:u w:val="single"/>
        </w:rPr>
        <w:t>（或者：服务全部由符合政策要求的中小企业承接）</w:t>
      </w:r>
      <w:r>
        <w:rPr>
          <w:rFonts w:hint="eastAsia" w:ascii="宋体" w:hAnsi="宋体" w:cs="宋体"/>
          <w:color w:val="000000" w:themeColor="text1"/>
          <w:sz w:val="24"/>
        </w:rPr>
        <w:t>。相关企业</w:t>
      </w:r>
      <w:r>
        <w:rPr>
          <w:rFonts w:hint="eastAsia" w:ascii="宋体" w:hAnsi="宋体" w:cs="宋体"/>
          <w:color w:val="000000" w:themeColor="text1"/>
          <w:sz w:val="24"/>
          <w:u w:val="single"/>
        </w:rPr>
        <w:t>（含联合 体中的中小企业、签订分包意向协议的中小企业）</w:t>
      </w:r>
      <w:r>
        <w:rPr>
          <w:rFonts w:hint="eastAsia" w:ascii="宋体" w:hAnsi="宋体" w:cs="宋体"/>
          <w:color w:val="000000" w:themeColor="text1"/>
          <w:sz w:val="24"/>
        </w:rPr>
        <w:t>的具体情 况如下：</w:t>
      </w:r>
    </w:p>
    <w:p w14:paraId="41E4C61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u w:val="single"/>
        </w:rPr>
        <w:t>（标的名称）</w:t>
      </w:r>
      <w:r>
        <w:rPr>
          <w:rFonts w:hint="eastAsia" w:ascii="宋体" w:hAnsi="宋体" w:cs="宋体"/>
          <w:color w:val="000000" w:themeColor="text1"/>
          <w:sz w:val="24"/>
        </w:rPr>
        <w:t>，属于</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 承建（承接）企业为（企业名称），从业人员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万元1，属于（中型企业、小型企业、微型企业）； </w:t>
      </w:r>
    </w:p>
    <w:p w14:paraId="6592F9E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u w:val="single"/>
        </w:rPr>
        <w:t>（标的名称）</w:t>
      </w:r>
      <w:r>
        <w:rPr>
          <w:rFonts w:hint="eastAsia" w:ascii="宋体" w:hAnsi="宋体" w:cs="宋体"/>
          <w:color w:val="000000" w:themeColor="text1"/>
          <w:sz w:val="24"/>
        </w:rPr>
        <w:t>，属于</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 承建（承接）企业为</w:t>
      </w:r>
      <w:r>
        <w:rPr>
          <w:rFonts w:hint="eastAsia" w:ascii="宋体" w:hAnsi="宋体" w:cs="宋体"/>
          <w:color w:val="000000" w:themeColor="text1"/>
          <w:sz w:val="24"/>
          <w:u w:val="single"/>
        </w:rPr>
        <w:t>（企业名称）</w:t>
      </w:r>
      <w:r>
        <w:rPr>
          <w:rFonts w:hint="eastAsia" w:ascii="宋体" w:hAnsi="宋体" w:cs="宋体"/>
          <w:color w:val="000000" w:themeColor="text1"/>
          <w:sz w:val="24"/>
        </w:rPr>
        <w:t>，从业人员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w:t>
      </w:r>
      <w:r>
        <w:rPr>
          <w:rFonts w:hint="eastAsia" w:ascii="宋体" w:hAnsi="宋体" w:cs="宋体"/>
          <w:color w:val="000000" w:themeColor="text1"/>
          <w:sz w:val="24"/>
          <w:u w:val="single"/>
        </w:rPr>
        <w:t>（中型企业、 小型企业、微型企业）</w:t>
      </w:r>
      <w:r>
        <w:rPr>
          <w:rFonts w:hint="eastAsia" w:ascii="宋体" w:hAnsi="宋体" w:cs="宋体"/>
          <w:color w:val="000000" w:themeColor="text1"/>
          <w:sz w:val="24"/>
        </w:rPr>
        <w:t>； ……</w:t>
      </w:r>
    </w:p>
    <w:p w14:paraId="250DA1F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以上企业，不属于大企业的分支机构，不存在控股股东为大企业的情形，也不存在与大企业的负责人为同一人的情形。</w:t>
      </w:r>
    </w:p>
    <w:p w14:paraId="2D42F0A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本企业对上述声明内容的真实性负责。如有虚假，将依法承担相应责任。 </w:t>
      </w:r>
    </w:p>
    <w:p w14:paraId="31BCA843">
      <w:pPr>
        <w:spacing w:line="360" w:lineRule="auto"/>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企业名称（盖章）： </w:t>
      </w:r>
    </w:p>
    <w:p w14:paraId="050F78C3">
      <w:pPr>
        <w:spacing w:line="360" w:lineRule="auto"/>
        <w:ind w:firstLine="4800" w:firstLineChars="2000"/>
        <w:rPr>
          <w:rFonts w:ascii="宋体" w:hAnsi="宋体" w:cs="宋体"/>
          <w:color w:val="000000" w:themeColor="text1"/>
          <w:sz w:val="24"/>
        </w:rPr>
      </w:pPr>
      <w:r>
        <w:rPr>
          <w:rFonts w:hint="eastAsia" w:ascii="宋体" w:hAnsi="宋体" w:cs="宋体"/>
          <w:color w:val="000000" w:themeColor="text1"/>
          <w:sz w:val="24"/>
        </w:rPr>
        <w:t xml:space="preserve">日 期： </w:t>
      </w:r>
    </w:p>
    <w:p w14:paraId="3F7C06AC">
      <w:pPr>
        <w:pStyle w:val="40"/>
        <w:rPr>
          <w:rFonts w:ascii="宋体" w:hAnsi="宋体" w:cs="宋体"/>
          <w:color w:val="000000" w:themeColor="text1"/>
          <w:sz w:val="24"/>
          <w:szCs w:val="24"/>
        </w:rPr>
      </w:pPr>
    </w:p>
    <w:p w14:paraId="59007AF4">
      <w:pPr>
        <w:pStyle w:val="8"/>
        <w:rPr>
          <w:rFonts w:ascii="宋体" w:hAnsi="宋体" w:eastAsia="宋体" w:cs="宋体"/>
          <w:color w:val="000000" w:themeColor="text1"/>
          <w:sz w:val="24"/>
        </w:rPr>
      </w:pPr>
    </w:p>
    <w:p w14:paraId="3AC1596F">
      <w:pPr>
        <w:rPr>
          <w:rFonts w:ascii="宋体" w:hAnsi="宋体" w:cs="宋体"/>
          <w:color w:val="000000" w:themeColor="text1"/>
          <w:sz w:val="24"/>
        </w:rPr>
      </w:pPr>
    </w:p>
    <w:p w14:paraId="0DCA19DA">
      <w:pPr>
        <w:pStyle w:val="40"/>
        <w:rPr>
          <w:rFonts w:ascii="宋体" w:hAnsi="宋体" w:cs="宋体"/>
          <w:color w:val="000000" w:themeColor="text1"/>
          <w:sz w:val="24"/>
          <w:szCs w:val="24"/>
        </w:rPr>
      </w:pPr>
    </w:p>
    <w:p w14:paraId="73C28884">
      <w:pPr>
        <w:pStyle w:val="8"/>
        <w:rPr>
          <w:color w:val="000000" w:themeColor="text1"/>
        </w:rPr>
      </w:pPr>
    </w:p>
    <w:p w14:paraId="28AC9F2C">
      <w:pPr>
        <w:spacing w:line="360" w:lineRule="auto"/>
        <w:ind w:firstLine="420" w:firstLineChars="200"/>
        <w:rPr>
          <w:color w:val="000000" w:themeColor="text1"/>
        </w:rPr>
      </w:pPr>
      <w:r>
        <w:rPr>
          <w:rFonts w:hint="eastAsia"/>
          <w:color w:val="000000" w:themeColor="text1"/>
        </w:rPr>
        <w:t>注：1.从业人员、营业收入、资产总额填报上一年度数据，无上一年度数据的新成立企业可不填报。</w:t>
      </w:r>
    </w:p>
    <w:p w14:paraId="774FC09F">
      <w:pPr>
        <w:spacing w:line="360" w:lineRule="auto"/>
        <w:ind w:firstLine="420" w:firstLineChars="200"/>
        <w:rPr>
          <w:color w:val="000000" w:themeColor="text1"/>
        </w:rPr>
      </w:pPr>
      <w:r>
        <w:rPr>
          <w:rFonts w:hint="eastAsia"/>
          <w:color w:val="000000" w:themeColor="text1"/>
        </w:rPr>
        <w:t>2.本项目如是只面向中小企业采购的应当必须提供。</w:t>
      </w:r>
    </w:p>
    <w:p w14:paraId="30152225">
      <w:pPr>
        <w:spacing w:line="360" w:lineRule="auto"/>
        <w:jc w:val="center"/>
        <w:rPr>
          <w:rFonts w:ascii="宋体" w:hAnsi="宋体" w:cs="宋体"/>
          <w:b/>
          <w:bCs/>
          <w:color w:val="000000" w:themeColor="text1"/>
          <w:sz w:val="24"/>
        </w:rPr>
      </w:pPr>
    </w:p>
    <w:p w14:paraId="3D9CAEF8">
      <w:pPr>
        <w:spacing w:line="360" w:lineRule="auto"/>
        <w:jc w:val="center"/>
        <w:rPr>
          <w:rFonts w:ascii="宋体" w:hAnsi="宋体" w:cs="宋体"/>
          <w:b/>
          <w:bCs/>
          <w:color w:val="000000" w:themeColor="text1"/>
          <w:sz w:val="24"/>
        </w:rPr>
      </w:pPr>
    </w:p>
    <w:p w14:paraId="2B79424B">
      <w:pPr>
        <w:pStyle w:val="40"/>
        <w:rPr>
          <w:rFonts w:ascii="宋体" w:hAnsi="宋体" w:cs="宋体"/>
          <w:b/>
          <w:bCs/>
          <w:color w:val="000000" w:themeColor="text1"/>
          <w:sz w:val="24"/>
        </w:rPr>
      </w:pPr>
    </w:p>
    <w:p w14:paraId="3844F590">
      <w:pPr>
        <w:pStyle w:val="8"/>
        <w:rPr>
          <w:color w:val="000000" w:themeColor="text1"/>
        </w:rPr>
      </w:pPr>
    </w:p>
    <w:p w14:paraId="1395CAFE">
      <w:pPr>
        <w:spacing w:line="360" w:lineRule="auto"/>
        <w:rPr>
          <w:rFonts w:ascii="宋体" w:hAnsi="宋体" w:cs="宋体"/>
          <w:color w:val="000000" w:themeColor="text1"/>
          <w:sz w:val="24"/>
        </w:rPr>
      </w:pPr>
    </w:p>
    <w:p w14:paraId="6CE7D2ED">
      <w:pPr>
        <w:pStyle w:val="2"/>
        <w:ind w:firstLine="210"/>
        <w:rPr>
          <w:color w:val="000000" w:themeColor="text1"/>
        </w:rPr>
      </w:pPr>
    </w:p>
    <w:p w14:paraId="6A38C537">
      <w:pPr>
        <w:spacing w:line="360" w:lineRule="auto"/>
        <w:rPr>
          <w:rFonts w:ascii="宋体" w:hAnsi="宋体" w:cs="宋体"/>
          <w:color w:val="000000" w:themeColor="text1"/>
          <w:sz w:val="24"/>
        </w:rPr>
      </w:pPr>
      <w:r>
        <w:rPr>
          <w:rFonts w:hint="eastAsia" w:ascii="宋体" w:hAnsi="宋体" w:cs="宋体"/>
          <w:color w:val="000000" w:themeColor="text1"/>
          <w:sz w:val="24"/>
        </w:rPr>
        <w:t>格式10其他资料</w:t>
      </w:r>
    </w:p>
    <w:p w14:paraId="15C01B1D">
      <w:pPr>
        <w:pStyle w:val="2"/>
        <w:ind w:firstLine="240"/>
        <w:rPr>
          <w:rFonts w:ascii="宋体" w:hAnsi="宋体" w:cs="宋体"/>
          <w:color w:val="000000" w:themeColor="text1"/>
          <w:sz w:val="24"/>
        </w:rPr>
      </w:pPr>
    </w:p>
    <w:p w14:paraId="0E9B8427">
      <w:pPr>
        <w:spacing w:line="360" w:lineRule="auto"/>
        <w:rPr>
          <w:color w:val="000000" w:themeColor="text1"/>
        </w:rPr>
      </w:pPr>
      <w:r>
        <w:rPr>
          <w:rFonts w:hint="eastAsia" w:ascii="宋体" w:hAnsi="宋体" w:cs="宋体"/>
          <w:color w:val="000000" w:themeColor="text1"/>
          <w:sz w:val="24"/>
        </w:rPr>
        <w:t>格式11</w:t>
      </w:r>
    </w:p>
    <w:p w14:paraId="16F42F26">
      <w:pPr>
        <w:spacing w:line="380" w:lineRule="exact"/>
        <w:jc w:val="center"/>
        <w:rPr>
          <w:rStyle w:val="69"/>
          <w:rFonts w:ascii="宋体"/>
          <w:b/>
          <w:bCs/>
          <w:color w:val="000000" w:themeColor="text1"/>
          <w:sz w:val="28"/>
          <w:szCs w:val="28"/>
        </w:rPr>
      </w:pPr>
      <w:r>
        <w:rPr>
          <w:rStyle w:val="69"/>
          <w:rFonts w:hint="eastAsia" w:ascii="宋体" w:hAnsi="宋体" w:cs="宋体"/>
          <w:b/>
          <w:bCs/>
          <w:color w:val="000000" w:themeColor="text1"/>
          <w:sz w:val="28"/>
          <w:szCs w:val="28"/>
        </w:rPr>
        <w:t>政府采购供应商诚信承诺书</w:t>
      </w:r>
    </w:p>
    <w:p w14:paraId="3F00C97B">
      <w:pPr>
        <w:spacing w:line="380" w:lineRule="exact"/>
        <w:jc w:val="center"/>
        <w:rPr>
          <w:rStyle w:val="69"/>
          <w:rFonts w:ascii="宋体"/>
          <w:b/>
          <w:bCs/>
          <w:color w:val="000000" w:themeColor="text1"/>
          <w:sz w:val="24"/>
        </w:rPr>
      </w:pPr>
    </w:p>
    <w:p w14:paraId="6A11BE19">
      <w:pPr>
        <w:spacing w:line="380" w:lineRule="exact"/>
        <w:ind w:firstLine="720" w:firstLineChars="300"/>
        <w:rPr>
          <w:rFonts w:ascii="宋体" w:hAnsi="宋体" w:cs="宋体"/>
          <w:color w:val="000000" w:themeColor="text1"/>
          <w:sz w:val="24"/>
        </w:rPr>
      </w:pPr>
      <w:r>
        <w:rPr>
          <w:rFonts w:hint="eastAsia" w:ascii="宋体" w:hAnsi="宋体" w:cs="宋体"/>
          <w:color w:val="000000" w:themeColor="text1"/>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354BDCC">
      <w:pPr>
        <w:spacing w:line="380" w:lineRule="exact"/>
        <w:rPr>
          <w:rFonts w:ascii="宋体" w:hAnsi="宋体" w:cs="宋体"/>
          <w:color w:val="000000" w:themeColor="text1"/>
          <w:sz w:val="24"/>
        </w:rPr>
      </w:pPr>
      <w:r>
        <w:rPr>
          <w:rFonts w:hint="eastAsia" w:ascii="宋体" w:hAnsi="宋体" w:cs="宋体"/>
          <w:color w:val="000000" w:themeColor="text1"/>
          <w:sz w:val="24"/>
        </w:rPr>
        <w:t>（一）提供虚假材料谋取中标;</w:t>
      </w:r>
    </w:p>
    <w:p w14:paraId="1A601847">
      <w:pPr>
        <w:spacing w:line="380" w:lineRule="exact"/>
        <w:rPr>
          <w:rFonts w:ascii="宋体" w:hAnsi="宋体" w:cs="宋体"/>
          <w:color w:val="000000" w:themeColor="text1"/>
          <w:sz w:val="24"/>
        </w:rPr>
      </w:pPr>
      <w:r>
        <w:rPr>
          <w:rFonts w:hint="eastAsia" w:ascii="宋体" w:hAnsi="宋体" w:cs="宋体"/>
          <w:color w:val="000000" w:themeColor="text1"/>
          <w:sz w:val="24"/>
        </w:rPr>
        <w:t>（二）采取不正当手段诋毁、排挤其他供应商;</w:t>
      </w:r>
    </w:p>
    <w:p w14:paraId="41174AF8">
      <w:pPr>
        <w:spacing w:line="380" w:lineRule="exact"/>
        <w:rPr>
          <w:rFonts w:ascii="宋体" w:hAnsi="宋体" w:cs="宋体"/>
          <w:color w:val="000000" w:themeColor="text1"/>
          <w:sz w:val="24"/>
        </w:rPr>
      </w:pPr>
      <w:r>
        <w:rPr>
          <w:rFonts w:hint="eastAsia" w:ascii="宋体" w:hAnsi="宋体" w:cs="宋体"/>
          <w:color w:val="000000" w:themeColor="text1"/>
          <w:sz w:val="24"/>
        </w:rPr>
        <w:t>（三）与招标采购单位、其他投标人恶意串通;</w:t>
      </w:r>
    </w:p>
    <w:p w14:paraId="3B48B968">
      <w:pPr>
        <w:spacing w:line="380" w:lineRule="exact"/>
        <w:rPr>
          <w:rFonts w:ascii="宋体" w:hAnsi="宋体" w:cs="宋体"/>
          <w:color w:val="000000" w:themeColor="text1"/>
          <w:sz w:val="24"/>
        </w:rPr>
      </w:pPr>
      <w:r>
        <w:rPr>
          <w:rFonts w:hint="eastAsia" w:ascii="宋体" w:hAnsi="宋体" w:cs="宋体"/>
          <w:color w:val="000000" w:themeColor="text1"/>
          <w:sz w:val="24"/>
        </w:rPr>
        <w:t>（四）向招标采购单位或提供其他不正当利益;</w:t>
      </w:r>
    </w:p>
    <w:p w14:paraId="584FDF4D">
      <w:pPr>
        <w:spacing w:line="380" w:lineRule="exact"/>
        <w:rPr>
          <w:rFonts w:ascii="宋体" w:hAnsi="宋体" w:cs="宋体"/>
          <w:color w:val="000000" w:themeColor="text1"/>
          <w:sz w:val="24"/>
        </w:rPr>
      </w:pPr>
      <w:r>
        <w:rPr>
          <w:rFonts w:hint="eastAsia" w:ascii="宋体" w:hAnsi="宋体" w:cs="宋体"/>
          <w:color w:val="000000" w:themeColor="text1"/>
          <w:sz w:val="24"/>
        </w:rPr>
        <w:t>（五）在招标过程中与招标采购单位进行协商谈判、不按照招标文件和投标文件订立合同，或者与采购人另立背离合同实质性内容协议;</w:t>
      </w:r>
    </w:p>
    <w:p w14:paraId="6046F908">
      <w:pPr>
        <w:spacing w:line="380" w:lineRule="exact"/>
        <w:rPr>
          <w:rFonts w:ascii="宋体" w:hAnsi="宋体" w:cs="宋体"/>
          <w:color w:val="000000" w:themeColor="text1"/>
          <w:sz w:val="24"/>
        </w:rPr>
      </w:pPr>
      <w:r>
        <w:rPr>
          <w:rFonts w:hint="eastAsia" w:ascii="宋体" w:hAnsi="宋体" w:cs="宋体"/>
          <w:color w:val="000000" w:themeColor="text1"/>
          <w:sz w:val="24"/>
        </w:rPr>
        <w:t>（六）开标后擅自撤销投标，影响招标继续进行的或领取招标文件纳投标保证金后不投标导致废标;</w:t>
      </w:r>
    </w:p>
    <w:p w14:paraId="4153D6B9">
      <w:pPr>
        <w:spacing w:line="380" w:lineRule="exact"/>
        <w:rPr>
          <w:rFonts w:ascii="宋体" w:hAnsi="宋体" w:cs="宋体"/>
          <w:color w:val="000000" w:themeColor="text1"/>
          <w:sz w:val="24"/>
        </w:rPr>
      </w:pPr>
      <w:r>
        <w:rPr>
          <w:rFonts w:hint="eastAsia" w:ascii="宋体" w:hAnsi="宋体" w:cs="宋体"/>
          <w:color w:val="000000" w:themeColor="text1"/>
          <w:sz w:val="24"/>
        </w:rPr>
        <w:t>（七）中标后无正当理由，在规定时间内不与采购单位签订合同;</w:t>
      </w:r>
    </w:p>
    <w:p w14:paraId="1E32CE6C">
      <w:pPr>
        <w:spacing w:line="380" w:lineRule="exact"/>
        <w:rPr>
          <w:rFonts w:ascii="宋体" w:hAnsi="宋体" w:cs="宋体"/>
          <w:color w:val="000000" w:themeColor="text1"/>
          <w:sz w:val="24"/>
        </w:rPr>
      </w:pPr>
      <w:r>
        <w:rPr>
          <w:rFonts w:hint="eastAsia" w:ascii="宋体" w:hAnsi="宋体" w:cs="宋体"/>
          <w:color w:val="000000" w:themeColor="text1"/>
          <w:sz w:val="24"/>
        </w:rPr>
        <w:t>（八）将中标项目转让给他人或非法分包他人;</w:t>
      </w:r>
    </w:p>
    <w:p w14:paraId="3584FB8B">
      <w:pPr>
        <w:spacing w:line="380" w:lineRule="exact"/>
        <w:rPr>
          <w:rFonts w:ascii="宋体" w:hAnsi="宋体" w:cs="宋体"/>
          <w:color w:val="000000" w:themeColor="text1"/>
          <w:sz w:val="24"/>
        </w:rPr>
      </w:pPr>
      <w:r>
        <w:rPr>
          <w:rFonts w:hint="eastAsia" w:ascii="宋体" w:hAnsi="宋体" w:cs="宋体"/>
          <w:color w:val="000000" w:themeColor="text1"/>
          <w:sz w:val="24"/>
        </w:rPr>
        <w:t>（九）无正当理由，拒绝履行合同义务;</w:t>
      </w:r>
    </w:p>
    <w:p w14:paraId="1D43EE1C">
      <w:pPr>
        <w:spacing w:line="380" w:lineRule="exact"/>
        <w:rPr>
          <w:rFonts w:ascii="宋体" w:hAnsi="宋体" w:cs="宋体"/>
          <w:color w:val="000000" w:themeColor="text1"/>
          <w:sz w:val="24"/>
        </w:rPr>
      </w:pPr>
      <w:r>
        <w:rPr>
          <w:rFonts w:hint="eastAsia" w:ascii="宋体" w:hAnsi="宋体" w:cs="宋体"/>
          <w:color w:val="000000" w:themeColor="text1"/>
          <w:sz w:val="24"/>
        </w:rPr>
        <w:t>（十）无正当理由放弃中标（成交）项目;</w:t>
      </w:r>
    </w:p>
    <w:p w14:paraId="5E1A035B">
      <w:pPr>
        <w:spacing w:line="380" w:lineRule="exact"/>
        <w:rPr>
          <w:rFonts w:ascii="宋体" w:hAnsi="宋体" w:cs="宋体"/>
          <w:color w:val="000000" w:themeColor="text1"/>
          <w:sz w:val="24"/>
        </w:rPr>
      </w:pPr>
      <w:r>
        <w:rPr>
          <w:rFonts w:hint="eastAsia" w:ascii="宋体" w:hAnsi="宋体" w:cs="宋体"/>
          <w:color w:val="000000" w:themeColor="text1"/>
          <w:sz w:val="24"/>
        </w:rPr>
        <w:t>（十ー）撞自或与与采购人串通或接受采购人要求，在履约合同中通过减少货物数量，更换品牌、降低配置、技术要求、质量和服务标准等，却仍按原合同进行虚假验收或终止政府采购合同;</w:t>
      </w:r>
    </w:p>
    <w:p w14:paraId="2BDED7E5">
      <w:pPr>
        <w:spacing w:line="380" w:lineRule="exact"/>
        <w:rPr>
          <w:rFonts w:ascii="宋体" w:hAnsi="宋体" w:cs="宋体"/>
          <w:color w:val="000000" w:themeColor="text1"/>
          <w:sz w:val="24"/>
        </w:rPr>
      </w:pPr>
      <w:r>
        <w:rPr>
          <w:rFonts w:hint="eastAsia" w:ascii="宋体" w:hAnsi="宋体" w:cs="宋体"/>
          <w:color w:val="000000" w:themeColor="text1"/>
          <w:sz w:val="24"/>
        </w:rPr>
        <w:t>（十二）与采购人串通，对尚未履约完毕的采购项目出具虚假验收报告；</w:t>
      </w:r>
    </w:p>
    <w:p w14:paraId="4BDC6BBD">
      <w:pPr>
        <w:spacing w:line="380" w:lineRule="exact"/>
        <w:rPr>
          <w:rFonts w:ascii="宋体" w:hAnsi="宋体" w:cs="宋体"/>
          <w:color w:val="000000" w:themeColor="text1"/>
          <w:sz w:val="24"/>
        </w:rPr>
      </w:pPr>
      <w:r>
        <w:rPr>
          <w:rFonts w:hint="eastAsia" w:ascii="宋体" w:hAnsi="宋体" w:cs="宋体"/>
          <w:color w:val="000000" w:themeColor="text1"/>
          <w:sz w:val="24"/>
        </w:rPr>
        <w:t>（十三）无不可抗力因素，拒绝提供售后服务、售后服务态度恶劣、故意提高维修配件价格（高于市场平均价）；</w:t>
      </w:r>
    </w:p>
    <w:p w14:paraId="34B87B73">
      <w:pPr>
        <w:spacing w:line="380" w:lineRule="exact"/>
        <w:rPr>
          <w:rFonts w:ascii="宋体" w:hAnsi="宋体" w:cs="宋体"/>
          <w:color w:val="000000" w:themeColor="text1"/>
          <w:sz w:val="24"/>
        </w:rPr>
      </w:pPr>
      <w:r>
        <w:rPr>
          <w:rFonts w:hint="eastAsia" w:ascii="宋体" w:hAnsi="宋体" w:cs="宋体"/>
          <w:color w:val="000000" w:themeColor="text1"/>
          <w:sz w:val="24"/>
        </w:rPr>
        <w:t>（十四）开标后对招标文件的相关内容再进行质疑；</w:t>
      </w:r>
    </w:p>
    <w:p w14:paraId="242DA6C8">
      <w:pPr>
        <w:spacing w:line="380" w:lineRule="exact"/>
        <w:rPr>
          <w:rFonts w:ascii="宋体" w:hAnsi="宋体" w:cs="宋体"/>
          <w:color w:val="000000" w:themeColor="text1"/>
          <w:sz w:val="24"/>
        </w:rPr>
      </w:pPr>
      <w:r>
        <w:rPr>
          <w:rFonts w:hint="eastAsia" w:ascii="宋体" w:hAnsi="宋体" w:cs="宋体"/>
          <w:color w:val="000000" w:themeColor="text1"/>
          <w:sz w:val="24"/>
        </w:rPr>
        <w:t>（十五）恶意投诉的行为：投诉经查无实据的、捏造事实或者提供虚假设诉材料；</w:t>
      </w:r>
    </w:p>
    <w:p w14:paraId="655182A5">
      <w:pPr>
        <w:spacing w:line="380" w:lineRule="exact"/>
        <w:rPr>
          <w:rFonts w:ascii="宋体" w:hAnsi="宋体" w:cs="宋体"/>
          <w:color w:val="000000" w:themeColor="text1"/>
          <w:sz w:val="24"/>
        </w:rPr>
      </w:pPr>
      <w:r>
        <w:rPr>
          <w:rFonts w:hint="eastAsia" w:ascii="宋体" w:hAnsi="宋体" w:cs="宋体"/>
          <w:color w:val="000000" w:themeColor="text1"/>
          <w:sz w:val="24"/>
        </w:rPr>
        <w:t>（十六）拒绝有关部门监督检查或者提供虚假情况；</w:t>
      </w:r>
    </w:p>
    <w:p w14:paraId="68D55191">
      <w:pPr>
        <w:spacing w:line="380" w:lineRule="exact"/>
        <w:rPr>
          <w:rFonts w:ascii="宋体" w:hAnsi="宋体" w:cs="宋体"/>
          <w:color w:val="000000" w:themeColor="text1"/>
          <w:sz w:val="24"/>
        </w:rPr>
      </w:pPr>
      <w:r>
        <w:rPr>
          <w:rFonts w:hint="eastAsia" w:ascii="宋体" w:hAnsi="宋体" w:cs="宋体"/>
          <w:color w:val="000000" w:themeColor="text1"/>
          <w:sz w:val="24"/>
        </w:rPr>
        <w:t>（十七）政府采购监管部门认定的其他政府采购活动中的不诚信行为。</w:t>
      </w:r>
    </w:p>
    <w:p w14:paraId="1B68A365">
      <w:pPr>
        <w:spacing w:line="380" w:lineRule="exact"/>
        <w:ind w:firstLine="3360" w:firstLineChars="1400"/>
        <w:rPr>
          <w:rFonts w:ascii="宋体" w:hAnsi="宋体" w:cs="宋体"/>
          <w:color w:val="000000" w:themeColor="text1"/>
          <w:sz w:val="24"/>
        </w:rPr>
      </w:pPr>
    </w:p>
    <w:p w14:paraId="52D3CCD7">
      <w:pPr>
        <w:spacing w:line="380" w:lineRule="exact"/>
        <w:ind w:firstLine="3360" w:firstLineChars="1400"/>
        <w:rPr>
          <w:rFonts w:ascii="宋体" w:hAnsi="宋体" w:cs="宋体"/>
          <w:color w:val="000000" w:themeColor="text1"/>
          <w:sz w:val="24"/>
        </w:rPr>
      </w:pPr>
      <w:r>
        <w:rPr>
          <w:rFonts w:hint="eastAsia" w:ascii="宋体" w:hAnsi="宋体" w:cs="宋体"/>
          <w:color w:val="000000" w:themeColor="text1"/>
          <w:sz w:val="24"/>
        </w:rPr>
        <w:t>供应商名称：（盖章）</w:t>
      </w:r>
    </w:p>
    <w:p w14:paraId="7B965CB2">
      <w:pPr>
        <w:spacing w:line="380" w:lineRule="exact"/>
        <w:ind w:firstLine="3360" w:firstLineChars="1400"/>
        <w:rPr>
          <w:rFonts w:ascii="宋体" w:hAnsi="宋体" w:cs="宋体"/>
          <w:color w:val="000000" w:themeColor="text1"/>
          <w:sz w:val="24"/>
        </w:rPr>
      </w:pPr>
      <w:r>
        <w:rPr>
          <w:rFonts w:hint="eastAsia" w:ascii="宋体" w:hAnsi="宋体" w:cs="宋体"/>
          <w:color w:val="000000" w:themeColor="text1"/>
          <w:sz w:val="24"/>
        </w:rPr>
        <w:t>法定代表人：（签字）</w:t>
      </w:r>
    </w:p>
    <w:p w14:paraId="7F0214B2">
      <w:pPr>
        <w:spacing w:line="380" w:lineRule="exact"/>
        <w:ind w:firstLine="3360" w:firstLineChars="1400"/>
        <w:rPr>
          <w:rFonts w:ascii="宋体" w:hAnsi="宋体" w:cs="宋体"/>
          <w:color w:val="000000" w:themeColor="text1"/>
          <w:sz w:val="24"/>
        </w:rPr>
      </w:pPr>
    </w:p>
    <w:p w14:paraId="1F5326C7">
      <w:pPr>
        <w:spacing w:line="380" w:lineRule="exact"/>
        <w:ind w:firstLine="3360" w:firstLineChars="1400"/>
        <w:rPr>
          <w:rFonts w:ascii="宋体" w:hAnsi="宋体" w:cs="宋体"/>
          <w:b/>
          <w:color w:val="000000" w:themeColor="text1"/>
          <w:sz w:val="24"/>
        </w:rPr>
      </w:pPr>
      <w:r>
        <w:rPr>
          <w:rFonts w:hint="eastAsia" w:ascii="宋体" w:hAnsi="宋体" w:cs="宋体"/>
          <w:color w:val="000000" w:themeColor="text1"/>
          <w:sz w:val="24"/>
        </w:rPr>
        <w:t>日期： 年 月 日</w:t>
      </w:r>
    </w:p>
    <w:p w14:paraId="0BC12A62">
      <w:pPr>
        <w:pStyle w:val="4"/>
        <w:jc w:val="center"/>
        <w:rPr>
          <w:color w:val="000000" w:themeColor="text1"/>
        </w:rPr>
      </w:pPr>
      <w:bookmarkStart w:id="61" w:name="_Toc138765850"/>
      <w:r>
        <w:rPr>
          <w:rFonts w:hint="eastAsia"/>
          <w:color w:val="000000" w:themeColor="text1"/>
        </w:rPr>
        <w:t xml:space="preserve">第五章  </w:t>
      </w:r>
      <w:r>
        <w:rPr>
          <w:rFonts w:hint="eastAsia"/>
          <w:color w:val="000000" w:themeColor="text1"/>
          <w:w w:val="92"/>
        </w:rPr>
        <w:t>周口市</w:t>
      </w:r>
      <w:r>
        <w:rPr>
          <w:rFonts w:hint="eastAsia"/>
          <w:color w:val="000000" w:themeColor="text1"/>
        </w:rPr>
        <w:t>政府采购合同（服务类）标准文本</w:t>
      </w:r>
      <w:bookmarkEnd w:id="61"/>
    </w:p>
    <w:p w14:paraId="09E1580C">
      <w:pPr>
        <w:ind w:firstLine="640" w:firstLineChars="200"/>
        <w:rPr>
          <w:rFonts w:ascii="宋体" w:hAnsi="宋体" w:cs="宋体"/>
          <w:color w:val="000000" w:themeColor="text1"/>
          <w:sz w:val="32"/>
          <w:szCs w:val="32"/>
        </w:rPr>
      </w:pPr>
    </w:p>
    <w:p w14:paraId="721C1EEB">
      <w:pPr>
        <w:pStyle w:val="82"/>
        <w:spacing w:beforeLines="0" w:afterLines="0"/>
        <w:ind w:left="0" w:firstLine="640" w:firstLineChars="200"/>
        <w:rPr>
          <w:rFonts w:ascii="宋体" w:hAnsi="宋体" w:cs="宋体"/>
          <w:color w:val="000000" w:themeColor="text1"/>
          <w:sz w:val="32"/>
          <w:szCs w:val="32"/>
        </w:rPr>
      </w:pPr>
    </w:p>
    <w:p w14:paraId="303ED7C3">
      <w:pPr>
        <w:pStyle w:val="82"/>
        <w:spacing w:beforeLines="0" w:afterLines="0"/>
        <w:ind w:left="0" w:firstLine="640" w:firstLineChars="200"/>
        <w:rPr>
          <w:rFonts w:ascii="宋体" w:hAnsi="宋体" w:cs="宋体"/>
          <w:color w:val="000000" w:themeColor="text1"/>
          <w:sz w:val="32"/>
          <w:szCs w:val="32"/>
        </w:rPr>
      </w:pPr>
    </w:p>
    <w:p w14:paraId="2D50182C">
      <w:pPr>
        <w:pStyle w:val="82"/>
        <w:spacing w:beforeLines="0" w:afterLines="0"/>
        <w:ind w:left="0" w:firstLine="600" w:firstLineChars="200"/>
        <w:rPr>
          <w:rFonts w:ascii="宋体" w:hAnsi="宋体" w:cs="宋体"/>
          <w:color w:val="000000" w:themeColor="text1"/>
          <w:sz w:val="30"/>
          <w:szCs w:val="30"/>
        </w:rPr>
      </w:pPr>
    </w:p>
    <w:p w14:paraId="5004A647">
      <w:pPr>
        <w:pStyle w:val="82"/>
        <w:spacing w:beforeLines="0" w:afterLines="0"/>
        <w:ind w:left="0" w:firstLine="600" w:firstLineChars="200"/>
        <w:rPr>
          <w:rFonts w:ascii="宋体" w:hAnsi="宋体" w:cs="宋体"/>
          <w:color w:val="000000" w:themeColor="text1"/>
          <w:sz w:val="30"/>
          <w:szCs w:val="30"/>
        </w:rPr>
      </w:pPr>
    </w:p>
    <w:p w14:paraId="5D1EAC15">
      <w:pPr>
        <w:pStyle w:val="82"/>
        <w:spacing w:beforeLines="0" w:afterLines="0"/>
        <w:ind w:left="0" w:firstLine="600" w:firstLineChars="200"/>
        <w:rPr>
          <w:rFonts w:ascii="宋体" w:hAnsi="宋体" w:cs="宋体"/>
          <w:color w:val="000000" w:themeColor="text1"/>
          <w:sz w:val="30"/>
          <w:szCs w:val="30"/>
        </w:rPr>
      </w:pPr>
    </w:p>
    <w:p w14:paraId="4E7A4A2C">
      <w:pPr>
        <w:pStyle w:val="82"/>
        <w:spacing w:beforeLines="0" w:afterLines="0"/>
        <w:ind w:left="0" w:firstLine="600" w:firstLineChars="200"/>
        <w:rPr>
          <w:rFonts w:ascii="宋体" w:hAnsi="宋体" w:cs="宋体"/>
          <w:color w:val="000000" w:themeColor="text1"/>
          <w:sz w:val="30"/>
          <w:szCs w:val="30"/>
        </w:rPr>
      </w:pPr>
    </w:p>
    <w:p w14:paraId="287400B2">
      <w:pPr>
        <w:pStyle w:val="82"/>
        <w:spacing w:beforeLines="0" w:afterLines="0"/>
        <w:ind w:left="0" w:firstLine="600" w:firstLineChars="200"/>
        <w:rPr>
          <w:rFonts w:ascii="宋体" w:hAnsi="宋体" w:cs="宋体"/>
          <w:color w:val="000000" w:themeColor="text1"/>
          <w:sz w:val="30"/>
          <w:szCs w:val="30"/>
        </w:rPr>
      </w:pPr>
    </w:p>
    <w:p w14:paraId="59B4F42D">
      <w:pPr>
        <w:pStyle w:val="82"/>
        <w:spacing w:beforeLines="0" w:afterLines="0"/>
        <w:ind w:left="0" w:firstLine="600" w:firstLineChars="200"/>
        <w:rPr>
          <w:rFonts w:ascii="宋体" w:hAnsi="宋体" w:cs="宋体"/>
          <w:color w:val="000000" w:themeColor="text1"/>
          <w:sz w:val="30"/>
          <w:szCs w:val="30"/>
        </w:rPr>
      </w:pPr>
    </w:p>
    <w:p w14:paraId="7B0EF2A7">
      <w:pPr>
        <w:pStyle w:val="8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政府采购项目名称：</w:t>
      </w:r>
    </w:p>
    <w:p w14:paraId="5C2D470A">
      <w:pPr>
        <w:pStyle w:val="8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政府采购项目编号：</w:t>
      </w:r>
    </w:p>
    <w:p w14:paraId="55ACADB5">
      <w:pPr>
        <w:pStyle w:val="8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采      购    人：</w:t>
      </w:r>
    </w:p>
    <w:p w14:paraId="5EBABF67">
      <w:pPr>
        <w:pStyle w:val="8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供      应    商：</w:t>
      </w:r>
    </w:p>
    <w:p w14:paraId="5C8F22E3">
      <w:pPr>
        <w:pStyle w:val="8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合  同  签 订 地：</w:t>
      </w:r>
    </w:p>
    <w:p w14:paraId="1DD606C8">
      <w:pPr>
        <w:pStyle w:val="82"/>
        <w:spacing w:beforeLines="0" w:afterLines="0"/>
        <w:ind w:left="0" w:firstLine="600" w:firstLineChars="200"/>
        <w:rPr>
          <w:rFonts w:ascii="宋体" w:hAnsi="宋体" w:cs="宋体"/>
          <w:color w:val="000000" w:themeColor="text1"/>
          <w:sz w:val="30"/>
          <w:szCs w:val="30"/>
        </w:rPr>
      </w:pPr>
      <w:r>
        <w:rPr>
          <w:rFonts w:hint="eastAsia" w:ascii="宋体" w:hAnsi="宋体" w:cs="宋体"/>
          <w:color w:val="000000" w:themeColor="text1"/>
          <w:sz w:val="30"/>
          <w:szCs w:val="30"/>
        </w:rPr>
        <w:t>合 同 签订 时 间：</w:t>
      </w:r>
    </w:p>
    <w:p w14:paraId="43EBDB2D">
      <w:pPr>
        <w:pStyle w:val="82"/>
        <w:spacing w:beforeLines="0" w:afterLines="0"/>
        <w:ind w:left="0" w:firstLine="600" w:firstLineChars="200"/>
        <w:rPr>
          <w:rFonts w:ascii="宋体" w:hAnsi="宋体" w:cs="宋体"/>
          <w:color w:val="000000" w:themeColor="text1"/>
          <w:sz w:val="30"/>
          <w:szCs w:val="30"/>
        </w:rPr>
      </w:pPr>
    </w:p>
    <w:p w14:paraId="613BBE7D">
      <w:pPr>
        <w:pStyle w:val="82"/>
        <w:spacing w:beforeLines="0" w:afterLines="0"/>
        <w:ind w:left="0" w:firstLine="600" w:firstLineChars="200"/>
        <w:rPr>
          <w:rFonts w:ascii="宋体" w:hAnsi="宋体" w:cs="宋体"/>
          <w:color w:val="000000" w:themeColor="text1"/>
          <w:sz w:val="30"/>
          <w:szCs w:val="30"/>
        </w:rPr>
      </w:pPr>
    </w:p>
    <w:p w14:paraId="68C01D17">
      <w:pPr>
        <w:pStyle w:val="82"/>
        <w:spacing w:beforeLines="0" w:afterLines="0"/>
        <w:ind w:left="0" w:firstLine="600" w:firstLineChars="200"/>
        <w:rPr>
          <w:rFonts w:ascii="宋体" w:hAnsi="宋体" w:cs="宋体"/>
          <w:color w:val="000000" w:themeColor="text1"/>
          <w:sz w:val="30"/>
          <w:szCs w:val="30"/>
        </w:rPr>
      </w:pPr>
    </w:p>
    <w:p w14:paraId="694E2EA7">
      <w:pPr>
        <w:pStyle w:val="82"/>
        <w:spacing w:beforeLines="0" w:afterLines="0"/>
        <w:ind w:left="0" w:firstLine="600" w:firstLineChars="200"/>
        <w:rPr>
          <w:rFonts w:ascii="宋体" w:hAnsi="宋体" w:cs="宋体"/>
          <w:color w:val="000000" w:themeColor="text1"/>
          <w:sz w:val="30"/>
          <w:szCs w:val="30"/>
        </w:rPr>
      </w:pPr>
    </w:p>
    <w:p w14:paraId="7EA2D143">
      <w:pPr>
        <w:pStyle w:val="82"/>
        <w:spacing w:beforeLines="0" w:afterLines="0" w:line="440" w:lineRule="exact"/>
        <w:ind w:left="0"/>
        <w:jc w:val="center"/>
        <w:rPr>
          <w:rFonts w:ascii="宋体" w:hAnsi="宋体" w:cs="宋体"/>
          <w:color w:val="000000" w:themeColor="text1"/>
          <w:sz w:val="32"/>
          <w:szCs w:val="32"/>
        </w:rPr>
      </w:pPr>
      <w:r>
        <w:rPr>
          <w:rFonts w:hint="eastAsia" w:ascii="宋体" w:hAnsi="宋体" w:cs="宋体"/>
          <w:color w:val="000000" w:themeColor="text1"/>
          <w:sz w:val="32"/>
          <w:szCs w:val="32"/>
        </w:rPr>
        <w:t>合同签订指引</w:t>
      </w:r>
    </w:p>
    <w:p w14:paraId="480E6F4B">
      <w:pPr>
        <w:pStyle w:val="82"/>
        <w:spacing w:beforeLines="0" w:afterLines="0" w:line="440" w:lineRule="exact"/>
        <w:ind w:left="0"/>
        <w:rPr>
          <w:rFonts w:ascii="宋体" w:hAnsi="宋体" w:cs="宋体"/>
          <w:color w:val="000000" w:themeColor="text1"/>
          <w:sz w:val="30"/>
          <w:szCs w:val="30"/>
        </w:rPr>
      </w:pPr>
    </w:p>
    <w:p w14:paraId="7464CD1A">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一、采购人在签订合同时应提供的资料：</w:t>
      </w:r>
    </w:p>
    <w:p w14:paraId="7DBE539B">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1、该政府采购项目的招标采购文件（以网上发布内容为准）；</w:t>
      </w:r>
    </w:p>
    <w:p w14:paraId="03AFB6E8">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2、该政府采购项目招标文件的澄清和修改内容（公告内容）；</w:t>
      </w:r>
    </w:p>
    <w:p w14:paraId="4A720C72">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3、该政府采购项目评审报告；</w:t>
      </w:r>
    </w:p>
    <w:p w14:paraId="1AE0E10E">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4、采购单位法人授权委托书（法人到场并签字的除外）；</w:t>
      </w:r>
    </w:p>
    <w:p w14:paraId="374EDDF3">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5、采购单位被授权人身份证件（法人到场并签字的除外）；</w:t>
      </w:r>
    </w:p>
    <w:p w14:paraId="3AE586F7">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6、采购人和中标供应商（或服务商，下同）约定的其它内容（不得超出招标采购文件实质性内容）。</w:t>
      </w:r>
    </w:p>
    <w:p w14:paraId="5FACD853">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二、供应商在签订合同时应提供的资料：</w:t>
      </w:r>
    </w:p>
    <w:p w14:paraId="5BCAAB5E">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1、该政府采购项目的投标文件（纸质或PDF格式的电子投标文件）；</w:t>
      </w:r>
    </w:p>
    <w:p w14:paraId="1AF03628">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2、针对该项目评审时评审委员会提出的质询答复（纸质并签章）；</w:t>
      </w:r>
    </w:p>
    <w:p w14:paraId="1FFAF9CD">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3、该政府采购项目中标通知书；</w:t>
      </w:r>
    </w:p>
    <w:p w14:paraId="66B96FAE">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4、供应商法人授权委托书（法人到场并签字的除外）；</w:t>
      </w:r>
    </w:p>
    <w:p w14:paraId="099D54AC">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5、供应商被授权人身份证件（法人到场并签字的除外）；</w:t>
      </w:r>
    </w:p>
    <w:p w14:paraId="28D35127">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6、供应商和采购人约定的其它内容（不得超出招标采购文件实质性内容）。</w:t>
      </w:r>
    </w:p>
    <w:p w14:paraId="6E908C70">
      <w:pPr>
        <w:pStyle w:val="82"/>
        <w:spacing w:beforeLines="0" w:afterLines="0" w:line="440" w:lineRule="exact"/>
        <w:ind w:left="0" w:firstLine="420" w:firstLineChars="200"/>
        <w:rPr>
          <w:rFonts w:ascii="宋体" w:hAnsi="宋体" w:cs="宋体"/>
          <w:color w:val="000000" w:themeColor="text1"/>
          <w:sz w:val="30"/>
          <w:szCs w:val="30"/>
        </w:rPr>
      </w:pPr>
      <w:r>
        <w:rPr>
          <w:rFonts w:hint="eastAsia" w:ascii="宋体" w:hAnsi="宋体" w:cs="宋体"/>
          <w:color w:val="000000" w:themeColor="text1"/>
          <w:szCs w:val="21"/>
        </w:rPr>
        <w:t>三、本合同签订后1个工作日内有采购人在“周口市政府采购网”上进行合同公示。</w:t>
      </w:r>
    </w:p>
    <w:p w14:paraId="5088818D">
      <w:pPr>
        <w:pStyle w:val="82"/>
        <w:spacing w:beforeLines="0" w:afterLines="0" w:line="440" w:lineRule="exact"/>
        <w:ind w:left="0"/>
        <w:jc w:val="center"/>
        <w:rPr>
          <w:rFonts w:ascii="宋体" w:hAnsi="宋体" w:cs="宋体"/>
          <w:bCs/>
          <w:color w:val="000000" w:themeColor="text1"/>
          <w:sz w:val="32"/>
          <w:szCs w:val="32"/>
        </w:rPr>
      </w:pPr>
    </w:p>
    <w:p w14:paraId="4C48DC57">
      <w:pPr>
        <w:pStyle w:val="82"/>
        <w:spacing w:beforeLines="0" w:afterLines="0" w:line="440" w:lineRule="exact"/>
        <w:ind w:left="0"/>
        <w:jc w:val="center"/>
        <w:rPr>
          <w:rFonts w:ascii="宋体" w:hAnsi="宋体" w:cs="宋体"/>
          <w:color w:val="000000" w:themeColor="text1"/>
          <w:sz w:val="32"/>
          <w:szCs w:val="32"/>
        </w:rPr>
      </w:pPr>
      <w:r>
        <w:rPr>
          <w:rFonts w:hint="eastAsia" w:ascii="宋体" w:hAnsi="宋体" w:cs="宋体"/>
          <w:bCs/>
          <w:color w:val="000000" w:themeColor="text1"/>
          <w:sz w:val="32"/>
          <w:szCs w:val="32"/>
        </w:rPr>
        <w:t>供应商履约验收指引</w:t>
      </w:r>
    </w:p>
    <w:p w14:paraId="78F528E4">
      <w:pPr>
        <w:pStyle w:val="82"/>
        <w:spacing w:beforeLines="0" w:afterLines="0" w:line="440" w:lineRule="exact"/>
        <w:ind w:left="0" w:firstLine="420" w:firstLineChars="200"/>
        <w:rPr>
          <w:rFonts w:ascii="宋体" w:hAnsi="宋体" w:cs="宋体"/>
          <w:color w:val="000000" w:themeColor="text1"/>
          <w:szCs w:val="27"/>
        </w:rPr>
      </w:pPr>
      <w:r>
        <w:rPr>
          <w:rFonts w:hint="eastAsia" w:ascii="宋体" w:hAnsi="宋体" w:cs="宋体"/>
          <w:color w:val="000000" w:themeColor="text1"/>
          <w:szCs w:val="21"/>
        </w:rPr>
        <w:t>1、供应商不得擅自变更合同标的服务内容；</w:t>
      </w:r>
    </w:p>
    <w:p w14:paraId="069E3FBC">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2、不得以次充优，随意降低服务标准和水平；</w:t>
      </w:r>
    </w:p>
    <w:p w14:paraId="3A0F780A">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3、对因客观上采购人采购需求发生变化造成的，应提供采、供双方的纸质备忘录材料；</w:t>
      </w:r>
    </w:p>
    <w:p w14:paraId="0632F0F0">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4、在满足验收条件5个工作日内通知采购人组织验收；</w:t>
      </w:r>
    </w:p>
    <w:p w14:paraId="5E523AEC">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5、供应商应提供需验收服务的清单、标准、达到的水平等量化资料；</w:t>
      </w:r>
    </w:p>
    <w:p w14:paraId="7E112AD2">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6、采、供双方约定的验收机构及相关人员组成情况。</w:t>
      </w:r>
    </w:p>
    <w:p w14:paraId="7275A9EB">
      <w:pPr>
        <w:pStyle w:val="82"/>
        <w:spacing w:beforeLines="0" w:afterLines="0" w:line="440" w:lineRule="exact"/>
        <w:ind w:left="0" w:firstLine="420" w:firstLineChars="200"/>
        <w:rPr>
          <w:rFonts w:ascii="宋体" w:hAnsi="宋体" w:cs="宋体"/>
          <w:color w:val="000000" w:themeColor="text1"/>
          <w:szCs w:val="21"/>
        </w:rPr>
      </w:pPr>
      <w:r>
        <w:rPr>
          <w:rFonts w:hint="eastAsia" w:ascii="宋体" w:hAnsi="宋体" w:cs="宋体"/>
          <w:color w:val="000000" w:themeColor="text1"/>
          <w:szCs w:val="21"/>
        </w:rPr>
        <w:t>7、督促采购人在项目验收结束并达到相关要求后一个工作日内，在“周口市政府采购网”上进行“履约验收”公示。</w:t>
      </w:r>
    </w:p>
    <w:p w14:paraId="566F5828">
      <w:pPr>
        <w:rPr>
          <w:color w:val="000000" w:themeColor="text1"/>
        </w:rPr>
      </w:pPr>
    </w:p>
    <w:p w14:paraId="7A08A99D">
      <w:pPr>
        <w:rPr>
          <w:color w:val="000000" w:themeColor="text1"/>
        </w:rPr>
      </w:pPr>
    </w:p>
    <w:p w14:paraId="34B87A52">
      <w:pPr>
        <w:pStyle w:val="2"/>
        <w:ind w:firstLine="210"/>
        <w:rPr>
          <w:color w:val="000000" w:themeColor="text1"/>
        </w:rPr>
      </w:pPr>
    </w:p>
    <w:p w14:paraId="2B236F4E">
      <w:pPr>
        <w:pStyle w:val="2"/>
        <w:ind w:firstLine="210"/>
        <w:rPr>
          <w:color w:val="000000" w:themeColor="text1"/>
        </w:rPr>
      </w:pPr>
    </w:p>
    <w:p w14:paraId="7B4B1825">
      <w:pPr>
        <w:pStyle w:val="5"/>
        <w:spacing w:line="500" w:lineRule="exact"/>
        <w:rPr>
          <w:rFonts w:ascii="宋体" w:hAnsi="宋体" w:cs="宋体"/>
          <w:color w:val="000000" w:themeColor="text1"/>
          <w:sz w:val="44"/>
          <w:szCs w:val="44"/>
        </w:rPr>
      </w:pPr>
      <w:bookmarkStart w:id="62" w:name="_Toc138765851"/>
      <w:r>
        <w:rPr>
          <w:rFonts w:hint="eastAsia" w:ascii="宋体" w:hAnsi="宋体" w:cs="宋体"/>
          <w:color w:val="000000" w:themeColor="text1"/>
          <w:sz w:val="44"/>
          <w:szCs w:val="44"/>
        </w:rPr>
        <w:t>服务合同内容</w:t>
      </w:r>
      <w:bookmarkEnd w:id="62"/>
    </w:p>
    <w:p w14:paraId="25BDA93D">
      <w:pPr>
        <w:spacing w:line="360" w:lineRule="auto"/>
        <w:ind w:firstLine="420" w:firstLineChars="200"/>
        <w:rPr>
          <w:rFonts w:ascii="宋体" w:hAnsi="宋体" w:cs="宋体"/>
          <w:color w:val="000000" w:themeColor="text1"/>
          <w:szCs w:val="27"/>
          <w:u w:val="single"/>
        </w:rPr>
      </w:pPr>
      <w:r>
        <w:rPr>
          <w:rFonts w:hint="eastAsia" w:ascii="宋体" w:hAnsi="宋体" w:cs="宋体"/>
          <w:color w:val="000000" w:themeColor="text1"/>
          <w:szCs w:val="27"/>
        </w:rPr>
        <w:t xml:space="preserve">采购人（甲方）： </w:t>
      </w:r>
    </w:p>
    <w:p w14:paraId="002A63E7">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供应商（乙方）：</w:t>
      </w:r>
    </w:p>
    <w:p w14:paraId="2351BA1F">
      <w:pPr>
        <w:spacing w:line="360" w:lineRule="auto"/>
        <w:ind w:firstLine="420" w:firstLineChars="200"/>
        <w:rPr>
          <w:rFonts w:ascii="宋体" w:hAnsi="宋体" w:cs="宋体"/>
          <w:color w:val="000000" w:themeColor="text1"/>
          <w:szCs w:val="27"/>
          <w:u w:val="single"/>
        </w:rPr>
      </w:pPr>
      <w:r>
        <w:rPr>
          <w:rFonts w:hint="eastAsia" w:ascii="宋体" w:hAnsi="宋体" w:cs="宋体"/>
          <w:color w:val="000000" w:themeColor="text1"/>
          <w:szCs w:val="27"/>
        </w:rPr>
        <w:t>签订地点：</w:t>
      </w:r>
    </w:p>
    <w:p w14:paraId="304FFDD0">
      <w:pPr>
        <w:spacing w:line="360" w:lineRule="auto"/>
        <w:ind w:firstLine="420" w:firstLineChars="200"/>
        <w:rPr>
          <w:rFonts w:ascii="宋体" w:hAnsi="宋体" w:cs="宋体"/>
          <w:color w:val="000000" w:themeColor="text1"/>
          <w:szCs w:val="27"/>
          <w:u w:val="single"/>
        </w:rPr>
      </w:pPr>
      <w:r>
        <w:rPr>
          <w:rFonts w:hint="eastAsia" w:ascii="宋体" w:hAnsi="宋体" w:cs="宋体"/>
          <w:color w:val="000000" w:themeColor="text1"/>
          <w:szCs w:val="27"/>
        </w:rPr>
        <w:t>项目名称：</w:t>
      </w:r>
    </w:p>
    <w:p w14:paraId="23031BC8">
      <w:pPr>
        <w:spacing w:line="360" w:lineRule="auto"/>
        <w:ind w:firstLine="420" w:firstLineChars="200"/>
        <w:rPr>
          <w:rFonts w:ascii="宋体" w:hAnsi="宋体" w:cs="宋体"/>
          <w:color w:val="000000" w:themeColor="text1"/>
          <w:szCs w:val="27"/>
          <w:u w:val="single"/>
        </w:rPr>
      </w:pPr>
      <w:r>
        <w:rPr>
          <w:rFonts w:hint="eastAsia" w:ascii="宋体" w:hAnsi="宋体" w:cs="宋体"/>
          <w:color w:val="000000" w:themeColor="text1"/>
          <w:szCs w:val="27"/>
        </w:rPr>
        <w:t>项目编号：</w:t>
      </w:r>
    </w:p>
    <w:p w14:paraId="1502E30A">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7"/>
        </w:rPr>
        <w:t>财政委托号：</w:t>
      </w: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(财政资金项目必须填写)</w:t>
      </w:r>
    </w:p>
    <w:p w14:paraId="18EA5F01">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7"/>
        </w:rPr>
        <w:t>本项目经批准采用</w:t>
      </w:r>
      <w:r>
        <w:rPr>
          <w:rFonts w:hint="eastAsia" w:ascii="宋体" w:hAnsi="宋体" w:cs="宋体"/>
          <w:color w:val="000000" w:themeColor="text1"/>
          <w:szCs w:val="27"/>
          <w:u w:val="single"/>
        </w:rPr>
        <w:t xml:space="preserve">  竞争性磋商  </w:t>
      </w:r>
      <w:r>
        <w:rPr>
          <w:rFonts w:hint="eastAsia" w:ascii="宋体" w:hAnsi="宋体" w:cs="宋体"/>
          <w:color w:val="000000" w:themeColor="text1"/>
          <w:szCs w:val="27"/>
        </w:rPr>
        <w:t>采购方式，经本项目评审委员会认真评审，决定将采购合同授予乙方。为进一步明确双方的责任，确保合同的顺利履行，根据《中华人民共和国政府采购法》、《中华人民共和国民法典》之规定，经甲乙双方充分协商，特订立本合同，以便共同遵守。</w:t>
      </w:r>
    </w:p>
    <w:p w14:paraId="13C96A0E">
      <w:pPr>
        <w:spacing w:line="360" w:lineRule="auto"/>
        <w:ind w:firstLine="422" w:firstLineChars="200"/>
        <w:rPr>
          <w:rFonts w:ascii="宋体" w:hAnsi="宋体" w:cs="宋体"/>
          <w:color w:val="000000" w:themeColor="text1"/>
          <w:szCs w:val="20"/>
          <w:u w:val="single"/>
        </w:rPr>
      </w:pPr>
      <w:r>
        <w:rPr>
          <w:rFonts w:hint="eastAsia" w:ascii="宋体" w:hAnsi="宋体" w:cs="宋体"/>
          <w:b/>
          <w:bCs/>
          <w:color w:val="000000" w:themeColor="text1"/>
          <w:szCs w:val="27"/>
        </w:rPr>
        <w:t>第一条</w:t>
      </w:r>
      <w:r>
        <w:rPr>
          <w:rFonts w:hint="eastAsia" w:ascii="宋体" w:hAnsi="宋体" w:cs="宋体"/>
          <w:color w:val="000000" w:themeColor="text1"/>
          <w:szCs w:val="27"/>
        </w:rPr>
        <w:t>   服务的内容、标准、数量和价格：（若服务项目过多则见附表，如有附表则必须加盖印章）</w:t>
      </w:r>
    </w:p>
    <w:tbl>
      <w:tblPr>
        <w:tblStyle w:val="32"/>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B0A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C8F2253">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服务内容</w:t>
            </w:r>
          </w:p>
        </w:tc>
        <w:tc>
          <w:tcPr>
            <w:tcW w:w="1623" w:type="dxa"/>
          </w:tcPr>
          <w:p w14:paraId="7CE392BE">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标准水平</w:t>
            </w:r>
          </w:p>
        </w:tc>
        <w:tc>
          <w:tcPr>
            <w:tcW w:w="902" w:type="dxa"/>
          </w:tcPr>
          <w:p w14:paraId="5565507F">
            <w:pPr>
              <w:spacing w:line="360" w:lineRule="auto"/>
              <w:rPr>
                <w:rFonts w:ascii="宋体" w:hAnsi="宋体" w:cs="宋体"/>
                <w:color w:val="000000" w:themeColor="text1"/>
                <w:szCs w:val="20"/>
              </w:rPr>
            </w:pPr>
            <w:r>
              <w:rPr>
                <w:rFonts w:hint="eastAsia" w:ascii="宋体" w:hAnsi="宋体" w:cs="宋体"/>
                <w:color w:val="000000" w:themeColor="text1"/>
                <w:szCs w:val="20"/>
              </w:rPr>
              <w:t>单位</w:t>
            </w:r>
          </w:p>
        </w:tc>
        <w:tc>
          <w:tcPr>
            <w:tcW w:w="902" w:type="dxa"/>
          </w:tcPr>
          <w:p w14:paraId="7FA56D6C">
            <w:pPr>
              <w:spacing w:line="360" w:lineRule="auto"/>
              <w:rPr>
                <w:rFonts w:ascii="宋体" w:hAnsi="宋体" w:cs="宋体"/>
                <w:color w:val="000000" w:themeColor="text1"/>
                <w:szCs w:val="20"/>
              </w:rPr>
            </w:pPr>
            <w:r>
              <w:rPr>
                <w:rFonts w:hint="eastAsia" w:ascii="宋体" w:hAnsi="宋体" w:cs="宋体"/>
                <w:color w:val="000000" w:themeColor="text1"/>
                <w:szCs w:val="20"/>
              </w:rPr>
              <w:t>数量</w:t>
            </w:r>
          </w:p>
        </w:tc>
        <w:tc>
          <w:tcPr>
            <w:tcW w:w="1071" w:type="dxa"/>
          </w:tcPr>
          <w:p w14:paraId="646C157C">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单价</w:t>
            </w:r>
          </w:p>
        </w:tc>
        <w:tc>
          <w:tcPr>
            <w:tcW w:w="1250" w:type="dxa"/>
          </w:tcPr>
          <w:p w14:paraId="53461AE5">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小计</w:t>
            </w:r>
          </w:p>
        </w:tc>
        <w:tc>
          <w:tcPr>
            <w:tcW w:w="1106" w:type="dxa"/>
          </w:tcPr>
          <w:p w14:paraId="3BA82F64">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备注</w:t>
            </w:r>
          </w:p>
        </w:tc>
      </w:tr>
      <w:tr w14:paraId="1FA8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652B0FC">
            <w:pPr>
              <w:spacing w:line="360" w:lineRule="auto"/>
              <w:ind w:firstLine="420" w:firstLineChars="200"/>
              <w:rPr>
                <w:rFonts w:ascii="宋体" w:hAnsi="宋体" w:cs="宋体"/>
                <w:color w:val="000000" w:themeColor="text1"/>
                <w:szCs w:val="20"/>
              </w:rPr>
            </w:pPr>
          </w:p>
        </w:tc>
        <w:tc>
          <w:tcPr>
            <w:tcW w:w="1623" w:type="dxa"/>
          </w:tcPr>
          <w:p w14:paraId="1EDC3330">
            <w:pPr>
              <w:spacing w:line="360" w:lineRule="auto"/>
              <w:ind w:firstLine="420" w:firstLineChars="200"/>
              <w:rPr>
                <w:rFonts w:ascii="宋体" w:hAnsi="宋体" w:cs="宋体"/>
                <w:color w:val="000000" w:themeColor="text1"/>
                <w:szCs w:val="20"/>
              </w:rPr>
            </w:pPr>
          </w:p>
        </w:tc>
        <w:tc>
          <w:tcPr>
            <w:tcW w:w="902" w:type="dxa"/>
          </w:tcPr>
          <w:p w14:paraId="1E63E18E">
            <w:pPr>
              <w:spacing w:line="360" w:lineRule="auto"/>
              <w:ind w:firstLine="420" w:firstLineChars="200"/>
              <w:rPr>
                <w:rFonts w:ascii="宋体" w:hAnsi="宋体" w:cs="宋体"/>
                <w:color w:val="000000" w:themeColor="text1"/>
                <w:szCs w:val="20"/>
              </w:rPr>
            </w:pPr>
          </w:p>
        </w:tc>
        <w:tc>
          <w:tcPr>
            <w:tcW w:w="902" w:type="dxa"/>
          </w:tcPr>
          <w:p w14:paraId="64E1D987">
            <w:pPr>
              <w:spacing w:line="360" w:lineRule="auto"/>
              <w:ind w:firstLine="420" w:firstLineChars="200"/>
              <w:rPr>
                <w:rFonts w:ascii="宋体" w:hAnsi="宋体" w:cs="宋体"/>
                <w:color w:val="000000" w:themeColor="text1"/>
                <w:szCs w:val="20"/>
              </w:rPr>
            </w:pPr>
          </w:p>
        </w:tc>
        <w:tc>
          <w:tcPr>
            <w:tcW w:w="1071" w:type="dxa"/>
          </w:tcPr>
          <w:p w14:paraId="0E35F1FA">
            <w:pPr>
              <w:spacing w:line="360" w:lineRule="auto"/>
              <w:ind w:firstLine="420" w:firstLineChars="200"/>
              <w:rPr>
                <w:rFonts w:ascii="宋体" w:hAnsi="宋体" w:cs="宋体"/>
                <w:color w:val="000000" w:themeColor="text1"/>
                <w:szCs w:val="20"/>
              </w:rPr>
            </w:pPr>
          </w:p>
        </w:tc>
        <w:tc>
          <w:tcPr>
            <w:tcW w:w="1250" w:type="dxa"/>
          </w:tcPr>
          <w:p w14:paraId="2BD5A3EA">
            <w:pPr>
              <w:spacing w:line="360" w:lineRule="auto"/>
              <w:ind w:firstLine="420" w:firstLineChars="200"/>
              <w:rPr>
                <w:rFonts w:ascii="宋体" w:hAnsi="宋体" w:cs="宋体"/>
                <w:color w:val="000000" w:themeColor="text1"/>
                <w:szCs w:val="20"/>
              </w:rPr>
            </w:pPr>
          </w:p>
        </w:tc>
        <w:tc>
          <w:tcPr>
            <w:tcW w:w="1106" w:type="dxa"/>
          </w:tcPr>
          <w:p w14:paraId="23AB0FCA">
            <w:pPr>
              <w:spacing w:line="360" w:lineRule="auto"/>
              <w:ind w:firstLine="420" w:firstLineChars="200"/>
              <w:rPr>
                <w:rFonts w:ascii="宋体" w:hAnsi="宋体" w:cs="宋体"/>
                <w:color w:val="000000" w:themeColor="text1"/>
                <w:szCs w:val="20"/>
              </w:rPr>
            </w:pPr>
          </w:p>
        </w:tc>
      </w:tr>
      <w:tr w14:paraId="0539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2B8CD5F2">
            <w:pPr>
              <w:spacing w:line="360" w:lineRule="auto"/>
              <w:ind w:firstLine="420" w:firstLineChars="200"/>
              <w:rPr>
                <w:rFonts w:ascii="宋体" w:hAnsi="宋体" w:cs="宋体"/>
                <w:color w:val="000000" w:themeColor="text1"/>
                <w:szCs w:val="20"/>
              </w:rPr>
            </w:pPr>
          </w:p>
        </w:tc>
        <w:tc>
          <w:tcPr>
            <w:tcW w:w="1623" w:type="dxa"/>
          </w:tcPr>
          <w:p w14:paraId="72A2E713">
            <w:pPr>
              <w:spacing w:line="360" w:lineRule="auto"/>
              <w:ind w:firstLine="420" w:firstLineChars="200"/>
              <w:rPr>
                <w:rFonts w:ascii="宋体" w:hAnsi="宋体" w:cs="宋体"/>
                <w:color w:val="000000" w:themeColor="text1"/>
                <w:szCs w:val="20"/>
              </w:rPr>
            </w:pPr>
          </w:p>
        </w:tc>
        <w:tc>
          <w:tcPr>
            <w:tcW w:w="902" w:type="dxa"/>
          </w:tcPr>
          <w:p w14:paraId="789ACE03">
            <w:pPr>
              <w:spacing w:line="360" w:lineRule="auto"/>
              <w:ind w:firstLine="420" w:firstLineChars="200"/>
              <w:rPr>
                <w:rFonts w:ascii="宋体" w:hAnsi="宋体" w:cs="宋体"/>
                <w:color w:val="000000" w:themeColor="text1"/>
                <w:szCs w:val="20"/>
              </w:rPr>
            </w:pPr>
          </w:p>
        </w:tc>
        <w:tc>
          <w:tcPr>
            <w:tcW w:w="902" w:type="dxa"/>
          </w:tcPr>
          <w:p w14:paraId="70851EFE">
            <w:pPr>
              <w:spacing w:line="360" w:lineRule="auto"/>
              <w:ind w:firstLine="420" w:firstLineChars="200"/>
              <w:rPr>
                <w:rFonts w:ascii="宋体" w:hAnsi="宋体" w:cs="宋体"/>
                <w:color w:val="000000" w:themeColor="text1"/>
                <w:szCs w:val="20"/>
              </w:rPr>
            </w:pPr>
          </w:p>
        </w:tc>
        <w:tc>
          <w:tcPr>
            <w:tcW w:w="1071" w:type="dxa"/>
          </w:tcPr>
          <w:p w14:paraId="753D8A82">
            <w:pPr>
              <w:spacing w:line="360" w:lineRule="auto"/>
              <w:ind w:firstLine="420" w:firstLineChars="200"/>
              <w:rPr>
                <w:rFonts w:ascii="宋体" w:hAnsi="宋体" w:cs="宋体"/>
                <w:color w:val="000000" w:themeColor="text1"/>
                <w:szCs w:val="20"/>
              </w:rPr>
            </w:pPr>
          </w:p>
        </w:tc>
        <w:tc>
          <w:tcPr>
            <w:tcW w:w="1250" w:type="dxa"/>
          </w:tcPr>
          <w:p w14:paraId="49761FE5">
            <w:pPr>
              <w:spacing w:line="360" w:lineRule="auto"/>
              <w:ind w:firstLine="420" w:firstLineChars="200"/>
              <w:rPr>
                <w:rFonts w:ascii="宋体" w:hAnsi="宋体" w:cs="宋体"/>
                <w:color w:val="000000" w:themeColor="text1"/>
                <w:szCs w:val="20"/>
              </w:rPr>
            </w:pPr>
          </w:p>
        </w:tc>
        <w:tc>
          <w:tcPr>
            <w:tcW w:w="1106" w:type="dxa"/>
          </w:tcPr>
          <w:p w14:paraId="62BDCF5F">
            <w:pPr>
              <w:spacing w:line="360" w:lineRule="auto"/>
              <w:ind w:firstLine="420" w:firstLineChars="200"/>
              <w:rPr>
                <w:rFonts w:ascii="宋体" w:hAnsi="宋体" w:cs="宋体"/>
                <w:color w:val="000000" w:themeColor="text1"/>
                <w:szCs w:val="20"/>
              </w:rPr>
            </w:pPr>
          </w:p>
        </w:tc>
      </w:tr>
      <w:tr w14:paraId="41B5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A61351E">
            <w:pPr>
              <w:spacing w:line="360" w:lineRule="auto"/>
              <w:ind w:firstLine="420" w:firstLineChars="200"/>
              <w:rPr>
                <w:rFonts w:ascii="宋体" w:hAnsi="宋体" w:cs="宋体"/>
                <w:color w:val="000000" w:themeColor="text1"/>
                <w:szCs w:val="20"/>
              </w:rPr>
            </w:pPr>
          </w:p>
        </w:tc>
        <w:tc>
          <w:tcPr>
            <w:tcW w:w="1623" w:type="dxa"/>
          </w:tcPr>
          <w:p w14:paraId="352F0633">
            <w:pPr>
              <w:spacing w:line="360" w:lineRule="auto"/>
              <w:ind w:firstLine="420" w:firstLineChars="200"/>
              <w:rPr>
                <w:rFonts w:ascii="宋体" w:hAnsi="宋体" w:cs="宋体"/>
                <w:color w:val="000000" w:themeColor="text1"/>
                <w:szCs w:val="20"/>
              </w:rPr>
            </w:pPr>
          </w:p>
        </w:tc>
        <w:tc>
          <w:tcPr>
            <w:tcW w:w="902" w:type="dxa"/>
          </w:tcPr>
          <w:p w14:paraId="6B0E2C55">
            <w:pPr>
              <w:spacing w:line="360" w:lineRule="auto"/>
              <w:ind w:firstLine="420" w:firstLineChars="200"/>
              <w:rPr>
                <w:rFonts w:ascii="宋体" w:hAnsi="宋体" w:cs="宋体"/>
                <w:color w:val="000000" w:themeColor="text1"/>
                <w:szCs w:val="20"/>
              </w:rPr>
            </w:pPr>
          </w:p>
        </w:tc>
        <w:tc>
          <w:tcPr>
            <w:tcW w:w="902" w:type="dxa"/>
          </w:tcPr>
          <w:p w14:paraId="7431A42E">
            <w:pPr>
              <w:spacing w:line="360" w:lineRule="auto"/>
              <w:ind w:firstLine="420" w:firstLineChars="200"/>
              <w:rPr>
                <w:rFonts w:ascii="宋体" w:hAnsi="宋体" w:cs="宋体"/>
                <w:color w:val="000000" w:themeColor="text1"/>
                <w:szCs w:val="20"/>
              </w:rPr>
            </w:pPr>
          </w:p>
        </w:tc>
        <w:tc>
          <w:tcPr>
            <w:tcW w:w="1071" w:type="dxa"/>
          </w:tcPr>
          <w:p w14:paraId="7F240AC7">
            <w:pPr>
              <w:spacing w:line="360" w:lineRule="auto"/>
              <w:ind w:firstLine="420" w:firstLineChars="200"/>
              <w:rPr>
                <w:rFonts w:ascii="宋体" w:hAnsi="宋体" w:cs="宋体"/>
                <w:color w:val="000000" w:themeColor="text1"/>
                <w:szCs w:val="20"/>
              </w:rPr>
            </w:pPr>
          </w:p>
        </w:tc>
        <w:tc>
          <w:tcPr>
            <w:tcW w:w="1250" w:type="dxa"/>
          </w:tcPr>
          <w:p w14:paraId="378B7EDE">
            <w:pPr>
              <w:spacing w:line="360" w:lineRule="auto"/>
              <w:ind w:firstLine="420" w:firstLineChars="200"/>
              <w:rPr>
                <w:rFonts w:ascii="宋体" w:hAnsi="宋体" w:cs="宋体"/>
                <w:color w:val="000000" w:themeColor="text1"/>
                <w:szCs w:val="20"/>
              </w:rPr>
            </w:pPr>
          </w:p>
        </w:tc>
        <w:tc>
          <w:tcPr>
            <w:tcW w:w="1106" w:type="dxa"/>
          </w:tcPr>
          <w:p w14:paraId="748B4030">
            <w:pPr>
              <w:spacing w:line="360" w:lineRule="auto"/>
              <w:ind w:firstLine="420" w:firstLineChars="200"/>
              <w:rPr>
                <w:rFonts w:ascii="宋体" w:hAnsi="宋体" w:cs="宋体"/>
                <w:color w:val="000000" w:themeColor="text1"/>
                <w:szCs w:val="20"/>
              </w:rPr>
            </w:pPr>
          </w:p>
        </w:tc>
      </w:tr>
      <w:tr w14:paraId="683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09A62D8D">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合同总价款（大小写）：</w:t>
            </w:r>
          </w:p>
          <w:p w14:paraId="150E2CD0">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8"/>
              </w:rPr>
              <w:t>备注：上述服务包含相关设备购置、人员工资及售后服务、税金、劳保基金、人员培训等费用。</w:t>
            </w:r>
          </w:p>
        </w:tc>
      </w:tr>
    </w:tbl>
    <w:p w14:paraId="0C67F7BE">
      <w:pPr>
        <w:spacing w:line="360" w:lineRule="auto"/>
        <w:ind w:firstLine="422" w:firstLineChars="200"/>
        <w:rPr>
          <w:rFonts w:ascii="宋体" w:hAnsi="宋体" w:cs="宋体"/>
          <w:color w:val="000000" w:themeColor="text1"/>
          <w:szCs w:val="20"/>
        </w:rPr>
      </w:pPr>
      <w:r>
        <w:rPr>
          <w:rFonts w:hint="eastAsia" w:ascii="宋体" w:hAnsi="宋体" w:cs="宋体"/>
          <w:b/>
          <w:bCs/>
          <w:color w:val="000000" w:themeColor="text1"/>
          <w:szCs w:val="27"/>
        </w:rPr>
        <w:t xml:space="preserve">第二条  </w:t>
      </w:r>
      <w:r>
        <w:rPr>
          <w:rFonts w:hint="eastAsia" w:ascii="宋体" w:hAnsi="宋体" w:cs="宋体"/>
          <w:color w:val="000000" w:themeColor="text1"/>
          <w:szCs w:val="27"/>
        </w:rPr>
        <w:t>服务标准（包括达到的水平要求），按下列第（① ）项执行：</w:t>
      </w:r>
    </w:p>
    <w:p w14:paraId="7085F83A">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①按国家标准执行；②按部颁标准执行；③若无以上标准，则应不低于同行业服务标准；④有特殊要求的，按甲乙双方在合同中商定的要求执行；</w:t>
      </w:r>
    </w:p>
    <w:p w14:paraId="30C564B3">
      <w:pPr>
        <w:spacing w:line="360" w:lineRule="auto"/>
        <w:ind w:firstLine="420" w:firstLineChars="200"/>
        <w:rPr>
          <w:rFonts w:ascii="宋体" w:hAnsi="宋体" w:cs="宋体"/>
          <w:color w:val="000000" w:themeColor="text1"/>
          <w:szCs w:val="27"/>
          <w:u w:val="single"/>
        </w:rPr>
      </w:pPr>
      <w:r>
        <w:rPr>
          <w:rFonts w:hint="eastAsia" w:ascii="宋体" w:hAnsi="宋体" w:cs="宋体"/>
          <w:color w:val="000000" w:themeColor="text1"/>
          <w:szCs w:val="20"/>
        </w:rPr>
        <w:t>乙方提供的服务标准和水平应与招标采购文件规定的标准和水平相一致。</w:t>
      </w:r>
    </w:p>
    <w:p w14:paraId="6285504C">
      <w:pPr>
        <w:spacing w:line="360" w:lineRule="auto"/>
        <w:ind w:firstLine="422" w:firstLineChars="200"/>
        <w:rPr>
          <w:rFonts w:ascii="宋体" w:hAnsi="宋体" w:cs="宋体"/>
          <w:color w:val="000000" w:themeColor="text1"/>
          <w:szCs w:val="27"/>
        </w:rPr>
      </w:pPr>
      <w:r>
        <w:rPr>
          <w:rFonts w:hint="eastAsia" w:ascii="宋体" w:hAnsi="宋体" w:cs="宋体"/>
          <w:b/>
          <w:bCs/>
          <w:color w:val="000000" w:themeColor="text1"/>
          <w:szCs w:val="27"/>
        </w:rPr>
        <w:t xml:space="preserve">第三条  </w:t>
      </w:r>
      <w:r>
        <w:rPr>
          <w:rFonts w:hint="eastAsia" w:ascii="宋体" w:hAnsi="宋体" w:cs="宋体"/>
          <w:color w:val="000000" w:themeColor="text1"/>
          <w:szCs w:val="27"/>
        </w:rPr>
        <w:t>服务的方式、方法、、地点和期限</w:t>
      </w:r>
    </w:p>
    <w:p w14:paraId="5EB0585A">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7"/>
        </w:rPr>
        <w:t>1、服务方式：</w:t>
      </w:r>
    </w:p>
    <w:p w14:paraId="5DD0F4CE">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2、服务方法：</w:t>
      </w:r>
    </w:p>
    <w:p w14:paraId="520062FF">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2、服务地点：</w:t>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r>
        <w:rPr>
          <w:rFonts w:hint="eastAsia" w:ascii="宋体" w:hAnsi="宋体" w:cs="宋体"/>
          <w:color w:val="000000" w:themeColor="text1"/>
          <w:szCs w:val="27"/>
        </w:rPr>
        <w:softHyphen/>
      </w:r>
    </w:p>
    <w:p w14:paraId="262AA7DA">
      <w:pPr>
        <w:spacing w:line="360" w:lineRule="auto"/>
        <w:ind w:firstLine="420" w:firstLineChars="200"/>
        <w:rPr>
          <w:color w:val="000000" w:themeColor="text1"/>
          <w:szCs w:val="21"/>
        </w:rPr>
      </w:pPr>
      <w:r>
        <w:rPr>
          <w:rFonts w:hint="eastAsia" w:ascii="宋体" w:hAnsi="宋体" w:cs="宋体"/>
          <w:color w:val="000000" w:themeColor="text1"/>
          <w:szCs w:val="27"/>
        </w:rPr>
        <w:t>3、服务期限：</w:t>
      </w:r>
      <w:r>
        <w:rPr>
          <w:rFonts w:hint="eastAsia"/>
          <w:color w:val="000000" w:themeColor="text1"/>
          <w:szCs w:val="21"/>
        </w:rPr>
        <w:t>自合同签订之日起一年：自   年   月    日起，至  年   月    日止。</w:t>
      </w:r>
    </w:p>
    <w:p w14:paraId="09DDA60B">
      <w:pPr>
        <w:spacing w:line="360" w:lineRule="auto"/>
        <w:ind w:firstLine="420" w:firstLineChars="200"/>
        <w:rPr>
          <w:color w:val="000000" w:themeColor="text1"/>
          <w:szCs w:val="21"/>
        </w:rPr>
      </w:pPr>
      <w:r>
        <w:rPr>
          <w:rFonts w:hint="eastAsia"/>
          <w:color w:val="000000" w:themeColor="text1"/>
          <w:szCs w:val="21"/>
        </w:rPr>
        <w:t>4、依据周财购【2021】15号第一条第四款：“如果前期投入大、成本高、频繁更换服务商容易产生较大经济和社会成本、当期服务对前期基础性工作依赖度高、延续性强，且初始合同为政府采购合同并履行良好的，经核准后，可与原供应商续签服务合同，续签时限原则上不得超过5年。”</w:t>
      </w:r>
    </w:p>
    <w:p w14:paraId="7FE82D5D">
      <w:pPr>
        <w:spacing w:line="360" w:lineRule="auto"/>
        <w:ind w:firstLine="420" w:firstLineChars="200"/>
        <w:rPr>
          <w:color w:val="000000" w:themeColor="text1"/>
          <w:szCs w:val="21"/>
        </w:rPr>
      </w:pPr>
      <w:r>
        <w:rPr>
          <w:rFonts w:hint="eastAsia"/>
          <w:color w:val="000000" w:themeColor="text1"/>
          <w:szCs w:val="21"/>
        </w:rPr>
        <w:t>5、为保障运维的延续性，保证运维安全、稳定、高效、低成本。为保障太康县公安局第一期视频监控的正常运行和使用，保障终端及存储设备运行稳定，通过定期保养维护，降低故障率。确保监控前端摄像机在线率90%以上（排除电力、网络、修路、不可抗力等因素后），连续三年的年度评价满意的，双方同意本合同服务期限再自动增加1年；前述增加的服务期限不重合计算，但自动增加的服务期限总计不得超过4年。</w:t>
      </w:r>
    </w:p>
    <w:p w14:paraId="1AABC0DE">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第四条  费用及支付方式</w:t>
      </w:r>
    </w:p>
    <w:p w14:paraId="342F1F2A">
      <w:pPr>
        <w:kinsoku w:val="0"/>
        <w:overflowPunct w:val="0"/>
        <w:spacing w:line="364" w:lineRule="auto"/>
        <w:ind w:firstLine="422" w:firstLineChars="200"/>
        <w:rPr>
          <w:rFonts w:ascii="宋体" w:hAnsi="宋体" w:cs="宋体"/>
          <w:b/>
          <w:color w:val="000000" w:themeColor="text1"/>
          <w:sz w:val="28"/>
          <w:szCs w:val="20"/>
        </w:rPr>
      </w:pPr>
      <w:r>
        <w:rPr>
          <w:rFonts w:hint="eastAsia" w:ascii="宋体" w:hAnsi="宋体" w:cs="宋体"/>
          <w:b/>
          <w:color w:val="000000" w:themeColor="text1"/>
          <w:szCs w:val="20"/>
        </w:rPr>
        <w:t>(一)</w:t>
      </w:r>
      <w:r>
        <w:rPr>
          <w:rFonts w:hint="eastAsia" w:ascii="宋体" w:hAnsi="宋体" w:cs="宋体"/>
          <w:b/>
          <w:color w:val="000000" w:themeColor="text1"/>
          <w:sz w:val="28"/>
          <w:szCs w:val="20"/>
        </w:rPr>
        <w:t>本项目费用有以下组成：</w:t>
      </w:r>
    </w:p>
    <w:p w14:paraId="6116FF09">
      <w:pPr>
        <w:spacing w:line="360" w:lineRule="auto"/>
        <w:ind w:firstLine="420" w:firstLineChars="200"/>
        <w:rPr>
          <w:color w:val="000000" w:themeColor="text1"/>
          <w:szCs w:val="21"/>
        </w:rPr>
      </w:pPr>
      <w:r>
        <w:rPr>
          <w:rFonts w:hint="eastAsia" w:ascii="宋体" w:hAnsi="宋体" w:cs="宋体"/>
          <w:color w:val="000000" w:themeColor="text1"/>
          <w:szCs w:val="20"/>
        </w:rPr>
        <w:t xml:space="preserve"> </w:t>
      </w:r>
      <w:r>
        <w:rPr>
          <w:rFonts w:hint="eastAsia"/>
          <w:color w:val="000000" w:themeColor="text1"/>
          <w:szCs w:val="21"/>
        </w:rPr>
        <w:t>1、每年运维服务费</w:t>
      </w:r>
      <w:r>
        <w:rPr>
          <w:rFonts w:hint="eastAsia"/>
          <w:color w:val="000000" w:themeColor="text1"/>
          <w:szCs w:val="21"/>
          <w:u w:val="single"/>
        </w:rPr>
        <w:t xml:space="preserve">          </w:t>
      </w:r>
      <w:r>
        <w:rPr>
          <w:rFonts w:hint="eastAsia"/>
          <w:color w:val="000000" w:themeColor="text1"/>
          <w:szCs w:val="21"/>
        </w:rPr>
        <w:t>元（小写：                 ）。</w:t>
      </w:r>
    </w:p>
    <w:p w14:paraId="55749B12">
      <w:pPr>
        <w:spacing w:line="360" w:lineRule="auto"/>
        <w:ind w:firstLine="420" w:firstLineChars="200"/>
        <w:rPr>
          <w:color w:val="000000" w:themeColor="text1"/>
          <w:szCs w:val="21"/>
        </w:rPr>
      </w:pPr>
      <w:r>
        <w:rPr>
          <w:rFonts w:hint="eastAsia"/>
          <w:color w:val="000000" w:themeColor="text1"/>
          <w:szCs w:val="21"/>
        </w:rPr>
        <w:t>2、本合同项下所有款项均以人民币支付；</w:t>
      </w:r>
    </w:p>
    <w:p w14:paraId="1C25F987">
      <w:pPr>
        <w:kinsoku w:val="0"/>
        <w:overflowPunct w:val="0"/>
        <w:spacing w:line="364" w:lineRule="auto"/>
        <w:ind w:firstLine="422" w:firstLineChars="200"/>
        <w:rPr>
          <w:rFonts w:ascii="宋体" w:hAnsi="宋体" w:cs="宋体"/>
          <w:b/>
          <w:color w:val="000000" w:themeColor="text1"/>
          <w:sz w:val="28"/>
          <w:szCs w:val="20"/>
        </w:rPr>
      </w:pPr>
      <w:r>
        <w:rPr>
          <w:rFonts w:hint="eastAsia" w:ascii="宋体" w:hAnsi="宋体" w:cs="宋体"/>
          <w:b/>
          <w:color w:val="000000" w:themeColor="text1"/>
          <w:szCs w:val="20"/>
        </w:rPr>
        <w:t xml:space="preserve"> (二)</w:t>
      </w:r>
      <w:r>
        <w:rPr>
          <w:rFonts w:hint="eastAsia" w:ascii="宋体" w:hAnsi="宋体" w:cs="宋体"/>
          <w:b/>
          <w:color w:val="000000" w:themeColor="text1"/>
          <w:sz w:val="28"/>
          <w:szCs w:val="20"/>
        </w:rPr>
        <w:t>费用支付方式：</w:t>
      </w:r>
    </w:p>
    <w:p w14:paraId="017B6969">
      <w:pPr>
        <w:spacing w:line="360" w:lineRule="auto"/>
        <w:ind w:firstLine="420" w:firstLineChars="200"/>
        <w:rPr>
          <w:color w:val="000000" w:themeColor="text1"/>
          <w:szCs w:val="21"/>
        </w:rPr>
      </w:pPr>
      <w:r>
        <w:rPr>
          <w:rFonts w:hint="eastAsia"/>
          <w:color w:val="000000" w:themeColor="text1"/>
          <w:szCs w:val="21"/>
        </w:rPr>
        <w:t>1、</w:t>
      </w:r>
      <w:r>
        <w:rPr>
          <w:color w:val="000000" w:themeColor="text1"/>
          <w:szCs w:val="21"/>
        </w:rPr>
        <w:t>付款约定：以年维护费用中标价为依据，每</w:t>
      </w:r>
      <w:r>
        <w:rPr>
          <w:rFonts w:hint="eastAsia"/>
          <w:color w:val="000000" w:themeColor="text1"/>
          <w:szCs w:val="21"/>
        </w:rPr>
        <w:t>月</w:t>
      </w:r>
      <w:r>
        <w:rPr>
          <w:color w:val="000000" w:themeColor="text1"/>
          <w:szCs w:val="21"/>
        </w:rPr>
        <w:t>支付一次；</w:t>
      </w:r>
      <w:r>
        <w:rPr>
          <w:rFonts w:hint="eastAsia"/>
          <w:color w:val="000000" w:themeColor="text1"/>
          <w:szCs w:val="21"/>
        </w:rPr>
        <w:t>甲方</w:t>
      </w:r>
      <w:r>
        <w:rPr>
          <w:color w:val="000000" w:themeColor="text1"/>
          <w:szCs w:val="21"/>
        </w:rPr>
        <w:t>在</w:t>
      </w:r>
      <w:r>
        <w:rPr>
          <w:rFonts w:hint="eastAsia"/>
          <w:color w:val="000000" w:themeColor="text1"/>
          <w:szCs w:val="21"/>
        </w:rPr>
        <w:t>次月月底前付清上月应付款</w:t>
      </w:r>
      <w:r>
        <w:rPr>
          <w:color w:val="000000" w:themeColor="text1"/>
          <w:szCs w:val="21"/>
        </w:rPr>
        <w:t>。</w:t>
      </w:r>
    </w:p>
    <w:p w14:paraId="66600786">
      <w:pPr>
        <w:spacing w:line="360" w:lineRule="auto"/>
        <w:ind w:firstLine="420" w:firstLineChars="200"/>
        <w:rPr>
          <w:color w:val="000000" w:themeColor="text1"/>
          <w:szCs w:val="21"/>
        </w:rPr>
      </w:pPr>
      <w:r>
        <w:rPr>
          <w:rFonts w:hint="eastAsia"/>
          <w:color w:val="000000" w:themeColor="text1"/>
          <w:szCs w:val="21"/>
        </w:rPr>
        <w:t>2、</w:t>
      </w:r>
      <w:r>
        <w:rPr>
          <w:color w:val="000000" w:themeColor="text1"/>
          <w:szCs w:val="21"/>
        </w:rPr>
        <w:t>物价波动引起的价格调整方式：本</w:t>
      </w:r>
      <w:r>
        <w:rPr>
          <w:rFonts w:hint="eastAsia"/>
          <w:color w:val="000000" w:themeColor="text1"/>
          <w:szCs w:val="21"/>
        </w:rPr>
        <w:t>项目</w:t>
      </w:r>
      <w:r>
        <w:rPr>
          <w:color w:val="000000" w:themeColor="text1"/>
          <w:szCs w:val="21"/>
        </w:rPr>
        <w:t>不对物价波动引起的价格进行调整。</w:t>
      </w:r>
    </w:p>
    <w:p w14:paraId="47A016C1">
      <w:pPr>
        <w:kinsoku w:val="0"/>
        <w:overflowPunct w:val="0"/>
        <w:spacing w:line="364"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3、在支付前甲方对乙方的服务进行考核或验收，合格的支付相应款项。乙方须向甲方出具合法有效完整的完税发票及凭证资料进行支付结算。</w:t>
      </w:r>
    </w:p>
    <w:p w14:paraId="0CBC26D3">
      <w:pPr>
        <w:kinsoku w:val="0"/>
        <w:overflowPunct w:val="0"/>
        <w:ind w:firstLine="562" w:firstLineChars="200"/>
        <w:rPr>
          <w:rFonts w:ascii="宋体" w:hAnsi="宋体" w:cs="宋体"/>
          <w:color w:val="000000" w:themeColor="text1"/>
          <w:sz w:val="28"/>
          <w:szCs w:val="20"/>
        </w:rPr>
      </w:pPr>
      <w:r>
        <w:rPr>
          <w:rFonts w:hint="eastAsia" w:ascii="宋体" w:hAnsi="宋体" w:cs="宋体"/>
          <w:b/>
          <w:color w:val="000000" w:themeColor="text1"/>
          <w:sz w:val="28"/>
          <w:szCs w:val="20"/>
        </w:rPr>
        <w:t xml:space="preserve">第五条  付款条件   </w:t>
      </w:r>
      <w:r>
        <w:rPr>
          <w:rFonts w:hint="eastAsia" w:ascii="宋体" w:hAnsi="宋体" w:cs="宋体"/>
          <w:color w:val="000000" w:themeColor="text1"/>
          <w:sz w:val="28"/>
          <w:szCs w:val="20"/>
        </w:rPr>
        <w:t xml:space="preserve">               </w:t>
      </w:r>
    </w:p>
    <w:p w14:paraId="503FC2A9">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本合同以人民币付款。</w:t>
      </w:r>
    </w:p>
    <w:p w14:paraId="6FD60F27">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该项目是否实行预付款：</w:t>
      </w:r>
    </w:p>
    <w:p w14:paraId="5A1568CC">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实行预付款的条件和比例：</w:t>
      </w:r>
    </w:p>
    <w:p w14:paraId="0C6B3B9B">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 xml:space="preserve">合同款项结算方式和支付比例：   </w:t>
      </w:r>
    </w:p>
    <w:p w14:paraId="5CF11297">
      <w:pPr>
        <w:spacing w:line="360" w:lineRule="auto"/>
        <w:ind w:firstLine="420" w:firstLineChars="200"/>
        <w:rPr>
          <w:rFonts w:ascii="宋体" w:hAnsi="宋体" w:cs="宋体"/>
          <w:color w:val="000000" w:themeColor="text1"/>
          <w:szCs w:val="20"/>
          <w:u w:val="single"/>
        </w:rPr>
      </w:pPr>
      <w:r>
        <w:rPr>
          <w:rFonts w:hint="eastAsia" w:ascii="宋体" w:hAnsi="宋体" w:cs="宋体"/>
          <w:color w:val="000000" w:themeColor="text1"/>
          <w:szCs w:val="20"/>
        </w:rPr>
        <w:t>(具体付款方式</w:t>
      </w:r>
      <w:r>
        <w:rPr>
          <w:rFonts w:hint="eastAsia" w:ascii="宋体" w:hAnsi="宋体" w:cs="宋体"/>
          <w:color w:val="000000" w:themeColor="text1"/>
          <w:szCs w:val="20"/>
          <w:u w:val="single"/>
        </w:rPr>
        <w:t>按投标人须知前附表以及采、购双方的具体约定</w:t>
      </w:r>
    </w:p>
    <w:p w14:paraId="0C011147">
      <w:pPr>
        <w:widowControl/>
        <w:topLinePunct/>
        <w:spacing w:before="156" w:after="156" w:line="300" w:lineRule="auto"/>
        <w:ind w:firstLine="562" w:firstLineChars="200"/>
        <w:rPr>
          <w:rFonts w:ascii="宋体" w:hAnsi="宋体" w:cs="宋体"/>
          <w:b/>
          <w:color w:val="000000" w:themeColor="text1"/>
          <w:sz w:val="28"/>
          <w:szCs w:val="20"/>
        </w:rPr>
      </w:pPr>
      <w:r>
        <w:rPr>
          <w:rFonts w:hint="eastAsia" w:ascii="宋体" w:hAnsi="宋体" w:cs="宋体"/>
          <w:b/>
          <w:color w:val="000000" w:themeColor="text1"/>
          <w:sz w:val="28"/>
          <w:szCs w:val="20"/>
        </w:rPr>
        <w:t>第六条  验收方法</w:t>
      </w:r>
    </w:p>
    <w:p w14:paraId="603DBCA3">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1.甲、乙双方应严格履行合同有关条款，如果验收过程中发现乙方在没有征得采购人同意的情况下擅自变更合同服务内容，将拒绝通过验收，由此引起的一切后果及损失由乙方承担。</w:t>
      </w:r>
    </w:p>
    <w:p w14:paraId="0B1F924E">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49D1524">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3、甲方视情况可以邀请参加本项目的其他投标人或者第三方机构参与验收，参与验收的投标人或者第三方机构的意见作为验收书的参考资料一并存档。</w:t>
      </w:r>
    </w:p>
    <w:p w14:paraId="4EB50E9E">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4、涉及安全、消防、环保等其他需要由质检或行业主管部门进行验收的项目，必须邀请相关部门或相关专家参与验收。涉及社会化服务的项目，甲方将要求社会公众人员参与验收。</w:t>
      </w:r>
    </w:p>
    <w:p w14:paraId="062D9FCB">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检测、验收费用承担方式：</w:t>
      </w:r>
    </w:p>
    <w:p w14:paraId="423B5D7F">
      <w:pPr>
        <w:kinsoku w:val="0"/>
        <w:overflowPunct w:val="0"/>
        <w:spacing w:line="364" w:lineRule="auto"/>
        <w:ind w:firstLine="562" w:firstLineChars="200"/>
        <w:rPr>
          <w:rFonts w:ascii="宋体" w:hAnsi="宋体" w:cs="宋体"/>
          <w:b/>
          <w:color w:val="000000" w:themeColor="text1"/>
          <w:sz w:val="28"/>
          <w:szCs w:val="20"/>
        </w:rPr>
      </w:pPr>
      <w:r>
        <w:rPr>
          <w:rFonts w:hint="eastAsia" w:ascii="宋体" w:hAnsi="宋体" w:cs="宋体"/>
          <w:b/>
          <w:color w:val="000000" w:themeColor="text1"/>
          <w:sz w:val="28"/>
          <w:szCs w:val="20"/>
        </w:rPr>
        <w:t>第七条 知识产权</w:t>
      </w:r>
    </w:p>
    <w:p w14:paraId="4727C933">
      <w:pPr>
        <w:kinsoku w:val="0"/>
        <w:overflowPunct w:val="0"/>
        <w:spacing w:line="364"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乙方应保证所提供的服务或其任何一部分均不会侵犯任何第三方的专利权、商标权或著作权。</w:t>
      </w:r>
    </w:p>
    <w:p w14:paraId="78A569F5">
      <w:pPr>
        <w:keepNext/>
        <w:keepLines/>
        <w:kinsoku w:val="0"/>
        <w:overflowPunct w:val="0"/>
        <w:spacing w:before="340" w:after="330" w:line="578" w:lineRule="auto"/>
        <w:ind w:firstLine="602" w:firstLineChars="200"/>
        <w:outlineLvl w:val="0"/>
        <w:rPr>
          <w:rFonts w:ascii="宋体" w:hAnsi="宋体" w:cs="宋体"/>
          <w:b/>
          <w:bCs/>
          <w:color w:val="000000" w:themeColor="text1"/>
          <w:kern w:val="44"/>
          <w:sz w:val="30"/>
          <w:szCs w:val="44"/>
        </w:rPr>
      </w:pPr>
      <w:bookmarkStart w:id="63" w:name="_Toc164532497"/>
      <w:r>
        <w:rPr>
          <w:rFonts w:hint="eastAsia" w:ascii="宋体" w:hAnsi="宋体" w:cs="宋体"/>
          <w:b/>
          <w:bCs/>
          <w:color w:val="000000" w:themeColor="text1"/>
          <w:kern w:val="44"/>
          <w:sz w:val="30"/>
          <w:szCs w:val="44"/>
        </w:rPr>
        <w:t>第八条 无产权瑕疵条款</w:t>
      </w:r>
      <w:bookmarkEnd w:id="63"/>
    </w:p>
    <w:p w14:paraId="4585AEDD">
      <w:pPr>
        <w:kinsoku w:val="0"/>
        <w:overflowPunct w:val="0"/>
        <w:spacing w:line="364"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乙方保证所提供的服务的所有权完全属于乙方且无任何抵押、查封等产权瑕疵。如有产权瑕疵的，视为乙方违约。乙方应负担由此而产生的一切损失。</w:t>
      </w:r>
    </w:p>
    <w:p w14:paraId="1B673C12">
      <w:pPr>
        <w:spacing w:line="400" w:lineRule="exact"/>
        <w:ind w:firstLine="422" w:firstLineChars="200"/>
        <w:rPr>
          <w:rFonts w:ascii="宋体" w:hAnsi="宋体" w:cs="宋体"/>
          <w:b/>
          <w:bCs/>
          <w:color w:val="000000" w:themeColor="text1"/>
          <w:szCs w:val="27"/>
        </w:rPr>
      </w:pPr>
      <w:r>
        <w:rPr>
          <w:rFonts w:hint="eastAsia" w:ascii="宋体" w:hAnsi="宋体" w:cs="宋体"/>
          <w:b/>
          <w:bCs/>
          <w:color w:val="000000" w:themeColor="text1"/>
          <w:szCs w:val="27"/>
        </w:rPr>
        <w:t xml:space="preserve">第九条  </w:t>
      </w:r>
      <w:r>
        <w:rPr>
          <w:rFonts w:hint="eastAsia" w:ascii="宋体" w:hAnsi="宋体" w:cs="宋体"/>
          <w:color w:val="000000" w:themeColor="text1"/>
          <w:szCs w:val="27"/>
        </w:rPr>
        <w:t>履约（或质量）保证金</w:t>
      </w:r>
    </w:p>
    <w:p w14:paraId="35DFC2D1">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1.本项目不收取履约保证金。确需收取履约保证金的，甲方不得要求乙方以现款的形式提供。乙方提供的履约保证金按规定格式以银行保函形式提供，与此有关的费用由服务方承担。</w:t>
      </w:r>
    </w:p>
    <w:p w14:paraId="1D36303A">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2.若确需质量保证金的，质量保证金不得超过合同总价款的5%</w:t>
      </w:r>
    </w:p>
    <w:p w14:paraId="561D19F8">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3.如乙方未能履行其合同规定的任何义务，甲方有权从履约保证金中取得补偿。</w:t>
      </w:r>
    </w:p>
    <w:p w14:paraId="0C53DE8F">
      <w:pPr>
        <w:keepNext/>
        <w:keepLines/>
        <w:kinsoku w:val="0"/>
        <w:overflowPunct w:val="0"/>
        <w:spacing w:before="340" w:after="330" w:line="400" w:lineRule="exact"/>
        <w:ind w:firstLine="602" w:firstLineChars="200"/>
        <w:outlineLvl w:val="0"/>
        <w:rPr>
          <w:rFonts w:ascii="宋体" w:hAnsi="宋体" w:cs="宋体"/>
          <w:b/>
          <w:bCs/>
          <w:color w:val="000000" w:themeColor="text1"/>
          <w:kern w:val="44"/>
          <w:sz w:val="30"/>
          <w:szCs w:val="44"/>
        </w:rPr>
      </w:pPr>
      <w:bookmarkStart w:id="64" w:name="_Toc164532498"/>
      <w:r>
        <w:rPr>
          <w:rFonts w:hint="eastAsia" w:ascii="宋体" w:hAnsi="宋体" w:cs="宋体"/>
          <w:b/>
          <w:bCs/>
          <w:color w:val="000000" w:themeColor="text1"/>
          <w:kern w:val="44"/>
          <w:sz w:val="30"/>
          <w:szCs w:val="44"/>
        </w:rPr>
        <w:t>第十条 甲方的权利和义务</w:t>
      </w:r>
      <w:bookmarkEnd w:id="64"/>
    </w:p>
    <w:p w14:paraId="6E638F5D">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1、甲方有权对合同规定范围内乙方的行为进行监督和检查，拥有监管权。有权定期核对乙方提供服务所配备的人员数量。对甲方认为不合理的部分有权下达整改通知书，并要求乙方限期整改。</w:t>
      </w:r>
    </w:p>
    <w:p w14:paraId="7CCE19B5">
      <w:pPr>
        <w:spacing w:line="360" w:lineRule="auto"/>
        <w:ind w:firstLine="420" w:firstLineChars="200"/>
        <w:rPr>
          <w:color w:val="000000" w:themeColor="text1"/>
          <w:szCs w:val="21"/>
        </w:rPr>
      </w:pPr>
      <w:r>
        <w:rPr>
          <w:rFonts w:hint="eastAsia"/>
          <w:color w:val="000000" w:themeColor="text1"/>
          <w:szCs w:val="21"/>
        </w:rPr>
        <w:t>2、每月对乙方信号灯亮灯率、电子警察在线率考核。</w:t>
      </w:r>
    </w:p>
    <w:p w14:paraId="41591032">
      <w:pPr>
        <w:spacing w:line="360" w:lineRule="auto"/>
        <w:ind w:firstLine="420" w:firstLineChars="200"/>
        <w:rPr>
          <w:color w:val="000000" w:themeColor="text1"/>
          <w:szCs w:val="21"/>
        </w:rPr>
      </w:pPr>
      <w:r>
        <w:rPr>
          <w:rFonts w:hint="eastAsia"/>
          <w:color w:val="000000" w:themeColor="text1"/>
          <w:szCs w:val="21"/>
        </w:rPr>
        <w:t>3、每年对交通信号配时优化、交通渠化、交通安全隐患排查及交通安全设计优化等工作进行评价考核。</w:t>
      </w:r>
    </w:p>
    <w:p w14:paraId="54AAB7A7">
      <w:pPr>
        <w:spacing w:line="360" w:lineRule="auto"/>
        <w:ind w:firstLine="420" w:firstLineChars="200"/>
        <w:rPr>
          <w:color w:val="000000" w:themeColor="text1"/>
          <w:szCs w:val="21"/>
        </w:rPr>
      </w:pPr>
      <w:r>
        <w:rPr>
          <w:rFonts w:hint="eastAsia"/>
          <w:color w:val="000000" w:themeColor="text1"/>
          <w:szCs w:val="21"/>
        </w:rPr>
        <w:t>4、对乙方不定期抽查考核。</w:t>
      </w:r>
    </w:p>
    <w:p w14:paraId="130538AF">
      <w:pPr>
        <w:spacing w:line="360" w:lineRule="auto"/>
        <w:ind w:firstLine="420" w:firstLineChars="200"/>
        <w:rPr>
          <w:color w:val="000000" w:themeColor="text1"/>
          <w:szCs w:val="21"/>
        </w:rPr>
      </w:pPr>
      <w:r>
        <w:rPr>
          <w:rFonts w:hint="eastAsia"/>
          <w:color w:val="000000" w:themeColor="text1"/>
          <w:szCs w:val="21"/>
        </w:rPr>
        <w:t>5、保障运维范围的供电费用、网络传输费用的及时缴纳，避免因欠费引起断电、断网影响运维工作；非因乙方原因导致的运维服务中断不参与考核。</w:t>
      </w:r>
    </w:p>
    <w:p w14:paraId="1445C288">
      <w:pPr>
        <w:spacing w:line="360" w:lineRule="auto"/>
        <w:ind w:firstLine="420" w:firstLineChars="200"/>
        <w:rPr>
          <w:color w:val="000000" w:themeColor="text1"/>
          <w:szCs w:val="21"/>
        </w:rPr>
      </w:pPr>
      <w:r>
        <w:rPr>
          <w:rFonts w:hint="eastAsia"/>
          <w:color w:val="000000" w:themeColor="text1"/>
          <w:szCs w:val="21"/>
        </w:rPr>
        <w:t>6、地震、水灾等不可抗力期间的运维延误，经甲方确认后，可对乙方免责并不计入对乙方的考核。</w:t>
      </w:r>
    </w:p>
    <w:p w14:paraId="7A3F3C8A">
      <w:pPr>
        <w:spacing w:line="360" w:lineRule="auto"/>
        <w:ind w:firstLine="420" w:firstLineChars="200"/>
        <w:rPr>
          <w:color w:val="000000" w:themeColor="text1"/>
          <w:szCs w:val="21"/>
        </w:rPr>
      </w:pPr>
      <w:r>
        <w:rPr>
          <w:rFonts w:hint="eastAsia"/>
          <w:color w:val="000000" w:themeColor="text1"/>
          <w:szCs w:val="21"/>
        </w:rPr>
        <w:t>7、道路改扩建引起的故障暂不可修复，经甲方确认后，可对乙方免责并不计入对乙方的考核。</w:t>
      </w:r>
    </w:p>
    <w:p w14:paraId="662D85E4">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8、负责检查监督乙方管理工作的实施及制度的执行情况。</w:t>
      </w:r>
    </w:p>
    <w:p w14:paraId="162F3DF7">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9、根据本合同规定，按时向乙方支付应付服务费用。</w:t>
      </w:r>
    </w:p>
    <w:p w14:paraId="3E2ABD46">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 xml:space="preserve">10、国家法律、法规所规定由甲方承担的其他责任               </w:t>
      </w:r>
    </w:p>
    <w:p w14:paraId="610A73E3">
      <w:pPr>
        <w:kinsoku w:val="0"/>
        <w:overflowPunct w:val="0"/>
        <w:spacing w:line="364" w:lineRule="auto"/>
        <w:ind w:firstLine="562" w:firstLineChars="200"/>
        <w:rPr>
          <w:rFonts w:ascii="宋体" w:hAnsi="宋体" w:cs="宋体"/>
          <w:b/>
          <w:color w:val="000000" w:themeColor="text1"/>
          <w:sz w:val="28"/>
          <w:szCs w:val="20"/>
        </w:rPr>
      </w:pPr>
      <w:r>
        <w:rPr>
          <w:rFonts w:hint="eastAsia" w:ascii="宋体" w:hAnsi="宋体" w:cs="宋体"/>
          <w:b/>
          <w:color w:val="000000" w:themeColor="text1"/>
          <w:sz w:val="28"/>
          <w:szCs w:val="20"/>
        </w:rPr>
        <w:t>第十一条 乙方的权利和义务</w:t>
      </w:r>
    </w:p>
    <w:p w14:paraId="2E037EE0">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1、对本合同规定的委托服务范围内的项目享有管理权及服务义务。</w:t>
      </w:r>
    </w:p>
    <w:p w14:paraId="49BC0CAD">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2、根据本合同的规定向甲方收取相关服务费用，并有权在本项目管理范围内管理及合理使用。</w:t>
      </w:r>
    </w:p>
    <w:p w14:paraId="7BD0B3DC">
      <w:pPr>
        <w:spacing w:line="360" w:lineRule="auto"/>
        <w:ind w:firstLine="420" w:firstLineChars="200"/>
        <w:rPr>
          <w:color w:val="000000" w:themeColor="text1"/>
          <w:szCs w:val="21"/>
        </w:rPr>
      </w:pPr>
      <w:r>
        <w:rPr>
          <w:rFonts w:hint="eastAsia"/>
          <w:color w:val="000000" w:themeColor="text1"/>
          <w:szCs w:val="21"/>
        </w:rPr>
        <w:t>3、乙方保证其供应的合同物料是全新的(未使用过的)，安全的、技术水平先进的、成熟的、质量优良的，设备的选型符合安全可靠、经济运行和易于维护的要求。</w:t>
      </w:r>
    </w:p>
    <w:p w14:paraId="527E1CD2">
      <w:pPr>
        <w:spacing w:line="360" w:lineRule="auto"/>
        <w:ind w:firstLine="420" w:firstLineChars="200"/>
        <w:rPr>
          <w:color w:val="000000" w:themeColor="text1"/>
          <w:szCs w:val="21"/>
        </w:rPr>
      </w:pPr>
      <w:r>
        <w:rPr>
          <w:rFonts w:hint="eastAsia"/>
          <w:color w:val="000000" w:themeColor="text1"/>
          <w:szCs w:val="21"/>
        </w:rPr>
        <w:t>4、乙方供应的合同物料应符合投标文件中所记载的详细配置、技术参数、参数及性能，并应附有此类货物完整、详细的技术资料和说明文件。</w:t>
      </w:r>
    </w:p>
    <w:p w14:paraId="6736E493">
      <w:pPr>
        <w:spacing w:line="360" w:lineRule="auto"/>
        <w:ind w:firstLine="420" w:firstLineChars="200"/>
        <w:rPr>
          <w:color w:val="000000" w:themeColor="text1"/>
          <w:szCs w:val="21"/>
        </w:rPr>
      </w:pPr>
      <w:r>
        <w:rPr>
          <w:rFonts w:hint="eastAsia"/>
          <w:color w:val="000000" w:themeColor="text1"/>
          <w:szCs w:val="21"/>
        </w:rPr>
        <w:t>5、乙方供应的合同物料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70EFB4A4">
      <w:pPr>
        <w:spacing w:line="360" w:lineRule="auto"/>
        <w:ind w:firstLine="420" w:firstLineChars="200"/>
        <w:rPr>
          <w:color w:val="000000" w:themeColor="text1"/>
          <w:szCs w:val="21"/>
        </w:rPr>
      </w:pPr>
      <w:r>
        <w:rPr>
          <w:rFonts w:hint="eastAsia"/>
          <w:color w:val="000000" w:themeColor="text1"/>
          <w:szCs w:val="21"/>
        </w:rPr>
        <w:t>6、乙方应保证将合同物料按照国家或专业标准包装、确保货物安全无损运抵合同规定的交货地点，并进行安装、试运行。</w:t>
      </w:r>
    </w:p>
    <w:p w14:paraId="3E480CBF">
      <w:pPr>
        <w:spacing w:line="360" w:lineRule="auto"/>
        <w:ind w:firstLine="420" w:firstLineChars="200"/>
        <w:rPr>
          <w:color w:val="000000" w:themeColor="text1"/>
          <w:szCs w:val="21"/>
        </w:rPr>
      </w:pPr>
      <w:r>
        <w:rPr>
          <w:rFonts w:hint="eastAsia"/>
          <w:color w:val="000000" w:themeColor="text1"/>
          <w:szCs w:val="21"/>
        </w:rPr>
        <w:t>7、因运维周期长，科技的发展使设备更新换代速度快等因素，达到或超于招投标技术参数及性能的维护用设备、备品备件，经甲方批准后，乙方可实施采购、可更换品牌。</w:t>
      </w:r>
    </w:p>
    <w:p w14:paraId="529E8D48">
      <w:pPr>
        <w:spacing w:line="360" w:lineRule="auto"/>
        <w:ind w:firstLine="420" w:firstLineChars="200"/>
        <w:rPr>
          <w:color w:val="000000" w:themeColor="text1"/>
          <w:szCs w:val="21"/>
        </w:rPr>
      </w:pPr>
      <w:r>
        <w:rPr>
          <w:rFonts w:hint="eastAsia"/>
          <w:color w:val="000000" w:themeColor="text1"/>
          <w:szCs w:val="21"/>
        </w:rPr>
        <w:t>8、在工程维护期内，乙方应对由于产品的质量（含环保节能要求）、施工工艺、材料的缺陷而发生的任何不足或故障负责，并解决存在的问题。</w:t>
      </w:r>
    </w:p>
    <w:p w14:paraId="26BD1CFD">
      <w:pPr>
        <w:spacing w:line="360" w:lineRule="auto"/>
        <w:ind w:firstLine="420" w:firstLineChars="200"/>
        <w:rPr>
          <w:color w:val="000000" w:themeColor="text1"/>
          <w:szCs w:val="21"/>
        </w:rPr>
      </w:pPr>
      <w:r>
        <w:rPr>
          <w:rFonts w:hint="eastAsia"/>
          <w:color w:val="000000" w:themeColor="text1"/>
          <w:szCs w:val="21"/>
        </w:rPr>
        <w:t>9、 维护期内乙方应向甲方提供良好的技术支持服务、现场运维服务。</w:t>
      </w:r>
    </w:p>
    <w:p w14:paraId="0FF21F3D">
      <w:pPr>
        <w:spacing w:line="360" w:lineRule="auto"/>
        <w:ind w:firstLine="420" w:firstLineChars="200"/>
        <w:rPr>
          <w:color w:val="000000" w:themeColor="text1"/>
          <w:szCs w:val="21"/>
        </w:rPr>
      </w:pPr>
      <w:r>
        <w:rPr>
          <w:rFonts w:hint="eastAsia"/>
          <w:color w:val="000000" w:themeColor="text1"/>
          <w:szCs w:val="21"/>
        </w:rPr>
        <w:t>10、乙方应负责货物及主要部件、配件维修更换。质保期内，乙方对货物（被盗、人为故意损坏、自然灾害等不可抗因素除外）提供全免费保修或免费更换；质保期满后，依据相关规定执行。</w:t>
      </w:r>
    </w:p>
    <w:p w14:paraId="5C98988F">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11、及时向甲方通告本项目服务范围内有关服务的重大事项，及时配合处理投诉。</w:t>
      </w:r>
    </w:p>
    <w:p w14:paraId="080B29D7">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12、接受项目行业管理部门及政府有关部门的指导，接受甲方的监督。</w:t>
      </w:r>
    </w:p>
    <w:p w14:paraId="6526D93A">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13、国家法律、法规所规定由乙方承担的其它责任。</w:t>
      </w:r>
    </w:p>
    <w:p w14:paraId="155A0071">
      <w:pPr>
        <w:kinsoku w:val="0"/>
        <w:overflowPunct w:val="0"/>
        <w:spacing w:line="364" w:lineRule="auto"/>
        <w:ind w:firstLine="562" w:firstLineChars="200"/>
        <w:rPr>
          <w:rFonts w:ascii="宋体" w:hAnsi="宋体" w:cs="宋体"/>
          <w:b/>
          <w:color w:val="000000" w:themeColor="text1"/>
          <w:sz w:val="28"/>
          <w:szCs w:val="20"/>
        </w:rPr>
      </w:pPr>
      <w:r>
        <w:rPr>
          <w:rFonts w:hint="eastAsia" w:ascii="宋体" w:hAnsi="宋体" w:cs="宋体"/>
          <w:b/>
          <w:color w:val="000000" w:themeColor="text1"/>
          <w:sz w:val="28"/>
          <w:szCs w:val="20"/>
        </w:rPr>
        <w:t>第十二条 违约责任</w:t>
      </w:r>
    </w:p>
    <w:p w14:paraId="010718AC">
      <w:pPr>
        <w:kinsoku w:val="0"/>
        <w:overflowPunct w:val="0"/>
        <w:ind w:firstLine="420" w:firstLineChars="200"/>
        <w:rPr>
          <w:rFonts w:ascii="宋体" w:hAnsi="宋体" w:cs="宋体"/>
          <w:color w:val="000000" w:themeColor="text1"/>
          <w:szCs w:val="20"/>
        </w:rPr>
      </w:pPr>
      <w:r>
        <w:rPr>
          <w:rFonts w:hint="eastAsia" w:ascii="宋体" w:hAnsi="宋体" w:cs="宋体"/>
          <w:color w:val="000000" w:themeColor="text1"/>
          <w:szCs w:val="20"/>
        </w:rPr>
        <w:t>1、甲乙双方必须遵守本合同并执行合同中的各项规定，保证本合同的正常履行。</w:t>
      </w:r>
    </w:p>
    <w:p w14:paraId="09C3AACD">
      <w:pPr>
        <w:kinsoku w:val="0"/>
        <w:overflowPunct w:val="0"/>
        <w:spacing w:line="364"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2、甲方逾期付款的，除应及时付足款项外，应向乙方偿付欠款总额万分之五 /天的违约金；逾期付款超过30天的，乙方有权终止合同。</w:t>
      </w:r>
    </w:p>
    <w:p w14:paraId="30808732">
      <w:pPr>
        <w:kinsoku w:val="0"/>
        <w:overflowPunct w:val="0"/>
        <w:spacing w:line="364"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5598ACD3">
      <w:pPr>
        <w:kinsoku w:val="0"/>
        <w:overflowPunct w:val="0"/>
        <w:spacing w:line="364"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4、变更、中止或者终止合同，有过错的一方应当承担赔偿责任，双方都有过错的，各自承担相应的责任。</w:t>
      </w:r>
    </w:p>
    <w:p w14:paraId="596A628E">
      <w:pPr>
        <w:spacing w:line="360" w:lineRule="auto"/>
        <w:ind w:firstLine="422" w:firstLineChars="200"/>
        <w:rPr>
          <w:rFonts w:ascii="宋体" w:hAnsi="宋体" w:cs="宋体"/>
          <w:b/>
          <w:color w:val="000000" w:themeColor="text1"/>
          <w:szCs w:val="20"/>
        </w:rPr>
      </w:pPr>
      <w:r>
        <w:rPr>
          <w:rFonts w:hint="eastAsia" w:ascii="宋体" w:hAnsi="宋体" w:cs="宋体"/>
          <w:b/>
          <w:bCs/>
          <w:color w:val="000000" w:themeColor="text1"/>
          <w:szCs w:val="27"/>
        </w:rPr>
        <w:t xml:space="preserve">第十三条 </w:t>
      </w:r>
      <w:r>
        <w:rPr>
          <w:rFonts w:hint="eastAsia" w:ascii="宋体" w:hAnsi="宋体" w:cs="宋体"/>
          <w:bCs/>
          <w:color w:val="000000" w:themeColor="text1"/>
          <w:szCs w:val="20"/>
        </w:rPr>
        <w:t>转让与分包</w:t>
      </w:r>
    </w:p>
    <w:p w14:paraId="1C29D9FA">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w:t>
      </w:r>
      <w:r>
        <w:rPr>
          <w:rFonts w:hint="eastAsia" w:ascii="宋体" w:hAnsi="宋体" w:cs="宋体"/>
          <w:color w:val="000000" w:themeColor="text1"/>
          <w:szCs w:val="27"/>
        </w:rPr>
        <w:t>.</w:t>
      </w:r>
      <w:r>
        <w:rPr>
          <w:rFonts w:hint="eastAsia" w:ascii="宋体" w:hAnsi="宋体" w:cs="宋体"/>
          <w:color w:val="000000" w:themeColor="text1"/>
          <w:szCs w:val="20"/>
        </w:rPr>
        <w:t>除甲方事先书面同意外，乙方不得部分转让或全部转让其应履行的合同义务。</w:t>
      </w:r>
    </w:p>
    <w:p w14:paraId="5A76BCBF">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w:t>
      </w:r>
      <w:r>
        <w:rPr>
          <w:rFonts w:hint="eastAsia" w:ascii="宋体" w:hAnsi="宋体" w:cs="宋体"/>
          <w:color w:val="000000" w:themeColor="text1"/>
          <w:szCs w:val="27"/>
        </w:rPr>
        <w:t>.</w:t>
      </w:r>
      <w:r>
        <w:rPr>
          <w:rFonts w:hint="eastAsia" w:ascii="宋体" w:hAnsi="宋体" w:cs="宋体"/>
          <w:color w:val="000000" w:themeColor="text1"/>
          <w:szCs w:val="20"/>
        </w:rPr>
        <w:t>乙方应在投标文件中或以其他书面形式对甲方确认本合同项下所授予的所有分包合同。但该确认不解除乙方承担的本合同下的任何责任或义务。意即在本合同项下，乙方对甲方负总责。</w:t>
      </w:r>
    </w:p>
    <w:p w14:paraId="14A56840">
      <w:pPr>
        <w:spacing w:line="360" w:lineRule="auto"/>
        <w:ind w:firstLine="422" w:firstLineChars="200"/>
        <w:rPr>
          <w:rFonts w:ascii="宋体" w:hAnsi="宋体" w:cs="宋体"/>
          <w:b/>
          <w:color w:val="000000" w:themeColor="text1"/>
          <w:szCs w:val="20"/>
        </w:rPr>
      </w:pPr>
      <w:r>
        <w:rPr>
          <w:rFonts w:hint="eastAsia" w:ascii="宋体" w:hAnsi="宋体" w:cs="宋体"/>
          <w:b/>
          <w:bCs/>
          <w:color w:val="000000" w:themeColor="text1"/>
          <w:szCs w:val="27"/>
        </w:rPr>
        <w:t xml:space="preserve">第十四条 </w:t>
      </w:r>
      <w:r>
        <w:rPr>
          <w:rFonts w:hint="eastAsia" w:ascii="宋体" w:hAnsi="宋体" w:cs="宋体"/>
          <w:bCs/>
          <w:color w:val="000000" w:themeColor="text1"/>
          <w:szCs w:val="20"/>
        </w:rPr>
        <w:t>合同文件及资料的使用</w:t>
      </w:r>
    </w:p>
    <w:p w14:paraId="38C2F0D3">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w:t>
      </w:r>
      <w:r>
        <w:rPr>
          <w:rFonts w:hint="eastAsia" w:ascii="宋体" w:hAnsi="宋体" w:cs="宋体"/>
          <w:color w:val="000000" w:themeColor="text1"/>
          <w:szCs w:val="27"/>
        </w:rPr>
        <w:t>.</w:t>
      </w:r>
      <w:r>
        <w:rPr>
          <w:rFonts w:hint="eastAsia" w:ascii="宋体" w:hAnsi="宋体" w:cs="宋体"/>
          <w:color w:val="000000" w:themeColor="text1"/>
          <w:szCs w:val="20"/>
        </w:rPr>
        <w:t>乙方在未经甲方同意的情况下，不得将合同、合同中的规定、有关计划、图纸、样本或甲方为上述内容向乙方提供的资料透露给任何人。</w:t>
      </w:r>
    </w:p>
    <w:p w14:paraId="67D5DBBD">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2</w:t>
      </w:r>
      <w:r>
        <w:rPr>
          <w:rFonts w:hint="eastAsia" w:ascii="宋体" w:hAnsi="宋体" w:cs="宋体"/>
          <w:color w:val="000000" w:themeColor="text1"/>
          <w:szCs w:val="27"/>
        </w:rPr>
        <w:t>.</w:t>
      </w:r>
      <w:r>
        <w:rPr>
          <w:rFonts w:hint="eastAsia" w:ascii="宋体" w:hAnsi="宋体" w:cs="宋体"/>
          <w:color w:val="000000" w:themeColor="text1"/>
          <w:szCs w:val="20"/>
        </w:rPr>
        <w:t>除非执行合同需要，在事先未得到甲方同意的情况下，乙方不得使用前款所列的任何文件和资料。</w:t>
      </w:r>
    </w:p>
    <w:p w14:paraId="1A461657">
      <w:pPr>
        <w:keepNext/>
        <w:keepLines/>
        <w:kinsoku w:val="0"/>
        <w:overflowPunct w:val="0"/>
        <w:spacing w:before="340" w:after="330" w:line="578" w:lineRule="auto"/>
        <w:ind w:firstLine="602" w:firstLineChars="200"/>
        <w:outlineLvl w:val="0"/>
        <w:rPr>
          <w:rFonts w:ascii="宋体" w:hAnsi="宋体" w:cs="宋体"/>
          <w:b/>
          <w:bCs/>
          <w:color w:val="000000" w:themeColor="text1"/>
          <w:kern w:val="44"/>
          <w:sz w:val="30"/>
          <w:szCs w:val="44"/>
        </w:rPr>
      </w:pPr>
      <w:bookmarkStart w:id="65" w:name="_Toc164532499"/>
      <w:r>
        <w:rPr>
          <w:rFonts w:hint="eastAsia" w:ascii="宋体" w:hAnsi="宋体" w:cs="宋体"/>
          <w:b/>
          <w:bCs/>
          <w:color w:val="000000" w:themeColor="text1"/>
          <w:kern w:val="44"/>
          <w:sz w:val="30"/>
          <w:szCs w:val="44"/>
        </w:rPr>
        <w:t>第十五条 不可抗力事件处理</w:t>
      </w:r>
      <w:bookmarkEnd w:id="65"/>
    </w:p>
    <w:p w14:paraId="47FAE4EA">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1</w:t>
      </w:r>
      <w:r>
        <w:rPr>
          <w:rFonts w:hint="eastAsia" w:ascii="宋体" w:hAnsi="宋体" w:cs="宋体"/>
          <w:color w:val="000000" w:themeColor="text1"/>
          <w:szCs w:val="27"/>
        </w:rPr>
        <w:t>.</w:t>
      </w:r>
      <w:r>
        <w:rPr>
          <w:rFonts w:hint="eastAsia" w:ascii="宋体" w:hAnsi="宋体" w:cs="宋体"/>
          <w:color w:val="000000" w:themeColor="text1"/>
          <w:szCs w:val="20"/>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204D47F1">
      <w:pPr>
        <w:spacing w:line="400" w:lineRule="exact"/>
        <w:ind w:firstLine="420" w:firstLineChars="200"/>
        <w:rPr>
          <w:rFonts w:ascii="宋体" w:hAnsi="宋体" w:cs="宋体"/>
          <w:color w:val="000000" w:themeColor="text1"/>
          <w:szCs w:val="27"/>
        </w:rPr>
      </w:pPr>
      <w:r>
        <w:rPr>
          <w:rFonts w:hint="eastAsia" w:ascii="宋体" w:hAnsi="宋体" w:cs="宋体"/>
          <w:color w:val="000000" w:themeColor="text1"/>
          <w:szCs w:val="20"/>
        </w:rPr>
        <w:t>2</w:t>
      </w:r>
      <w:r>
        <w:rPr>
          <w:rFonts w:hint="eastAsia" w:ascii="宋体" w:hAnsi="宋体" w:cs="宋体"/>
          <w:color w:val="000000" w:themeColor="text1"/>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77D5EE8">
      <w:pPr>
        <w:keepNext/>
        <w:keepLines/>
        <w:kinsoku w:val="0"/>
        <w:overflowPunct w:val="0"/>
        <w:spacing w:before="340" w:after="330" w:line="400" w:lineRule="exact"/>
        <w:ind w:firstLine="602" w:firstLineChars="200"/>
        <w:outlineLvl w:val="0"/>
        <w:rPr>
          <w:rFonts w:ascii="宋体" w:hAnsi="宋体" w:cs="宋体"/>
          <w:b/>
          <w:bCs/>
          <w:color w:val="000000" w:themeColor="text1"/>
          <w:kern w:val="44"/>
          <w:sz w:val="30"/>
          <w:szCs w:val="44"/>
        </w:rPr>
      </w:pPr>
      <w:bookmarkStart w:id="66" w:name="_Toc164532500"/>
      <w:r>
        <w:rPr>
          <w:rFonts w:hint="eastAsia" w:ascii="宋体" w:hAnsi="宋体" w:cs="宋体"/>
          <w:b/>
          <w:bCs/>
          <w:color w:val="000000" w:themeColor="text1"/>
          <w:kern w:val="44"/>
          <w:sz w:val="30"/>
          <w:szCs w:val="44"/>
        </w:rPr>
        <w:t>第十六条 合同纠纷调处</w:t>
      </w:r>
      <w:bookmarkEnd w:id="66"/>
    </w:p>
    <w:p w14:paraId="6F535B97">
      <w:pPr>
        <w:spacing w:line="400" w:lineRule="exact"/>
        <w:ind w:firstLine="420" w:firstLineChars="200"/>
        <w:rPr>
          <w:rFonts w:ascii="宋体" w:hAnsi="宋体" w:cs="宋体"/>
          <w:color w:val="000000" w:themeColor="text1"/>
          <w:szCs w:val="20"/>
        </w:rPr>
      </w:pPr>
      <w:r>
        <w:rPr>
          <w:rFonts w:hint="eastAsia" w:ascii="宋体" w:hAnsi="宋体" w:cs="宋体"/>
          <w:color w:val="000000" w:themeColor="text1"/>
          <w:szCs w:val="20"/>
        </w:rPr>
        <w:t>1</w:t>
      </w:r>
      <w:r>
        <w:rPr>
          <w:rFonts w:hint="eastAsia" w:ascii="宋体" w:hAnsi="宋体" w:cs="宋体"/>
          <w:color w:val="000000" w:themeColor="text1"/>
          <w:szCs w:val="27"/>
        </w:rPr>
        <w:t>.按本合同规定应该偿付的违约金、赔偿金、保管保养费和各种经济损失，应当在明确责任后10天内，按银行规定的结算办法付清，否则按逾期付款处理。</w:t>
      </w:r>
    </w:p>
    <w:p w14:paraId="78528ABF">
      <w:pPr>
        <w:spacing w:line="400" w:lineRule="exact"/>
        <w:ind w:firstLine="420" w:firstLineChars="200"/>
        <w:rPr>
          <w:rFonts w:ascii="宋体" w:hAnsi="宋体" w:cs="宋体"/>
          <w:color w:val="000000" w:themeColor="text1"/>
          <w:szCs w:val="27"/>
        </w:rPr>
      </w:pPr>
      <w:r>
        <w:rPr>
          <w:rFonts w:hint="eastAsia" w:ascii="宋体" w:hAnsi="宋体" w:cs="宋体"/>
          <w:color w:val="000000" w:themeColor="text1"/>
          <w:szCs w:val="20"/>
        </w:rPr>
        <w:t>2</w:t>
      </w:r>
      <w:r>
        <w:rPr>
          <w:rFonts w:hint="eastAsia" w:ascii="宋体" w:hAnsi="宋体" w:cs="宋体"/>
          <w:color w:val="000000" w:themeColor="text1"/>
          <w:szCs w:val="27"/>
        </w:rPr>
        <w:t>.本合同如发生纠纷，当事人双方应当及时协商解决，协商不成时，任何一方均可请本项目政府采购监督管理部门调解，调解不成，按以下第（② ）项方式处理：①根据《中华人民共和国仲裁法》的规定向</w:t>
      </w:r>
      <w:r>
        <w:rPr>
          <w:rFonts w:hint="eastAsia" w:ascii="宋体" w:hAnsi="宋体" w:cs="宋体"/>
          <w:b/>
          <w:bCs/>
          <w:color w:val="000000" w:themeColor="text1"/>
          <w:szCs w:val="27"/>
          <w:u w:val="single"/>
        </w:rPr>
        <w:t>周口仲裁委员会</w:t>
      </w:r>
      <w:r>
        <w:rPr>
          <w:rFonts w:hint="eastAsia" w:ascii="宋体" w:hAnsi="宋体" w:cs="宋体"/>
          <w:color w:val="000000" w:themeColor="text1"/>
          <w:szCs w:val="27"/>
        </w:rPr>
        <w:t>申请仲裁。②向</w:t>
      </w:r>
      <w:r>
        <w:rPr>
          <w:rFonts w:hint="eastAsia" w:ascii="宋体" w:hAnsi="宋体" w:cs="宋体"/>
          <w:color w:val="000000" w:themeColor="text1"/>
          <w:szCs w:val="20"/>
        </w:rPr>
        <w:t>合同签订地有级别管辖权的</w:t>
      </w:r>
      <w:r>
        <w:rPr>
          <w:rFonts w:hint="eastAsia" w:ascii="宋体" w:hAnsi="宋体" w:cs="宋体"/>
          <w:color w:val="000000" w:themeColor="text1"/>
          <w:szCs w:val="27"/>
        </w:rPr>
        <w:t>人民法院起诉。</w:t>
      </w:r>
    </w:p>
    <w:p w14:paraId="389E97F7">
      <w:pPr>
        <w:keepNext/>
        <w:keepLines/>
        <w:kinsoku w:val="0"/>
        <w:overflowPunct w:val="0"/>
        <w:spacing w:before="340" w:after="330" w:line="400" w:lineRule="exact"/>
        <w:ind w:firstLine="602" w:firstLineChars="200"/>
        <w:outlineLvl w:val="0"/>
        <w:rPr>
          <w:rFonts w:ascii="宋体" w:hAnsi="宋体" w:cs="宋体"/>
          <w:b/>
          <w:bCs/>
          <w:color w:val="000000" w:themeColor="text1"/>
          <w:kern w:val="44"/>
          <w:sz w:val="30"/>
          <w:szCs w:val="27"/>
        </w:rPr>
      </w:pPr>
      <w:bookmarkStart w:id="67" w:name="_Toc164532501"/>
      <w:r>
        <w:rPr>
          <w:rFonts w:hint="eastAsia" w:ascii="宋体" w:hAnsi="宋体" w:cs="宋体"/>
          <w:b/>
          <w:bCs/>
          <w:color w:val="000000" w:themeColor="text1"/>
          <w:kern w:val="44"/>
          <w:sz w:val="30"/>
          <w:szCs w:val="27"/>
        </w:rPr>
        <w:t>3、</w:t>
      </w:r>
      <w:r>
        <w:rPr>
          <w:rFonts w:hint="eastAsia" w:ascii="宋体" w:hAnsi="宋体" w:cs="宋体"/>
          <w:color w:val="000000" w:themeColor="text1"/>
          <w:szCs w:val="27"/>
        </w:rPr>
        <w:t>甲、乙双方均有权利向本项目具有监管职能的政府采购监督管理部门举报反映对方在合同履约中的违法违纪行为。</w:t>
      </w:r>
      <w:bookmarkEnd w:id="67"/>
    </w:p>
    <w:p w14:paraId="10C09428">
      <w:pPr>
        <w:spacing w:line="400" w:lineRule="exact"/>
        <w:ind w:firstLine="422" w:firstLineChars="200"/>
        <w:rPr>
          <w:rFonts w:ascii="宋体" w:hAnsi="宋体" w:cs="宋体"/>
          <w:b/>
          <w:bCs/>
          <w:color w:val="000000" w:themeColor="text1"/>
          <w:szCs w:val="27"/>
        </w:rPr>
      </w:pPr>
      <w:r>
        <w:rPr>
          <w:rFonts w:hint="eastAsia" w:ascii="宋体" w:hAnsi="宋体" w:cs="宋体"/>
          <w:b/>
          <w:bCs/>
          <w:color w:val="000000" w:themeColor="text1"/>
          <w:szCs w:val="27"/>
        </w:rPr>
        <w:t>第十七条 其他</w:t>
      </w:r>
    </w:p>
    <w:p w14:paraId="28EB6832">
      <w:pPr>
        <w:spacing w:line="360" w:lineRule="auto"/>
        <w:ind w:firstLine="422" w:firstLineChars="200"/>
        <w:rPr>
          <w:rFonts w:ascii="宋体" w:hAnsi="宋体" w:cs="宋体"/>
          <w:color w:val="000000" w:themeColor="text1"/>
          <w:szCs w:val="27"/>
        </w:rPr>
      </w:pPr>
      <w:r>
        <w:rPr>
          <w:rFonts w:hint="eastAsia" w:ascii="宋体" w:hAnsi="宋体" w:cs="宋体"/>
          <w:b/>
          <w:bCs/>
          <w:color w:val="000000" w:themeColor="text1"/>
          <w:szCs w:val="27"/>
        </w:rPr>
        <w:t xml:space="preserve"> </w:t>
      </w:r>
      <w:r>
        <w:rPr>
          <w:rFonts w:hint="eastAsia" w:ascii="宋体" w:hAnsi="宋体" w:cs="宋体"/>
          <w:color w:val="000000" w:themeColor="text1"/>
          <w:szCs w:val="27"/>
        </w:rPr>
        <w:t>下列关于周口市公共资源交易中心政府采购代理机构名称</w:t>
      </w:r>
      <w:r>
        <w:rPr>
          <w:rFonts w:hint="eastAsia" w:ascii="宋体" w:hAnsi="宋体" w:cs="宋体"/>
          <w:color w:val="000000" w:themeColor="text1"/>
          <w:szCs w:val="27"/>
          <w:u w:val="single"/>
        </w:rPr>
        <w:t>某项目（项目编号：某编号）</w:t>
      </w:r>
      <w:r>
        <w:rPr>
          <w:rFonts w:hint="eastAsia" w:ascii="宋体" w:hAnsi="宋体" w:cs="宋体"/>
          <w:color w:val="000000" w:themeColor="text1"/>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0F6E0A6">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 xml:space="preserve">    </w:t>
      </w:r>
      <w:r>
        <w:rPr>
          <w:rFonts w:hint="eastAsia" w:ascii="宋体" w:hAnsi="宋体" w:cs="宋体"/>
          <w:color w:val="000000" w:themeColor="text1"/>
          <w:szCs w:val="20"/>
        </w:rPr>
        <w:t>本合同一式</w:t>
      </w:r>
      <w:r>
        <w:rPr>
          <w:rFonts w:hint="eastAsia" w:ascii="宋体" w:hAnsi="宋体" w:cs="宋体"/>
          <w:color w:val="000000" w:themeColor="text1"/>
          <w:szCs w:val="20"/>
          <w:u w:val="single"/>
        </w:rPr>
        <w:t xml:space="preserve"> 肆  </w:t>
      </w:r>
      <w:r>
        <w:rPr>
          <w:rFonts w:hint="eastAsia" w:ascii="宋体" w:hAnsi="宋体" w:cs="宋体"/>
          <w:color w:val="000000" w:themeColor="text1"/>
          <w:szCs w:val="20"/>
        </w:rPr>
        <w:t>份，甲乙双方各执</w:t>
      </w:r>
      <w:r>
        <w:rPr>
          <w:rFonts w:hint="eastAsia" w:ascii="宋体" w:hAnsi="宋体" w:cs="宋体"/>
          <w:color w:val="000000" w:themeColor="text1"/>
          <w:szCs w:val="20"/>
          <w:u w:val="single"/>
        </w:rPr>
        <w:t xml:space="preserve"> 贰  </w:t>
      </w:r>
      <w:r>
        <w:rPr>
          <w:rFonts w:hint="eastAsia" w:ascii="宋体" w:hAnsi="宋体" w:cs="宋体"/>
          <w:color w:val="000000" w:themeColor="text1"/>
          <w:szCs w:val="20"/>
        </w:rPr>
        <w:t>份，自双方当事人签字盖章之日起生效。</w:t>
      </w:r>
    </w:p>
    <w:p w14:paraId="6B90D354">
      <w:pPr>
        <w:spacing w:line="360" w:lineRule="auto"/>
        <w:ind w:firstLine="420" w:firstLineChars="200"/>
        <w:rPr>
          <w:rFonts w:ascii="宋体" w:hAnsi="宋体" w:cs="宋体"/>
          <w:color w:val="000000" w:themeColor="text1"/>
          <w:szCs w:val="27"/>
        </w:rPr>
      </w:pPr>
    </w:p>
    <w:p w14:paraId="51ECC02C">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 xml:space="preserve">采购人（甲方）：    （公章）           供货人（乙方）：     （公章）  </w:t>
      </w:r>
    </w:p>
    <w:p w14:paraId="38066BC7">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7"/>
        </w:rPr>
        <w:t>地址：                               地址：</w:t>
      </w:r>
    </w:p>
    <w:p w14:paraId="6C10746E">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法定代表人：                         法定代表人：</w:t>
      </w:r>
    </w:p>
    <w:p w14:paraId="57552694">
      <w:pPr>
        <w:spacing w:line="360" w:lineRule="auto"/>
        <w:ind w:firstLine="420" w:firstLineChars="200"/>
        <w:rPr>
          <w:rFonts w:ascii="宋体" w:hAnsi="宋体" w:cs="宋体"/>
          <w:color w:val="000000" w:themeColor="text1"/>
          <w:szCs w:val="20"/>
          <w:u w:val="single"/>
        </w:rPr>
      </w:pPr>
      <w:r>
        <w:rPr>
          <w:rFonts w:hint="eastAsia" w:ascii="宋体" w:hAnsi="宋体" w:cs="宋体"/>
          <w:color w:val="000000" w:themeColor="text1"/>
          <w:szCs w:val="27"/>
        </w:rPr>
        <w:t>委托代理人：                         委托代理人：</w:t>
      </w:r>
    </w:p>
    <w:p w14:paraId="40709650">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0"/>
        </w:rPr>
        <w:t>电话：                               电话：</w:t>
      </w:r>
    </w:p>
    <w:p w14:paraId="1A0E64C6">
      <w:pPr>
        <w:spacing w:line="360" w:lineRule="auto"/>
        <w:ind w:firstLine="420" w:firstLineChars="200"/>
        <w:rPr>
          <w:rFonts w:ascii="宋体" w:hAnsi="宋体" w:cs="宋体"/>
          <w:color w:val="000000" w:themeColor="text1"/>
          <w:szCs w:val="27"/>
        </w:rPr>
      </w:pPr>
      <w:r>
        <w:rPr>
          <w:rFonts w:hint="eastAsia" w:ascii="宋体" w:hAnsi="宋体" w:cs="宋体"/>
          <w:color w:val="000000" w:themeColor="text1"/>
          <w:szCs w:val="27"/>
        </w:rPr>
        <w:t>开户银行：                           开户银行：</w:t>
      </w:r>
    </w:p>
    <w:p w14:paraId="22E5409F">
      <w:pPr>
        <w:spacing w:line="360" w:lineRule="auto"/>
        <w:ind w:firstLine="420" w:firstLineChars="200"/>
        <w:rPr>
          <w:rFonts w:ascii="宋体" w:hAnsi="宋体" w:cs="宋体"/>
          <w:color w:val="000000" w:themeColor="text1"/>
          <w:szCs w:val="20"/>
        </w:rPr>
      </w:pPr>
      <w:r>
        <w:rPr>
          <w:rFonts w:hint="eastAsia" w:ascii="宋体" w:hAnsi="宋体" w:cs="宋体"/>
          <w:color w:val="000000" w:themeColor="text1"/>
          <w:szCs w:val="27"/>
        </w:rPr>
        <w:t>账号：                               账号：</w:t>
      </w:r>
    </w:p>
    <w:p w14:paraId="1808494F">
      <w:pPr>
        <w:spacing w:line="360" w:lineRule="auto"/>
        <w:rPr>
          <w:rFonts w:ascii="宋体" w:hAnsi="宋体" w:cs="宋体"/>
          <w:color w:val="000000" w:themeColor="text1"/>
          <w:szCs w:val="27"/>
        </w:rPr>
      </w:pP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年</w:t>
      </w: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月</w:t>
      </w: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 xml:space="preserve">日            </w:t>
      </w: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年</w:t>
      </w: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月</w:t>
      </w:r>
      <w:r>
        <w:rPr>
          <w:rFonts w:hint="eastAsia" w:ascii="宋体" w:hAnsi="宋体" w:cs="宋体"/>
          <w:color w:val="000000" w:themeColor="text1"/>
          <w:szCs w:val="27"/>
          <w:u w:val="single"/>
        </w:rPr>
        <w:t xml:space="preserve">  </w:t>
      </w:r>
      <w:r>
        <w:rPr>
          <w:rFonts w:hint="eastAsia" w:ascii="宋体" w:hAnsi="宋体" w:cs="宋体"/>
          <w:color w:val="000000" w:themeColor="text1"/>
          <w:szCs w:val="27"/>
        </w:rPr>
        <w:t xml:space="preserve">日    </w:t>
      </w:r>
    </w:p>
    <w:p w14:paraId="6E6EF6E2">
      <w:pPr>
        <w:pStyle w:val="2"/>
        <w:ind w:firstLine="210"/>
        <w:rPr>
          <w:color w:val="000000" w:themeColor="text1"/>
        </w:rPr>
      </w:pPr>
    </w:p>
    <w:p w14:paraId="1A52E0C6">
      <w:pPr>
        <w:pStyle w:val="2"/>
        <w:ind w:firstLine="321"/>
        <w:jc w:val="center"/>
        <w:rPr>
          <w:b/>
          <w:color w:val="000000" w:themeColor="text1"/>
          <w:sz w:val="32"/>
          <w:szCs w:val="32"/>
        </w:rPr>
      </w:pPr>
      <w:r>
        <w:rPr>
          <w:rFonts w:hint="eastAsia"/>
          <w:b/>
          <w:color w:val="000000" w:themeColor="text1"/>
          <w:sz w:val="32"/>
          <w:szCs w:val="32"/>
        </w:rPr>
        <w:t>周口市政府采购合同融资政策告知函</w:t>
      </w:r>
    </w:p>
    <w:p w14:paraId="00B24CE8">
      <w:pPr>
        <w:pStyle w:val="2"/>
        <w:ind w:firstLine="240"/>
        <w:rPr>
          <w:rFonts w:asciiTheme="minorEastAsia" w:hAnsiTheme="minorEastAsia" w:eastAsiaTheme="minorEastAsia"/>
          <w:color w:val="000000" w:themeColor="text1"/>
          <w:sz w:val="24"/>
        </w:rPr>
      </w:pPr>
    </w:p>
    <w:p w14:paraId="18D53E18">
      <w:pPr>
        <w:pStyle w:val="2"/>
        <w:ind w:firstLine="240"/>
        <w:rPr>
          <w:rFonts w:asciiTheme="minorEastAsia" w:hAnsiTheme="minorEastAsia" w:eastAsiaTheme="minorEastAsia"/>
          <w:color w:val="000000" w:themeColor="text1"/>
          <w:sz w:val="24"/>
        </w:rPr>
      </w:pPr>
    </w:p>
    <w:p w14:paraId="4E0DBB8A">
      <w:pPr>
        <w:pStyle w:val="2"/>
        <w:ind w:firstLine="240"/>
        <w:rPr>
          <w:rFonts w:asciiTheme="minorEastAsia" w:hAnsiTheme="minorEastAsia" w:eastAsiaTheme="minorEastAsia"/>
          <w:color w:val="000000" w:themeColor="text1"/>
          <w:sz w:val="24"/>
        </w:rPr>
      </w:pPr>
    </w:p>
    <w:p w14:paraId="3C3421DB">
      <w:pPr>
        <w:pStyle w:val="2"/>
        <w:ind w:firstLine="24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各供应商：</w:t>
      </w:r>
    </w:p>
    <w:p w14:paraId="66E90349">
      <w:pPr>
        <w:pStyle w:val="2"/>
        <w:ind w:firstLine="24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欢迎贵公司参与周口市政府采购活动！</w:t>
      </w:r>
    </w:p>
    <w:p w14:paraId="305A3519">
      <w:pPr>
        <w:pStyle w:val="2"/>
        <w:ind w:firstLine="24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DA0CA0B">
      <w:pPr>
        <w:pStyle w:val="2"/>
        <w:ind w:firstLine="24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贷款渠道和提供贷款的金融机构，可在河南省政府采购网“河南省政府采购合同融资平台”查询联系。</w:t>
      </w:r>
    </w:p>
    <w:p w14:paraId="671A7FE3">
      <w:pPr>
        <w:pStyle w:val="29"/>
        <w:spacing w:before="0" w:beforeAutospacing="0" w:after="0" w:afterAutospacing="0" w:line="330" w:lineRule="atLeast"/>
        <w:rPr>
          <w:rFonts w:cs="仿宋_GB2312"/>
          <w:b/>
          <w:bCs/>
          <w:color w:val="000000" w:themeColor="text1"/>
          <w:sz w:val="21"/>
          <w:szCs w:val="21"/>
        </w:rPr>
      </w:pPr>
    </w:p>
    <w:p w14:paraId="476C98D9">
      <w:pPr>
        <w:pStyle w:val="29"/>
        <w:spacing w:before="0" w:beforeAutospacing="0" w:after="0" w:afterAutospacing="0" w:line="330" w:lineRule="atLeast"/>
        <w:rPr>
          <w:rFonts w:cs="仿宋_GB2312"/>
          <w:b/>
          <w:bCs/>
          <w:color w:val="000000" w:themeColor="text1"/>
          <w:sz w:val="21"/>
          <w:szCs w:val="21"/>
        </w:rPr>
      </w:pPr>
    </w:p>
    <w:p w14:paraId="57F020F8">
      <w:pPr>
        <w:pStyle w:val="29"/>
        <w:spacing w:before="0" w:beforeAutospacing="0" w:after="0" w:afterAutospacing="0" w:line="330" w:lineRule="atLeast"/>
        <w:rPr>
          <w:rFonts w:cs="仿宋_GB2312"/>
          <w:b/>
          <w:bCs/>
          <w:color w:val="000000" w:themeColor="text1"/>
          <w:sz w:val="21"/>
          <w:szCs w:val="21"/>
        </w:rPr>
      </w:pPr>
    </w:p>
    <w:p w14:paraId="31F2750B">
      <w:pPr>
        <w:pStyle w:val="29"/>
        <w:spacing w:before="0" w:beforeAutospacing="0" w:after="0" w:afterAutospacing="0" w:line="330" w:lineRule="atLeast"/>
        <w:rPr>
          <w:rFonts w:cs="仿宋_GB2312"/>
          <w:b/>
          <w:bCs/>
          <w:color w:val="000000" w:themeColor="text1"/>
          <w:sz w:val="21"/>
          <w:szCs w:val="21"/>
        </w:rPr>
      </w:pPr>
    </w:p>
    <w:p w14:paraId="559D038B">
      <w:pPr>
        <w:pStyle w:val="29"/>
        <w:spacing w:before="0" w:beforeAutospacing="0" w:after="0" w:afterAutospacing="0" w:line="330" w:lineRule="atLeast"/>
        <w:rPr>
          <w:rFonts w:cs="仿宋_GB2312"/>
          <w:b/>
          <w:bCs/>
          <w:color w:val="000000" w:themeColor="text1"/>
          <w:sz w:val="21"/>
          <w:szCs w:val="21"/>
        </w:rPr>
      </w:pPr>
    </w:p>
    <w:p w14:paraId="7B5DBAEB">
      <w:pPr>
        <w:pStyle w:val="29"/>
        <w:spacing w:before="0" w:beforeAutospacing="0" w:after="0" w:afterAutospacing="0" w:line="330" w:lineRule="atLeast"/>
        <w:rPr>
          <w:rFonts w:cs="仿宋_GB2312"/>
          <w:b/>
          <w:bCs/>
          <w:color w:val="000000" w:themeColor="text1"/>
          <w:sz w:val="21"/>
          <w:szCs w:val="21"/>
        </w:rPr>
      </w:pPr>
    </w:p>
    <w:p w14:paraId="78C7ECB4">
      <w:pPr>
        <w:pStyle w:val="29"/>
        <w:spacing w:before="0" w:beforeAutospacing="0" w:after="0" w:afterAutospacing="0" w:line="330" w:lineRule="atLeast"/>
        <w:rPr>
          <w:rFonts w:cs="仿宋_GB2312"/>
          <w:b/>
          <w:bCs/>
          <w:color w:val="000000" w:themeColor="text1"/>
          <w:sz w:val="21"/>
          <w:szCs w:val="21"/>
        </w:rPr>
      </w:pPr>
    </w:p>
    <w:p w14:paraId="117E5705">
      <w:pPr>
        <w:pStyle w:val="29"/>
        <w:spacing w:before="0" w:beforeAutospacing="0" w:after="0" w:afterAutospacing="0" w:line="330" w:lineRule="atLeast"/>
        <w:rPr>
          <w:rFonts w:cs="仿宋_GB2312"/>
          <w:b/>
          <w:bCs/>
          <w:color w:val="000000" w:themeColor="text1"/>
          <w:sz w:val="21"/>
          <w:szCs w:val="21"/>
        </w:rPr>
      </w:pPr>
    </w:p>
    <w:p w14:paraId="6BA49961">
      <w:pPr>
        <w:pStyle w:val="29"/>
        <w:spacing w:before="0" w:beforeAutospacing="0" w:after="0" w:afterAutospacing="0" w:line="330" w:lineRule="atLeast"/>
        <w:rPr>
          <w:rFonts w:cs="仿宋_GB2312"/>
          <w:b/>
          <w:bCs/>
          <w:color w:val="000000" w:themeColor="text1"/>
          <w:sz w:val="21"/>
          <w:szCs w:val="21"/>
        </w:rPr>
      </w:pPr>
    </w:p>
    <w:p w14:paraId="70E83891">
      <w:pPr>
        <w:pStyle w:val="29"/>
        <w:spacing w:before="0" w:beforeAutospacing="0" w:after="0" w:afterAutospacing="0" w:line="330" w:lineRule="atLeast"/>
        <w:rPr>
          <w:rFonts w:cs="仿宋_GB2312"/>
          <w:b/>
          <w:bCs/>
          <w:color w:val="000000" w:themeColor="text1"/>
          <w:sz w:val="21"/>
          <w:szCs w:val="21"/>
        </w:rPr>
      </w:pPr>
    </w:p>
    <w:p w14:paraId="28C9D138">
      <w:pPr>
        <w:pStyle w:val="29"/>
        <w:spacing w:before="0" w:beforeAutospacing="0" w:after="0" w:afterAutospacing="0" w:line="330" w:lineRule="atLeast"/>
        <w:rPr>
          <w:rFonts w:cs="仿宋_GB2312"/>
          <w:b/>
          <w:bCs/>
          <w:color w:val="000000" w:themeColor="text1"/>
          <w:sz w:val="21"/>
          <w:szCs w:val="21"/>
        </w:rPr>
      </w:pPr>
    </w:p>
    <w:p w14:paraId="540F2B49">
      <w:pPr>
        <w:pStyle w:val="29"/>
        <w:spacing w:before="0" w:beforeAutospacing="0" w:after="0" w:afterAutospacing="0" w:line="330" w:lineRule="atLeast"/>
        <w:rPr>
          <w:rFonts w:cs="仿宋_GB2312"/>
          <w:b/>
          <w:bCs/>
          <w:color w:val="000000" w:themeColor="text1"/>
          <w:sz w:val="21"/>
          <w:szCs w:val="21"/>
        </w:rPr>
      </w:pPr>
    </w:p>
    <w:p w14:paraId="5DA69CD9">
      <w:pPr>
        <w:pStyle w:val="29"/>
        <w:spacing w:before="0" w:beforeAutospacing="0" w:after="0" w:afterAutospacing="0" w:line="330" w:lineRule="atLeast"/>
        <w:rPr>
          <w:rFonts w:cs="仿宋_GB2312"/>
          <w:b/>
          <w:bCs/>
          <w:color w:val="000000" w:themeColor="text1"/>
          <w:sz w:val="21"/>
          <w:szCs w:val="21"/>
        </w:rPr>
      </w:pPr>
    </w:p>
    <w:p w14:paraId="43B647D0">
      <w:pPr>
        <w:pStyle w:val="2"/>
        <w:ind w:firstLine="210"/>
        <w:rPr>
          <w:color w:val="000000" w:themeColor="text1"/>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A6F3">
    <w:pPr>
      <w:pStyle w:val="22"/>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0E4A">
    <w:pPr>
      <w:pStyle w:val="23"/>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8A5194"/>
    <w:multiLevelType w:val="singleLevel"/>
    <w:tmpl w:val="428A5194"/>
    <w:lvl w:ilvl="0" w:tentative="0">
      <w:start w:val="1"/>
      <w:numFmt w:val="decimal"/>
      <w:suff w:val="nothing"/>
      <w:lvlText w:val="%1、"/>
      <w:lvlJc w:val="left"/>
    </w:lvl>
  </w:abstractNum>
  <w:abstractNum w:abstractNumId="3">
    <w:nsid w:val="78E491B5"/>
    <w:multiLevelType w:val="singleLevel"/>
    <w:tmpl w:val="78E491B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VjOTQ5NGFmNGFjMTAwMjZiODlhMzA0ZTU0NWNjMTYifQ=="/>
  </w:docVars>
  <w:rsids>
    <w:rsidRoot w:val="00172A27"/>
    <w:rsid w:val="00000EB7"/>
    <w:rsid w:val="00002096"/>
    <w:rsid w:val="00002165"/>
    <w:rsid w:val="00003AB0"/>
    <w:rsid w:val="00006828"/>
    <w:rsid w:val="00007916"/>
    <w:rsid w:val="000102C8"/>
    <w:rsid w:val="00010D52"/>
    <w:rsid w:val="000116D3"/>
    <w:rsid w:val="000129DA"/>
    <w:rsid w:val="00013396"/>
    <w:rsid w:val="00013D3C"/>
    <w:rsid w:val="00014E7F"/>
    <w:rsid w:val="000152DE"/>
    <w:rsid w:val="00015F3D"/>
    <w:rsid w:val="000213BA"/>
    <w:rsid w:val="00024C10"/>
    <w:rsid w:val="00025F7C"/>
    <w:rsid w:val="0004275F"/>
    <w:rsid w:val="00044689"/>
    <w:rsid w:val="000449D3"/>
    <w:rsid w:val="00045FE3"/>
    <w:rsid w:val="00046C62"/>
    <w:rsid w:val="00050196"/>
    <w:rsid w:val="000511E4"/>
    <w:rsid w:val="00052220"/>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3EBE"/>
    <w:rsid w:val="00094BB5"/>
    <w:rsid w:val="000A257B"/>
    <w:rsid w:val="000A26CA"/>
    <w:rsid w:val="000A44B1"/>
    <w:rsid w:val="000A520A"/>
    <w:rsid w:val="000A5315"/>
    <w:rsid w:val="000B3B85"/>
    <w:rsid w:val="000B7098"/>
    <w:rsid w:val="000C0E0E"/>
    <w:rsid w:val="000C5EEB"/>
    <w:rsid w:val="000D1060"/>
    <w:rsid w:val="000D13CD"/>
    <w:rsid w:val="000D2FDB"/>
    <w:rsid w:val="000D5EE1"/>
    <w:rsid w:val="000E6816"/>
    <w:rsid w:val="000F00E0"/>
    <w:rsid w:val="000F1943"/>
    <w:rsid w:val="000F24C7"/>
    <w:rsid w:val="000F7A85"/>
    <w:rsid w:val="001003DE"/>
    <w:rsid w:val="00101C3F"/>
    <w:rsid w:val="00110380"/>
    <w:rsid w:val="00112A3E"/>
    <w:rsid w:val="001135DC"/>
    <w:rsid w:val="00114EC3"/>
    <w:rsid w:val="00115E75"/>
    <w:rsid w:val="0011768E"/>
    <w:rsid w:val="00120244"/>
    <w:rsid w:val="00123AA2"/>
    <w:rsid w:val="001302F5"/>
    <w:rsid w:val="001337D6"/>
    <w:rsid w:val="00136327"/>
    <w:rsid w:val="00144E58"/>
    <w:rsid w:val="00146C5A"/>
    <w:rsid w:val="00147994"/>
    <w:rsid w:val="00154C3F"/>
    <w:rsid w:val="00156E7B"/>
    <w:rsid w:val="00157047"/>
    <w:rsid w:val="00160FBC"/>
    <w:rsid w:val="00163FD1"/>
    <w:rsid w:val="001670CA"/>
    <w:rsid w:val="00170FFC"/>
    <w:rsid w:val="00172A27"/>
    <w:rsid w:val="001740C8"/>
    <w:rsid w:val="001741A6"/>
    <w:rsid w:val="0017512B"/>
    <w:rsid w:val="0017687E"/>
    <w:rsid w:val="0018079E"/>
    <w:rsid w:val="00186974"/>
    <w:rsid w:val="00191897"/>
    <w:rsid w:val="00194767"/>
    <w:rsid w:val="00195842"/>
    <w:rsid w:val="00195D4F"/>
    <w:rsid w:val="00196EC8"/>
    <w:rsid w:val="001A0695"/>
    <w:rsid w:val="001A26F3"/>
    <w:rsid w:val="001A346F"/>
    <w:rsid w:val="001A380A"/>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1143"/>
    <w:rsid w:val="00212001"/>
    <w:rsid w:val="00213E36"/>
    <w:rsid w:val="002156E9"/>
    <w:rsid w:val="002176AB"/>
    <w:rsid w:val="0022038E"/>
    <w:rsid w:val="0022145E"/>
    <w:rsid w:val="00222577"/>
    <w:rsid w:val="00224F94"/>
    <w:rsid w:val="00235054"/>
    <w:rsid w:val="00244CC3"/>
    <w:rsid w:val="00246082"/>
    <w:rsid w:val="00247A19"/>
    <w:rsid w:val="00251AE3"/>
    <w:rsid w:val="00257C04"/>
    <w:rsid w:val="00257F2B"/>
    <w:rsid w:val="00260254"/>
    <w:rsid w:val="00265B18"/>
    <w:rsid w:val="00270508"/>
    <w:rsid w:val="00270AB4"/>
    <w:rsid w:val="00271691"/>
    <w:rsid w:val="00271EA0"/>
    <w:rsid w:val="00280A38"/>
    <w:rsid w:val="0028546B"/>
    <w:rsid w:val="0029687A"/>
    <w:rsid w:val="002A134F"/>
    <w:rsid w:val="002A2FB3"/>
    <w:rsid w:val="002A33CC"/>
    <w:rsid w:val="002A6593"/>
    <w:rsid w:val="002A6941"/>
    <w:rsid w:val="002B29FD"/>
    <w:rsid w:val="002B432D"/>
    <w:rsid w:val="002B4CF0"/>
    <w:rsid w:val="002B7671"/>
    <w:rsid w:val="002B7AB2"/>
    <w:rsid w:val="002C00CD"/>
    <w:rsid w:val="002C24BA"/>
    <w:rsid w:val="002C440E"/>
    <w:rsid w:val="002C5BB6"/>
    <w:rsid w:val="002C650A"/>
    <w:rsid w:val="002D2A87"/>
    <w:rsid w:val="002D2DA6"/>
    <w:rsid w:val="002D6658"/>
    <w:rsid w:val="002D6811"/>
    <w:rsid w:val="002D7BB8"/>
    <w:rsid w:val="002E3325"/>
    <w:rsid w:val="002E5002"/>
    <w:rsid w:val="002F229E"/>
    <w:rsid w:val="002F3064"/>
    <w:rsid w:val="00300BC8"/>
    <w:rsid w:val="003016F6"/>
    <w:rsid w:val="00304C09"/>
    <w:rsid w:val="00310CDB"/>
    <w:rsid w:val="00315AD3"/>
    <w:rsid w:val="003212EE"/>
    <w:rsid w:val="00322F75"/>
    <w:rsid w:val="0032356A"/>
    <w:rsid w:val="00327B1D"/>
    <w:rsid w:val="00331138"/>
    <w:rsid w:val="00336C0C"/>
    <w:rsid w:val="003370FE"/>
    <w:rsid w:val="00341B57"/>
    <w:rsid w:val="003420B3"/>
    <w:rsid w:val="0034239E"/>
    <w:rsid w:val="00342B36"/>
    <w:rsid w:val="00342B7F"/>
    <w:rsid w:val="00347F63"/>
    <w:rsid w:val="00360A4C"/>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02AB"/>
    <w:rsid w:val="003D39F8"/>
    <w:rsid w:val="003D68C0"/>
    <w:rsid w:val="003D7330"/>
    <w:rsid w:val="003E7506"/>
    <w:rsid w:val="003E7C35"/>
    <w:rsid w:val="003F0BE5"/>
    <w:rsid w:val="003F2257"/>
    <w:rsid w:val="00402113"/>
    <w:rsid w:val="00412000"/>
    <w:rsid w:val="00412743"/>
    <w:rsid w:val="004144EF"/>
    <w:rsid w:val="00415E9C"/>
    <w:rsid w:val="00416396"/>
    <w:rsid w:val="00417D8B"/>
    <w:rsid w:val="00421E87"/>
    <w:rsid w:val="004277EC"/>
    <w:rsid w:val="00427E1C"/>
    <w:rsid w:val="00436E32"/>
    <w:rsid w:val="00437BBF"/>
    <w:rsid w:val="00437ED3"/>
    <w:rsid w:val="00440598"/>
    <w:rsid w:val="004441AE"/>
    <w:rsid w:val="00451260"/>
    <w:rsid w:val="00454511"/>
    <w:rsid w:val="004546C0"/>
    <w:rsid w:val="00467101"/>
    <w:rsid w:val="00467BD4"/>
    <w:rsid w:val="00475851"/>
    <w:rsid w:val="00480775"/>
    <w:rsid w:val="00480D31"/>
    <w:rsid w:val="00482AA6"/>
    <w:rsid w:val="00484B9E"/>
    <w:rsid w:val="00487991"/>
    <w:rsid w:val="00492A0C"/>
    <w:rsid w:val="00493EBA"/>
    <w:rsid w:val="00495DFE"/>
    <w:rsid w:val="00496381"/>
    <w:rsid w:val="004A2891"/>
    <w:rsid w:val="004A35A6"/>
    <w:rsid w:val="004A3FB0"/>
    <w:rsid w:val="004A669D"/>
    <w:rsid w:val="004B0282"/>
    <w:rsid w:val="004B253B"/>
    <w:rsid w:val="004B2C3C"/>
    <w:rsid w:val="004B50EC"/>
    <w:rsid w:val="004B6352"/>
    <w:rsid w:val="004B7594"/>
    <w:rsid w:val="004C2474"/>
    <w:rsid w:val="004C4124"/>
    <w:rsid w:val="004C4A46"/>
    <w:rsid w:val="004C5947"/>
    <w:rsid w:val="004D18D6"/>
    <w:rsid w:val="004D63CD"/>
    <w:rsid w:val="004E01F6"/>
    <w:rsid w:val="004E0E11"/>
    <w:rsid w:val="004E2003"/>
    <w:rsid w:val="004E29E2"/>
    <w:rsid w:val="004E3C63"/>
    <w:rsid w:val="004F1247"/>
    <w:rsid w:val="004F400C"/>
    <w:rsid w:val="004F613D"/>
    <w:rsid w:val="00503FE1"/>
    <w:rsid w:val="00505A03"/>
    <w:rsid w:val="0050669F"/>
    <w:rsid w:val="00510C03"/>
    <w:rsid w:val="00513FAF"/>
    <w:rsid w:val="00520620"/>
    <w:rsid w:val="0052196E"/>
    <w:rsid w:val="00522CAA"/>
    <w:rsid w:val="00526086"/>
    <w:rsid w:val="005269CB"/>
    <w:rsid w:val="005301E0"/>
    <w:rsid w:val="0053098E"/>
    <w:rsid w:val="00534938"/>
    <w:rsid w:val="005429D6"/>
    <w:rsid w:val="005507A4"/>
    <w:rsid w:val="00550A4F"/>
    <w:rsid w:val="00556822"/>
    <w:rsid w:val="00557571"/>
    <w:rsid w:val="00560314"/>
    <w:rsid w:val="00563282"/>
    <w:rsid w:val="00567FC5"/>
    <w:rsid w:val="005745F5"/>
    <w:rsid w:val="00575B7A"/>
    <w:rsid w:val="00576301"/>
    <w:rsid w:val="005812D3"/>
    <w:rsid w:val="005839B0"/>
    <w:rsid w:val="00586720"/>
    <w:rsid w:val="0058696C"/>
    <w:rsid w:val="00597537"/>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E5057"/>
    <w:rsid w:val="005F4D02"/>
    <w:rsid w:val="00601BF7"/>
    <w:rsid w:val="0060524B"/>
    <w:rsid w:val="00607654"/>
    <w:rsid w:val="006113CF"/>
    <w:rsid w:val="006158DC"/>
    <w:rsid w:val="0061645A"/>
    <w:rsid w:val="0062126D"/>
    <w:rsid w:val="00621B09"/>
    <w:rsid w:val="006227BE"/>
    <w:rsid w:val="00622A51"/>
    <w:rsid w:val="00624AC7"/>
    <w:rsid w:val="0063018F"/>
    <w:rsid w:val="00632A25"/>
    <w:rsid w:val="006362B0"/>
    <w:rsid w:val="00643D6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975DD"/>
    <w:rsid w:val="006A1EA6"/>
    <w:rsid w:val="006A3E62"/>
    <w:rsid w:val="006A4ACB"/>
    <w:rsid w:val="006B09AC"/>
    <w:rsid w:val="006B3C32"/>
    <w:rsid w:val="006B41DC"/>
    <w:rsid w:val="006B70D2"/>
    <w:rsid w:val="006C1791"/>
    <w:rsid w:val="006C631F"/>
    <w:rsid w:val="006D09EA"/>
    <w:rsid w:val="006D78DF"/>
    <w:rsid w:val="006E3FE7"/>
    <w:rsid w:val="006E430F"/>
    <w:rsid w:val="006E6A04"/>
    <w:rsid w:val="006F3DCD"/>
    <w:rsid w:val="006F68AD"/>
    <w:rsid w:val="00702C0E"/>
    <w:rsid w:val="00706198"/>
    <w:rsid w:val="00714C4C"/>
    <w:rsid w:val="00715BAF"/>
    <w:rsid w:val="007237CD"/>
    <w:rsid w:val="007246AA"/>
    <w:rsid w:val="00726195"/>
    <w:rsid w:val="007268FD"/>
    <w:rsid w:val="00731000"/>
    <w:rsid w:val="00732671"/>
    <w:rsid w:val="007353E7"/>
    <w:rsid w:val="00741235"/>
    <w:rsid w:val="007469D6"/>
    <w:rsid w:val="007619C9"/>
    <w:rsid w:val="007635E7"/>
    <w:rsid w:val="00771B3B"/>
    <w:rsid w:val="00772250"/>
    <w:rsid w:val="00773E4B"/>
    <w:rsid w:val="0077769A"/>
    <w:rsid w:val="00777F77"/>
    <w:rsid w:val="00781022"/>
    <w:rsid w:val="00785043"/>
    <w:rsid w:val="007865D6"/>
    <w:rsid w:val="00795CE5"/>
    <w:rsid w:val="007A02D3"/>
    <w:rsid w:val="007A1F1A"/>
    <w:rsid w:val="007A6607"/>
    <w:rsid w:val="007B22A9"/>
    <w:rsid w:val="007B26AB"/>
    <w:rsid w:val="007B6B13"/>
    <w:rsid w:val="007C2E93"/>
    <w:rsid w:val="007C4817"/>
    <w:rsid w:val="007C5B30"/>
    <w:rsid w:val="007C66B3"/>
    <w:rsid w:val="007C7C2F"/>
    <w:rsid w:val="007D0B59"/>
    <w:rsid w:val="007D66F2"/>
    <w:rsid w:val="007D68B2"/>
    <w:rsid w:val="007E0AA3"/>
    <w:rsid w:val="007E1DC9"/>
    <w:rsid w:val="007E360B"/>
    <w:rsid w:val="007E4794"/>
    <w:rsid w:val="007F0F99"/>
    <w:rsid w:val="007F1B1D"/>
    <w:rsid w:val="007F2383"/>
    <w:rsid w:val="007F7BCC"/>
    <w:rsid w:val="007F7E0C"/>
    <w:rsid w:val="008017E7"/>
    <w:rsid w:val="00801E8C"/>
    <w:rsid w:val="0080554F"/>
    <w:rsid w:val="00806276"/>
    <w:rsid w:val="0081290A"/>
    <w:rsid w:val="008154F8"/>
    <w:rsid w:val="00820A1A"/>
    <w:rsid w:val="00820E85"/>
    <w:rsid w:val="008249A0"/>
    <w:rsid w:val="008256E0"/>
    <w:rsid w:val="008300B9"/>
    <w:rsid w:val="00834ADC"/>
    <w:rsid w:val="00837F30"/>
    <w:rsid w:val="00843022"/>
    <w:rsid w:val="008449D1"/>
    <w:rsid w:val="00847609"/>
    <w:rsid w:val="00852238"/>
    <w:rsid w:val="0085238D"/>
    <w:rsid w:val="008556E9"/>
    <w:rsid w:val="008567B8"/>
    <w:rsid w:val="00862964"/>
    <w:rsid w:val="0086450E"/>
    <w:rsid w:val="0087215E"/>
    <w:rsid w:val="00873150"/>
    <w:rsid w:val="008773D9"/>
    <w:rsid w:val="00877A82"/>
    <w:rsid w:val="00881A6F"/>
    <w:rsid w:val="00884033"/>
    <w:rsid w:val="00885D9E"/>
    <w:rsid w:val="0089021D"/>
    <w:rsid w:val="008950FC"/>
    <w:rsid w:val="00895142"/>
    <w:rsid w:val="008A0F14"/>
    <w:rsid w:val="008A4F0E"/>
    <w:rsid w:val="008A57B7"/>
    <w:rsid w:val="008B0347"/>
    <w:rsid w:val="008B5DE6"/>
    <w:rsid w:val="008C0B9D"/>
    <w:rsid w:val="008C1068"/>
    <w:rsid w:val="008C6860"/>
    <w:rsid w:val="008D14C4"/>
    <w:rsid w:val="008D2636"/>
    <w:rsid w:val="008D4262"/>
    <w:rsid w:val="008D565A"/>
    <w:rsid w:val="008D666A"/>
    <w:rsid w:val="008E0610"/>
    <w:rsid w:val="008E4432"/>
    <w:rsid w:val="008F025C"/>
    <w:rsid w:val="008F0C14"/>
    <w:rsid w:val="008F3065"/>
    <w:rsid w:val="008F3DC2"/>
    <w:rsid w:val="009002BC"/>
    <w:rsid w:val="00903F05"/>
    <w:rsid w:val="00905099"/>
    <w:rsid w:val="00911CB4"/>
    <w:rsid w:val="00912121"/>
    <w:rsid w:val="009141DA"/>
    <w:rsid w:val="00914720"/>
    <w:rsid w:val="0091594C"/>
    <w:rsid w:val="0091644E"/>
    <w:rsid w:val="009202CA"/>
    <w:rsid w:val="00923FD9"/>
    <w:rsid w:val="0092553D"/>
    <w:rsid w:val="00925D64"/>
    <w:rsid w:val="0093017D"/>
    <w:rsid w:val="00931C19"/>
    <w:rsid w:val="00933328"/>
    <w:rsid w:val="00933FF5"/>
    <w:rsid w:val="0094012B"/>
    <w:rsid w:val="009405C8"/>
    <w:rsid w:val="00944E3C"/>
    <w:rsid w:val="00945398"/>
    <w:rsid w:val="00950D66"/>
    <w:rsid w:val="00950DCC"/>
    <w:rsid w:val="009553D8"/>
    <w:rsid w:val="009563B8"/>
    <w:rsid w:val="0097211C"/>
    <w:rsid w:val="00973CCF"/>
    <w:rsid w:val="00973CFC"/>
    <w:rsid w:val="009742CE"/>
    <w:rsid w:val="00981EA7"/>
    <w:rsid w:val="009826D9"/>
    <w:rsid w:val="009833E8"/>
    <w:rsid w:val="009856EB"/>
    <w:rsid w:val="00985B87"/>
    <w:rsid w:val="00986993"/>
    <w:rsid w:val="0099416D"/>
    <w:rsid w:val="00994E2B"/>
    <w:rsid w:val="009B640D"/>
    <w:rsid w:val="009C1641"/>
    <w:rsid w:val="009C1815"/>
    <w:rsid w:val="009C1E45"/>
    <w:rsid w:val="009C4A93"/>
    <w:rsid w:val="009D02F1"/>
    <w:rsid w:val="009D0519"/>
    <w:rsid w:val="009D1DF4"/>
    <w:rsid w:val="009D26B5"/>
    <w:rsid w:val="009D2780"/>
    <w:rsid w:val="009D43AA"/>
    <w:rsid w:val="009D5101"/>
    <w:rsid w:val="009D7296"/>
    <w:rsid w:val="009D7626"/>
    <w:rsid w:val="009E2358"/>
    <w:rsid w:val="009E2476"/>
    <w:rsid w:val="009F1033"/>
    <w:rsid w:val="00A03094"/>
    <w:rsid w:val="00A05FC7"/>
    <w:rsid w:val="00A11EE6"/>
    <w:rsid w:val="00A21FFC"/>
    <w:rsid w:val="00A248DE"/>
    <w:rsid w:val="00A325C7"/>
    <w:rsid w:val="00A37EC9"/>
    <w:rsid w:val="00A37FA9"/>
    <w:rsid w:val="00A51635"/>
    <w:rsid w:val="00A52293"/>
    <w:rsid w:val="00A54E30"/>
    <w:rsid w:val="00A62446"/>
    <w:rsid w:val="00A71698"/>
    <w:rsid w:val="00A720FE"/>
    <w:rsid w:val="00A74266"/>
    <w:rsid w:val="00A82462"/>
    <w:rsid w:val="00A86E65"/>
    <w:rsid w:val="00A904CC"/>
    <w:rsid w:val="00A9111B"/>
    <w:rsid w:val="00A96726"/>
    <w:rsid w:val="00A96B4F"/>
    <w:rsid w:val="00AA3A7A"/>
    <w:rsid w:val="00AA5AED"/>
    <w:rsid w:val="00AA68A2"/>
    <w:rsid w:val="00AB1BAE"/>
    <w:rsid w:val="00AB3E61"/>
    <w:rsid w:val="00AB40DB"/>
    <w:rsid w:val="00AB7180"/>
    <w:rsid w:val="00AC28E3"/>
    <w:rsid w:val="00AC5FEA"/>
    <w:rsid w:val="00AC68FB"/>
    <w:rsid w:val="00AC7F1A"/>
    <w:rsid w:val="00AD1707"/>
    <w:rsid w:val="00AD4CA5"/>
    <w:rsid w:val="00AD61C9"/>
    <w:rsid w:val="00AE0466"/>
    <w:rsid w:val="00AE701D"/>
    <w:rsid w:val="00AE7549"/>
    <w:rsid w:val="00AF7CA7"/>
    <w:rsid w:val="00B00A00"/>
    <w:rsid w:val="00B222CB"/>
    <w:rsid w:val="00B2244A"/>
    <w:rsid w:val="00B22C29"/>
    <w:rsid w:val="00B261F9"/>
    <w:rsid w:val="00B26A6A"/>
    <w:rsid w:val="00B353DE"/>
    <w:rsid w:val="00B46D0E"/>
    <w:rsid w:val="00B50E69"/>
    <w:rsid w:val="00B6146F"/>
    <w:rsid w:val="00B61578"/>
    <w:rsid w:val="00B61F6A"/>
    <w:rsid w:val="00B63E2D"/>
    <w:rsid w:val="00B63E3B"/>
    <w:rsid w:val="00B65B2B"/>
    <w:rsid w:val="00B7358C"/>
    <w:rsid w:val="00B74DF6"/>
    <w:rsid w:val="00B75749"/>
    <w:rsid w:val="00B75770"/>
    <w:rsid w:val="00B80066"/>
    <w:rsid w:val="00B810FF"/>
    <w:rsid w:val="00B813C9"/>
    <w:rsid w:val="00B819C0"/>
    <w:rsid w:val="00B832B4"/>
    <w:rsid w:val="00B86A7F"/>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D15"/>
    <w:rsid w:val="00BF5F55"/>
    <w:rsid w:val="00BF7F74"/>
    <w:rsid w:val="00C036F2"/>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1204"/>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0FE6"/>
    <w:rsid w:val="00CB78A2"/>
    <w:rsid w:val="00CB7A49"/>
    <w:rsid w:val="00CC18F5"/>
    <w:rsid w:val="00CC21DA"/>
    <w:rsid w:val="00CC2BBE"/>
    <w:rsid w:val="00CC4C8F"/>
    <w:rsid w:val="00CC781E"/>
    <w:rsid w:val="00CC7E9F"/>
    <w:rsid w:val="00CD19CE"/>
    <w:rsid w:val="00CD469E"/>
    <w:rsid w:val="00CD54AB"/>
    <w:rsid w:val="00CD56D5"/>
    <w:rsid w:val="00CD76A3"/>
    <w:rsid w:val="00CE3EE8"/>
    <w:rsid w:val="00CE70B2"/>
    <w:rsid w:val="00CF09ED"/>
    <w:rsid w:val="00CF20C5"/>
    <w:rsid w:val="00CF3A78"/>
    <w:rsid w:val="00CF3F2F"/>
    <w:rsid w:val="00CF5D7A"/>
    <w:rsid w:val="00CF62CB"/>
    <w:rsid w:val="00CF7273"/>
    <w:rsid w:val="00CF7C4A"/>
    <w:rsid w:val="00D02838"/>
    <w:rsid w:val="00D02BC5"/>
    <w:rsid w:val="00D03761"/>
    <w:rsid w:val="00D075D0"/>
    <w:rsid w:val="00D21B68"/>
    <w:rsid w:val="00D220B2"/>
    <w:rsid w:val="00D23640"/>
    <w:rsid w:val="00D26C7D"/>
    <w:rsid w:val="00D27725"/>
    <w:rsid w:val="00D27DEA"/>
    <w:rsid w:val="00D31B04"/>
    <w:rsid w:val="00D34ECE"/>
    <w:rsid w:val="00D514B2"/>
    <w:rsid w:val="00D52EE1"/>
    <w:rsid w:val="00D5419F"/>
    <w:rsid w:val="00D63B3F"/>
    <w:rsid w:val="00D663BA"/>
    <w:rsid w:val="00D722E5"/>
    <w:rsid w:val="00D837DA"/>
    <w:rsid w:val="00D85110"/>
    <w:rsid w:val="00D90069"/>
    <w:rsid w:val="00D90654"/>
    <w:rsid w:val="00D90954"/>
    <w:rsid w:val="00D963B5"/>
    <w:rsid w:val="00DA54CD"/>
    <w:rsid w:val="00DB2611"/>
    <w:rsid w:val="00DB3311"/>
    <w:rsid w:val="00DB5086"/>
    <w:rsid w:val="00DB6E55"/>
    <w:rsid w:val="00DB7C7E"/>
    <w:rsid w:val="00DB7DAE"/>
    <w:rsid w:val="00DC178C"/>
    <w:rsid w:val="00DC4C8F"/>
    <w:rsid w:val="00DD0C58"/>
    <w:rsid w:val="00DD4886"/>
    <w:rsid w:val="00DD5573"/>
    <w:rsid w:val="00DE2836"/>
    <w:rsid w:val="00DE4C6E"/>
    <w:rsid w:val="00DE5006"/>
    <w:rsid w:val="00DF0A77"/>
    <w:rsid w:val="00DF2BF0"/>
    <w:rsid w:val="00DF50DE"/>
    <w:rsid w:val="00DF6901"/>
    <w:rsid w:val="00DF7061"/>
    <w:rsid w:val="00E04626"/>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0D87"/>
    <w:rsid w:val="00EE2AA0"/>
    <w:rsid w:val="00EE313D"/>
    <w:rsid w:val="00EE44DC"/>
    <w:rsid w:val="00EF3506"/>
    <w:rsid w:val="00EF3B5C"/>
    <w:rsid w:val="00EF42A8"/>
    <w:rsid w:val="00F06614"/>
    <w:rsid w:val="00F06E68"/>
    <w:rsid w:val="00F15662"/>
    <w:rsid w:val="00F15FAA"/>
    <w:rsid w:val="00F249A7"/>
    <w:rsid w:val="00F26376"/>
    <w:rsid w:val="00F30298"/>
    <w:rsid w:val="00F3029E"/>
    <w:rsid w:val="00F32031"/>
    <w:rsid w:val="00F32F54"/>
    <w:rsid w:val="00F34507"/>
    <w:rsid w:val="00F37939"/>
    <w:rsid w:val="00F400A4"/>
    <w:rsid w:val="00F52EE4"/>
    <w:rsid w:val="00F61537"/>
    <w:rsid w:val="00F66FB2"/>
    <w:rsid w:val="00F67CEB"/>
    <w:rsid w:val="00F76000"/>
    <w:rsid w:val="00F76D49"/>
    <w:rsid w:val="00F816B6"/>
    <w:rsid w:val="00F8251B"/>
    <w:rsid w:val="00F8641B"/>
    <w:rsid w:val="00F86FEE"/>
    <w:rsid w:val="00F87182"/>
    <w:rsid w:val="00F907E3"/>
    <w:rsid w:val="00F94AC8"/>
    <w:rsid w:val="00FA1603"/>
    <w:rsid w:val="00FA2AB7"/>
    <w:rsid w:val="00FB185F"/>
    <w:rsid w:val="00FB1D44"/>
    <w:rsid w:val="00FB21C7"/>
    <w:rsid w:val="00FB5C5D"/>
    <w:rsid w:val="00FB7BB8"/>
    <w:rsid w:val="00FC0D04"/>
    <w:rsid w:val="00FC3769"/>
    <w:rsid w:val="00FD440F"/>
    <w:rsid w:val="00FD52EF"/>
    <w:rsid w:val="00FD7284"/>
    <w:rsid w:val="00FE0F29"/>
    <w:rsid w:val="00FE1DD5"/>
    <w:rsid w:val="00FE6ED6"/>
    <w:rsid w:val="00FE7F88"/>
    <w:rsid w:val="00FF26A5"/>
    <w:rsid w:val="00FF309F"/>
    <w:rsid w:val="00FF76FE"/>
    <w:rsid w:val="014A2DD9"/>
    <w:rsid w:val="017C3055"/>
    <w:rsid w:val="02B07FF7"/>
    <w:rsid w:val="03733BDF"/>
    <w:rsid w:val="03A308DC"/>
    <w:rsid w:val="040532BA"/>
    <w:rsid w:val="04176582"/>
    <w:rsid w:val="051259ED"/>
    <w:rsid w:val="07041580"/>
    <w:rsid w:val="078F0A42"/>
    <w:rsid w:val="07932A4C"/>
    <w:rsid w:val="08DB1CFF"/>
    <w:rsid w:val="0A9E30AD"/>
    <w:rsid w:val="0BEB3B44"/>
    <w:rsid w:val="0C0644C0"/>
    <w:rsid w:val="10D24333"/>
    <w:rsid w:val="10D62AA4"/>
    <w:rsid w:val="13552B79"/>
    <w:rsid w:val="13793DF7"/>
    <w:rsid w:val="141C4A83"/>
    <w:rsid w:val="14354A58"/>
    <w:rsid w:val="14677422"/>
    <w:rsid w:val="152E6B10"/>
    <w:rsid w:val="15BF1042"/>
    <w:rsid w:val="1656732A"/>
    <w:rsid w:val="16F625A9"/>
    <w:rsid w:val="181939B9"/>
    <w:rsid w:val="18D74DC1"/>
    <w:rsid w:val="1AED58EF"/>
    <w:rsid w:val="1F397F3B"/>
    <w:rsid w:val="1F3A0BB5"/>
    <w:rsid w:val="1FA92FCB"/>
    <w:rsid w:val="20193BC8"/>
    <w:rsid w:val="220D398C"/>
    <w:rsid w:val="2301566F"/>
    <w:rsid w:val="24165293"/>
    <w:rsid w:val="2482721D"/>
    <w:rsid w:val="24A10BF5"/>
    <w:rsid w:val="24D70B68"/>
    <w:rsid w:val="26AB07CC"/>
    <w:rsid w:val="26F92393"/>
    <w:rsid w:val="287B63A6"/>
    <w:rsid w:val="29613C02"/>
    <w:rsid w:val="2A397C18"/>
    <w:rsid w:val="2A5015D5"/>
    <w:rsid w:val="2AF63392"/>
    <w:rsid w:val="2BA67492"/>
    <w:rsid w:val="2C66791C"/>
    <w:rsid w:val="2D221D01"/>
    <w:rsid w:val="2D676A80"/>
    <w:rsid w:val="2D7A3266"/>
    <w:rsid w:val="2F5F2B72"/>
    <w:rsid w:val="312513B2"/>
    <w:rsid w:val="31B042BF"/>
    <w:rsid w:val="31F12401"/>
    <w:rsid w:val="31FF5F72"/>
    <w:rsid w:val="32035D60"/>
    <w:rsid w:val="326E6953"/>
    <w:rsid w:val="33523A32"/>
    <w:rsid w:val="36D23A94"/>
    <w:rsid w:val="376940D0"/>
    <w:rsid w:val="38204506"/>
    <w:rsid w:val="39321D68"/>
    <w:rsid w:val="3BAE6CD9"/>
    <w:rsid w:val="3C3000ED"/>
    <w:rsid w:val="3D232399"/>
    <w:rsid w:val="3D2E2D19"/>
    <w:rsid w:val="3D31181A"/>
    <w:rsid w:val="3DC87CB2"/>
    <w:rsid w:val="3F1749BD"/>
    <w:rsid w:val="3F4F365B"/>
    <w:rsid w:val="3F9A5B70"/>
    <w:rsid w:val="41093759"/>
    <w:rsid w:val="412840A5"/>
    <w:rsid w:val="41380196"/>
    <w:rsid w:val="41415EFF"/>
    <w:rsid w:val="41D026B4"/>
    <w:rsid w:val="452567EA"/>
    <w:rsid w:val="46886BA6"/>
    <w:rsid w:val="48524AAD"/>
    <w:rsid w:val="490552AA"/>
    <w:rsid w:val="4B7A4CDC"/>
    <w:rsid w:val="4FFA680C"/>
    <w:rsid w:val="50981A4B"/>
    <w:rsid w:val="52390069"/>
    <w:rsid w:val="528D1696"/>
    <w:rsid w:val="52CB2821"/>
    <w:rsid w:val="542F765C"/>
    <w:rsid w:val="54914939"/>
    <w:rsid w:val="54EB5EC1"/>
    <w:rsid w:val="554D13F6"/>
    <w:rsid w:val="57580486"/>
    <w:rsid w:val="598A45FC"/>
    <w:rsid w:val="59DA41E0"/>
    <w:rsid w:val="5A2424B3"/>
    <w:rsid w:val="5A3906A0"/>
    <w:rsid w:val="5A9919E3"/>
    <w:rsid w:val="5B2A7B0A"/>
    <w:rsid w:val="5B417B6B"/>
    <w:rsid w:val="5B54373E"/>
    <w:rsid w:val="5BC745F2"/>
    <w:rsid w:val="5CA161B2"/>
    <w:rsid w:val="5D7A358E"/>
    <w:rsid w:val="5DCF6D22"/>
    <w:rsid w:val="5EE21916"/>
    <w:rsid w:val="5F4417E0"/>
    <w:rsid w:val="5F88669E"/>
    <w:rsid w:val="5FB9054C"/>
    <w:rsid w:val="622F04A1"/>
    <w:rsid w:val="62707B3A"/>
    <w:rsid w:val="645C0879"/>
    <w:rsid w:val="64741C1C"/>
    <w:rsid w:val="648C064A"/>
    <w:rsid w:val="656B3097"/>
    <w:rsid w:val="66AB4942"/>
    <w:rsid w:val="687951D6"/>
    <w:rsid w:val="68AB69AF"/>
    <w:rsid w:val="68D653C8"/>
    <w:rsid w:val="68D85250"/>
    <w:rsid w:val="698D4180"/>
    <w:rsid w:val="6D1F0B58"/>
    <w:rsid w:val="6D3654A5"/>
    <w:rsid w:val="6EB24C26"/>
    <w:rsid w:val="74170E85"/>
    <w:rsid w:val="74C70C71"/>
    <w:rsid w:val="75DC35E9"/>
    <w:rsid w:val="76282D46"/>
    <w:rsid w:val="77FA11D3"/>
    <w:rsid w:val="789E6834"/>
    <w:rsid w:val="79DD67E6"/>
    <w:rsid w:val="7BCF79D9"/>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41"/>
    <w:qFormat/>
    <w:uiPriority w:val="0"/>
    <w:pPr>
      <w:keepNext/>
      <w:keepLines/>
      <w:spacing w:before="260" w:after="260" w:line="416" w:lineRule="auto"/>
      <w:outlineLvl w:val="2"/>
    </w:pPr>
    <w:rPr>
      <w:b/>
      <w:bCs/>
      <w:sz w:val="32"/>
      <w:szCs w:val="32"/>
    </w:rPr>
  </w:style>
  <w:style w:type="paragraph" w:styleId="7">
    <w:name w:val="heading 5"/>
    <w:basedOn w:val="1"/>
    <w:next w:val="1"/>
    <w:link w:val="85"/>
    <w:semiHidden/>
    <w:unhideWhenUsed/>
    <w:qFormat/>
    <w:uiPriority w:val="0"/>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Document Map"/>
    <w:basedOn w:val="1"/>
    <w:link w:val="49"/>
    <w:qFormat/>
    <w:uiPriority w:val="0"/>
    <w:rPr>
      <w:rFonts w:ascii="宋体"/>
      <w:sz w:val="18"/>
      <w:szCs w:val="18"/>
    </w:rPr>
  </w:style>
  <w:style w:type="paragraph" w:styleId="10">
    <w:name w:val="annotation text"/>
    <w:basedOn w:val="1"/>
    <w:link w:val="48"/>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46"/>
    <w:qFormat/>
    <w:uiPriority w:val="99"/>
    <w:pPr>
      <w:spacing w:after="120"/>
    </w:pPr>
  </w:style>
  <w:style w:type="paragraph" w:customStyle="1" w:styleId="1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4">
    <w:name w:val="Body Text Indent"/>
    <w:basedOn w:val="1"/>
    <w:next w:val="15"/>
    <w:qFormat/>
    <w:uiPriority w:val="0"/>
    <w:pPr>
      <w:ind w:firstLine="632" w:firstLineChars="200"/>
    </w:pPr>
    <w:rPr>
      <w:rFonts w:ascii="仿宋_GB2312" w:hAnsi="华文楷体" w:eastAsia="仿宋_GB2312"/>
      <w:sz w:val="32"/>
    </w:rPr>
  </w:style>
  <w:style w:type="paragraph" w:styleId="15">
    <w:name w:val="envelope return"/>
    <w:basedOn w:val="1"/>
    <w:qFormat/>
    <w:uiPriority w:val="99"/>
    <w:pPr>
      <w:snapToGrid w:val="0"/>
    </w:pPr>
    <w:rPr>
      <w:rFonts w:ascii="Arial" w:hAnsi="Arial"/>
    </w:rPr>
  </w:style>
  <w:style w:type="paragraph" w:styleId="16">
    <w:name w:val="List 2"/>
    <w:basedOn w:val="1"/>
    <w:qFormat/>
    <w:uiPriority w:val="0"/>
    <w:pPr>
      <w:ind w:left="400" w:leftChars="200" w:hanging="200" w:hangingChars="200"/>
    </w:pPr>
  </w:style>
  <w:style w:type="paragraph" w:styleId="17">
    <w:name w:val="toc 3"/>
    <w:basedOn w:val="1"/>
    <w:next w:val="1"/>
    <w:qFormat/>
    <w:uiPriority w:val="39"/>
    <w:pPr>
      <w:ind w:left="840" w:leftChars="400"/>
    </w:pPr>
  </w:style>
  <w:style w:type="paragraph" w:styleId="18">
    <w:name w:val="Plain Text"/>
    <w:basedOn w:val="1"/>
    <w:link w:val="54"/>
    <w:qFormat/>
    <w:uiPriority w:val="0"/>
    <w:rPr>
      <w:rFonts w:ascii="宋体" w:hAnsi="Courier New"/>
      <w:szCs w:val="20"/>
    </w:rPr>
  </w:style>
  <w:style w:type="paragraph" w:styleId="19">
    <w:name w:val="Date"/>
    <w:basedOn w:val="1"/>
    <w:next w:val="1"/>
    <w:link w:val="50"/>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qFormat/>
    <w:uiPriority w:val="0"/>
    <w:rPr>
      <w:sz w:val="18"/>
      <w:szCs w:val="18"/>
    </w:rPr>
  </w:style>
  <w:style w:type="paragraph" w:styleId="22">
    <w:name w:val="footer"/>
    <w:basedOn w:val="1"/>
    <w:link w:val="71"/>
    <w:qFormat/>
    <w:uiPriority w:val="99"/>
    <w:pPr>
      <w:tabs>
        <w:tab w:val="center" w:pos="4153"/>
        <w:tab w:val="right" w:pos="8306"/>
      </w:tabs>
      <w:snapToGrid w:val="0"/>
      <w:jc w:val="left"/>
    </w:pPr>
    <w:rPr>
      <w:sz w:val="18"/>
      <w:szCs w:val="18"/>
    </w:rPr>
  </w:style>
  <w:style w:type="paragraph" w:styleId="23">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rPr>
  </w:style>
  <w:style w:type="paragraph" w:styleId="25">
    <w:name w:val="footnote text"/>
    <w:basedOn w:val="1"/>
    <w:qFormat/>
    <w:uiPriority w:val="99"/>
    <w:pPr>
      <w:snapToGrid w:val="0"/>
      <w:jc w:val="left"/>
    </w:pPr>
    <w:rPr>
      <w:sz w:val="18"/>
      <w:szCs w:val="18"/>
    </w:rPr>
  </w:style>
  <w:style w:type="paragraph" w:styleId="26">
    <w:name w:val="toc 2"/>
    <w:basedOn w:val="1"/>
    <w:next w:val="1"/>
    <w:qFormat/>
    <w:uiPriority w:val="39"/>
    <w:pPr>
      <w:ind w:left="420" w:leftChars="200"/>
    </w:pPr>
  </w:style>
  <w:style w:type="paragraph" w:styleId="27">
    <w:name w:val="Body Text 2"/>
    <w:basedOn w:val="1"/>
    <w:link w:val="68"/>
    <w:qFormat/>
    <w:uiPriority w:val="0"/>
    <w:pPr>
      <w:spacing w:after="120" w:line="480" w:lineRule="auto"/>
    </w:pPr>
  </w:style>
  <w:style w:type="paragraph" w:styleId="28">
    <w:name w:val="Message Header"/>
    <w:basedOn w:val="1"/>
    <w:qFormat/>
    <w:uiPriority w:val="0"/>
    <w:pPr>
      <w:widowControl/>
      <w:shd w:val="pct20" w:color="000000" w:fill="auto"/>
      <w:ind w:left="1080" w:hanging="1080"/>
    </w:pPr>
    <w:rPr>
      <w:rFonts w:ascii="Cambria" w:hAnsi="Cambria" w:eastAsia="Cambria"/>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30">
    <w:name w:val="Body Text First Indent"/>
    <w:basedOn w:val="12"/>
    <w:link w:val="45"/>
    <w:qFormat/>
    <w:uiPriority w:val="0"/>
    <w:pPr>
      <w:ind w:firstLine="420" w:firstLineChars="100"/>
    </w:pPr>
  </w:style>
  <w:style w:type="paragraph" w:styleId="31">
    <w:name w:val="Body Text First Indent 2"/>
    <w:basedOn w:val="14"/>
    <w:qFormat/>
    <w:uiPriority w:val="99"/>
    <w:pPr>
      <w:tabs>
        <w:tab w:val="left" w:pos="0"/>
        <w:tab w:val="left" w:pos="993"/>
        <w:tab w:val="left" w:pos="1134"/>
      </w:tabs>
      <w:ind w:firstLine="420"/>
    </w:p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basedOn w:val="34"/>
    <w:qFormat/>
    <w:uiPriority w:val="0"/>
    <w:rPr>
      <w:color w:val="000000"/>
      <w:u w:val="none"/>
    </w:rPr>
  </w:style>
  <w:style w:type="character" w:styleId="38">
    <w:name w:val="Hyperlink"/>
    <w:qFormat/>
    <w:uiPriority w:val="99"/>
    <w:rPr>
      <w:color w:val="333333"/>
      <w:u w:val="none"/>
    </w:rPr>
  </w:style>
  <w:style w:type="character" w:styleId="39">
    <w:name w:val="annotation reference"/>
    <w:qFormat/>
    <w:uiPriority w:val="99"/>
    <w:rPr>
      <w:sz w:val="21"/>
    </w:rPr>
  </w:style>
  <w:style w:type="paragraph" w:customStyle="1" w:styleId="40">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标题 3 Char"/>
    <w:link w:val="6"/>
    <w:semiHidden/>
    <w:qFormat/>
    <w:uiPriority w:val="0"/>
    <w:rPr>
      <w:b/>
      <w:bCs/>
      <w:kern w:val="2"/>
      <w:sz w:val="32"/>
      <w:szCs w:val="32"/>
    </w:rPr>
  </w:style>
  <w:style w:type="character" w:customStyle="1" w:styleId="42">
    <w:name w:val="font231"/>
    <w:qFormat/>
    <w:uiPriority w:val="0"/>
    <w:rPr>
      <w:rFonts w:hint="eastAsia" w:ascii="宋体" w:hAnsi="宋体" w:eastAsia="宋体" w:cs="宋体"/>
      <w:color w:val="000000"/>
      <w:sz w:val="22"/>
      <w:szCs w:val="22"/>
      <w:u w:val="none"/>
    </w:rPr>
  </w:style>
  <w:style w:type="character" w:customStyle="1" w:styleId="43">
    <w:name w:val="font11"/>
    <w:qFormat/>
    <w:uiPriority w:val="0"/>
    <w:rPr>
      <w:rFonts w:hint="default" w:ascii="Times New Roman" w:hAnsi="Times New Roman" w:cs="Times New Roman"/>
      <w:color w:val="000000"/>
      <w:sz w:val="18"/>
      <w:szCs w:val="18"/>
      <w:u w:val="none"/>
    </w:rPr>
  </w:style>
  <w:style w:type="character" w:customStyle="1" w:styleId="44">
    <w:name w:val="font191"/>
    <w:qFormat/>
    <w:uiPriority w:val="0"/>
    <w:rPr>
      <w:rFonts w:hint="default" w:ascii="Calibri" w:hAnsi="Calibri" w:cs="Calibri"/>
      <w:color w:val="000000"/>
      <w:sz w:val="22"/>
      <w:szCs w:val="22"/>
      <w:u w:val="none"/>
    </w:rPr>
  </w:style>
  <w:style w:type="character" w:customStyle="1" w:styleId="45">
    <w:name w:val="正文首行缩进 Char"/>
    <w:link w:val="30"/>
    <w:qFormat/>
    <w:uiPriority w:val="0"/>
    <w:rPr>
      <w:kern w:val="2"/>
      <w:sz w:val="21"/>
      <w:szCs w:val="24"/>
    </w:rPr>
  </w:style>
  <w:style w:type="character" w:customStyle="1" w:styleId="46">
    <w:name w:val="正文文本 Char"/>
    <w:link w:val="12"/>
    <w:qFormat/>
    <w:uiPriority w:val="99"/>
    <w:rPr>
      <w:kern w:val="2"/>
      <w:sz w:val="21"/>
      <w:szCs w:val="24"/>
    </w:rPr>
  </w:style>
  <w:style w:type="character" w:customStyle="1" w:styleId="47">
    <w:name w:val="font151"/>
    <w:qFormat/>
    <w:uiPriority w:val="0"/>
    <w:rPr>
      <w:rFonts w:hint="default" w:ascii="Calibri" w:hAnsi="Calibri" w:cs="Calibri"/>
      <w:color w:val="000000"/>
      <w:sz w:val="22"/>
      <w:szCs w:val="22"/>
      <w:u w:val="none"/>
    </w:rPr>
  </w:style>
  <w:style w:type="character" w:customStyle="1" w:styleId="48">
    <w:name w:val="批注文字 Char"/>
    <w:link w:val="10"/>
    <w:qFormat/>
    <w:uiPriority w:val="0"/>
    <w:rPr>
      <w:kern w:val="2"/>
      <w:sz w:val="21"/>
      <w:szCs w:val="24"/>
    </w:rPr>
  </w:style>
  <w:style w:type="character" w:customStyle="1" w:styleId="49">
    <w:name w:val="文档结构图 Char"/>
    <w:link w:val="9"/>
    <w:qFormat/>
    <w:uiPriority w:val="0"/>
    <w:rPr>
      <w:rFonts w:ascii="宋体"/>
      <w:kern w:val="2"/>
      <w:sz w:val="18"/>
      <w:szCs w:val="18"/>
    </w:rPr>
  </w:style>
  <w:style w:type="character" w:customStyle="1" w:styleId="50">
    <w:name w:val="日期 Char"/>
    <w:link w:val="19"/>
    <w:qFormat/>
    <w:uiPriority w:val="0"/>
    <w:rPr>
      <w:kern w:val="2"/>
      <w:sz w:val="21"/>
      <w:szCs w:val="24"/>
    </w:rPr>
  </w:style>
  <w:style w:type="character" w:customStyle="1" w:styleId="51">
    <w:name w:val="font221"/>
    <w:qFormat/>
    <w:uiPriority w:val="0"/>
    <w:rPr>
      <w:rFonts w:hint="eastAsia" w:ascii="宋体" w:hAnsi="宋体" w:eastAsia="宋体" w:cs="宋体"/>
      <w:color w:val="000000"/>
      <w:sz w:val="20"/>
      <w:szCs w:val="20"/>
      <w:u w:val="none"/>
    </w:rPr>
  </w:style>
  <w:style w:type="character" w:customStyle="1" w:styleId="52">
    <w:name w:val="font61"/>
    <w:qFormat/>
    <w:uiPriority w:val="0"/>
    <w:rPr>
      <w:rFonts w:hint="eastAsia" w:ascii="宋体" w:hAnsi="宋体" w:eastAsia="宋体" w:cs="宋体"/>
      <w:color w:val="FF0000"/>
      <w:sz w:val="22"/>
      <w:szCs w:val="22"/>
      <w:u w:val="none"/>
    </w:rPr>
  </w:style>
  <w:style w:type="character" w:customStyle="1" w:styleId="53">
    <w:name w:val="font31"/>
    <w:qFormat/>
    <w:uiPriority w:val="0"/>
    <w:rPr>
      <w:rFonts w:hint="eastAsia" w:ascii="宋体" w:hAnsi="宋体" w:eastAsia="宋体" w:cs="宋体"/>
      <w:color w:val="000000"/>
      <w:sz w:val="18"/>
      <w:szCs w:val="18"/>
      <w:u w:val="none"/>
    </w:rPr>
  </w:style>
  <w:style w:type="character" w:customStyle="1" w:styleId="54">
    <w:name w:val="纯文本 Char"/>
    <w:link w:val="18"/>
    <w:qFormat/>
    <w:uiPriority w:val="0"/>
    <w:rPr>
      <w:rFonts w:ascii="宋体" w:hAnsi="Courier New"/>
      <w:kern w:val="2"/>
      <w:sz w:val="21"/>
    </w:rPr>
  </w:style>
  <w:style w:type="character" w:customStyle="1" w:styleId="55">
    <w:name w:val="访问过的超链接1"/>
    <w:qFormat/>
    <w:uiPriority w:val="0"/>
    <w:rPr>
      <w:color w:val="333333"/>
      <w:u w:val="none"/>
    </w:rPr>
  </w:style>
  <w:style w:type="character" w:customStyle="1" w:styleId="56">
    <w:name w:val="font01"/>
    <w:qFormat/>
    <w:uiPriority w:val="0"/>
    <w:rPr>
      <w:rFonts w:hint="eastAsia" w:ascii="宋体" w:hAnsi="宋体" w:eastAsia="宋体" w:cs="宋体"/>
      <w:color w:val="000000"/>
      <w:sz w:val="22"/>
      <w:szCs w:val="22"/>
      <w:u w:val="none"/>
    </w:rPr>
  </w:style>
  <w:style w:type="character" w:customStyle="1" w:styleId="57">
    <w:name w:val="font21"/>
    <w:qFormat/>
    <w:uiPriority w:val="0"/>
    <w:rPr>
      <w:rFonts w:hint="default" w:ascii="Times New Roman" w:hAnsi="Times New Roman" w:cs="Times New Roman"/>
      <w:color w:val="000000"/>
      <w:sz w:val="18"/>
      <w:szCs w:val="18"/>
      <w:u w:val="none"/>
    </w:rPr>
  </w:style>
  <w:style w:type="paragraph" w:customStyle="1" w:styleId="58">
    <w:name w:val="p0"/>
    <w:basedOn w:val="1"/>
    <w:qFormat/>
    <w:uiPriority w:val="0"/>
    <w:pPr>
      <w:widowControl/>
    </w:pPr>
    <w:rPr>
      <w:rFonts w:ascii="Calibri" w:hAnsi="Calibri" w:cs="宋体"/>
      <w:kern w:val="0"/>
      <w:szCs w:val="21"/>
    </w:rPr>
  </w:style>
  <w:style w:type="paragraph" w:customStyle="1" w:styleId="59">
    <w:name w:val="List Paragraph1"/>
    <w:basedOn w:val="1"/>
    <w:qFormat/>
    <w:uiPriority w:val="0"/>
    <w:pPr>
      <w:ind w:firstLine="420" w:firstLineChars="200"/>
    </w:pPr>
  </w:style>
  <w:style w:type="paragraph" w:customStyle="1" w:styleId="6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3">
    <w:name w:val="Char Char Char Char Char Char Char1 Char"/>
    <w:basedOn w:val="1"/>
    <w:qFormat/>
    <w:uiPriority w:val="0"/>
    <w:rPr>
      <w:rFonts w:ascii="Tahoma" w:hAnsi="Tahoma"/>
      <w:sz w:val="24"/>
      <w:szCs w:val="20"/>
    </w:rPr>
  </w:style>
  <w:style w:type="paragraph" w:styleId="64">
    <w:name w:val="List Paragraph"/>
    <w:basedOn w:val="1"/>
    <w:qFormat/>
    <w:uiPriority w:val="34"/>
    <w:pPr>
      <w:ind w:firstLine="420" w:firstLineChars="200"/>
    </w:pPr>
  </w:style>
  <w:style w:type="paragraph" w:customStyle="1" w:styleId="65">
    <w:name w:val="Char Char Char1 Char"/>
    <w:basedOn w:val="1"/>
    <w:qFormat/>
    <w:uiPriority w:val="0"/>
    <w:pPr>
      <w:spacing w:line="360" w:lineRule="auto"/>
      <w:ind w:firstLine="200" w:firstLineChars="200"/>
    </w:pPr>
    <w:rPr>
      <w:rFonts w:ascii="宋体" w:hAnsi="宋体" w:cs="宋体"/>
      <w:sz w:val="24"/>
    </w:rPr>
  </w:style>
  <w:style w:type="paragraph" w:customStyle="1" w:styleId="66">
    <w:name w:val="默认段落字体 Para Char Char Char Char Char Char Char Char Char Char"/>
    <w:basedOn w:val="1"/>
    <w:qFormat/>
    <w:uiPriority w:val="0"/>
    <w:pPr>
      <w:tabs>
        <w:tab w:val="right" w:pos="-2120"/>
      </w:tabs>
      <w:snapToGrid w:val="0"/>
    </w:pPr>
  </w:style>
  <w:style w:type="character" w:customStyle="1" w:styleId="67">
    <w:name w:val="generalinfo-address-text"/>
    <w:basedOn w:val="34"/>
    <w:qFormat/>
    <w:uiPriority w:val="0"/>
  </w:style>
  <w:style w:type="character" w:customStyle="1" w:styleId="68">
    <w:name w:val="正文文本 2 Char"/>
    <w:link w:val="27"/>
    <w:qFormat/>
    <w:uiPriority w:val="0"/>
    <w:rPr>
      <w:kern w:val="2"/>
      <w:sz w:val="21"/>
      <w:szCs w:val="24"/>
    </w:rPr>
  </w:style>
  <w:style w:type="character" w:customStyle="1" w:styleId="69">
    <w:name w:val="NormalCharacter"/>
    <w:qFormat/>
    <w:uiPriority w:val="0"/>
  </w:style>
  <w:style w:type="character" w:customStyle="1" w:styleId="70">
    <w:name w:val="页眉 Char"/>
    <w:link w:val="23"/>
    <w:qFormat/>
    <w:uiPriority w:val="99"/>
    <w:rPr>
      <w:kern w:val="2"/>
      <w:sz w:val="18"/>
      <w:szCs w:val="18"/>
    </w:rPr>
  </w:style>
  <w:style w:type="character" w:customStyle="1" w:styleId="71">
    <w:name w:val="页脚 Char"/>
    <w:link w:val="22"/>
    <w:qFormat/>
    <w:uiPriority w:val="99"/>
    <w:rPr>
      <w:kern w:val="2"/>
      <w:sz w:val="18"/>
      <w:szCs w:val="18"/>
    </w:rPr>
  </w:style>
  <w:style w:type="paragraph" w:customStyle="1" w:styleId="72">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3">
    <w:name w:val="contentlabel"/>
    <w:qFormat/>
    <w:uiPriority w:val="0"/>
  </w:style>
  <w:style w:type="paragraph" w:customStyle="1" w:styleId="74">
    <w:name w:val="Body Text First Indent1"/>
    <w:basedOn w:val="12"/>
    <w:qFormat/>
    <w:uiPriority w:val="0"/>
    <w:pPr>
      <w:autoSpaceDE w:val="0"/>
      <w:autoSpaceDN w:val="0"/>
      <w:ind w:firstLine="420" w:firstLineChars="100"/>
      <w:jc w:val="left"/>
    </w:pPr>
    <w:rPr>
      <w:rFonts w:ascii="宋体" w:hAnsi="等线" w:eastAsia="等线" w:cs="宋体"/>
      <w:kern w:val="0"/>
      <w:lang w:val="zh-CN"/>
    </w:rPr>
  </w:style>
  <w:style w:type="paragraph" w:customStyle="1" w:styleId="75">
    <w:name w:val="D&amp;L"/>
    <w:basedOn w:val="2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6">
    <w:name w:val="icon_gys"/>
    <w:basedOn w:val="34"/>
    <w:qFormat/>
    <w:uiPriority w:val="0"/>
    <w:rPr>
      <w:sz w:val="21"/>
      <w:szCs w:val="21"/>
    </w:rPr>
  </w:style>
  <w:style w:type="character" w:customStyle="1" w:styleId="77">
    <w:name w:val="first-child"/>
    <w:basedOn w:val="34"/>
    <w:qFormat/>
    <w:uiPriority w:val="0"/>
    <w:rPr>
      <w:color w:val="1F3149"/>
      <w:sz w:val="24"/>
      <w:szCs w:val="24"/>
    </w:rPr>
  </w:style>
  <w:style w:type="character" w:customStyle="1" w:styleId="78">
    <w:name w:val="first-child1"/>
    <w:basedOn w:val="34"/>
    <w:qFormat/>
    <w:uiPriority w:val="0"/>
    <w:rPr>
      <w:color w:val="1F3149"/>
      <w:sz w:val="24"/>
      <w:szCs w:val="24"/>
    </w:rPr>
  </w:style>
  <w:style w:type="character" w:customStyle="1" w:styleId="79">
    <w:name w:val="xiadan"/>
    <w:basedOn w:val="34"/>
    <w:qFormat/>
    <w:uiPriority w:val="0"/>
    <w:rPr>
      <w:shd w:val="clear" w:color="auto" w:fill="E4393C"/>
    </w:rPr>
  </w:style>
  <w:style w:type="character" w:customStyle="1" w:styleId="80">
    <w:name w:val="fr"/>
    <w:basedOn w:val="34"/>
    <w:qFormat/>
    <w:uiPriority w:val="0"/>
  </w:style>
  <w:style w:type="character" w:customStyle="1" w:styleId="81">
    <w:name w:val="icon_ds"/>
    <w:basedOn w:val="34"/>
    <w:qFormat/>
    <w:uiPriority w:val="0"/>
  </w:style>
  <w:style w:type="paragraph" w:customStyle="1" w:styleId="82">
    <w:name w:val="正文1"/>
    <w:basedOn w:val="1"/>
    <w:qFormat/>
    <w:uiPriority w:val="0"/>
    <w:pPr>
      <w:widowControl/>
      <w:topLinePunct/>
      <w:spacing w:beforeLines="50" w:afterLines="50" w:line="300" w:lineRule="auto"/>
      <w:ind w:left="420"/>
    </w:pPr>
  </w:style>
  <w:style w:type="paragraph" w:customStyle="1" w:styleId="83">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84">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85">
    <w:name w:val="标题 5 Char"/>
    <w:basedOn w:val="34"/>
    <w:link w:val="7"/>
    <w:qFormat/>
    <w:uiPriority w:val="0"/>
    <w:rPr>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375679-4AEF-4A71-BE08-576F9A842B17}">
  <ds:schemaRefs/>
</ds:datastoreItem>
</file>

<file path=docProps/app.xml><?xml version="1.0" encoding="utf-8"?>
<Properties xmlns="http://schemas.openxmlformats.org/officeDocument/2006/extended-properties" xmlns:vt="http://schemas.openxmlformats.org/officeDocument/2006/docPropsVTypes">
  <Template>Normal</Template>
  <Pages>57</Pages>
  <Words>25918</Words>
  <Characters>27040</Characters>
  <Lines>215</Lines>
  <Paragraphs>60</Paragraphs>
  <TotalTime>0</TotalTime>
  <ScaleCrop>false</ScaleCrop>
  <LinksUpToDate>false</LinksUpToDate>
  <CharactersWithSpaces>27987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2025-03-19T04:45:55Z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3F3AEF60031F459BB45F1EB8C7A16E06</vt:lpwstr>
  </property>
  <property fmtid="{D5CDD505-2E9C-101B-9397-08002B2CF9AE}" pid="4" name="KSOTemplateDocerSaveRecord">
    <vt:lpwstr>eyJoZGlkIjoiNTQ3MGY4OWEwYWQ5MGRhOTEyZDdjODBiNTM4ZTJjNzciLCJ1c2VySWQiOiIxMDg5MjYwMDExIn0=</vt:lpwstr>
  </property>
</Properties>
</file>