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auto"/>
          <w:highlight w:val="none"/>
          <w:lang w:val="en-US" w:eastAsia="zh-CN"/>
        </w:rPr>
      </w:pPr>
      <w:bookmarkStart w:id="86" w:name="_GoBack"/>
      <w:bookmarkEnd w:id="86"/>
    </w:p>
    <w:p>
      <w:pPr>
        <w:bidi w:val="0"/>
        <w:rPr>
          <w:rFonts w:hint="eastAsia"/>
          <w:color w:val="auto"/>
          <w:highlight w:val="none"/>
          <w:lang w:val="en-US" w:eastAsia="zh-CN"/>
        </w:rPr>
      </w:pPr>
    </w:p>
    <w:p>
      <w:pPr>
        <w:spacing w:line="360" w:lineRule="auto"/>
        <w:jc w:val="center"/>
        <w:rPr>
          <w:rFonts w:hint="eastAsia" w:cs="Times New Roman" w:asciiTheme="minorEastAsia" w:hAnsiTheme="minorEastAsia"/>
          <w:b/>
          <w:bCs/>
          <w:color w:val="auto"/>
          <w:sz w:val="56"/>
          <w:szCs w:val="56"/>
          <w:highlight w:val="none"/>
          <w:lang w:val="en-US" w:eastAsia="zh-CN"/>
        </w:rPr>
      </w:pPr>
    </w:p>
    <w:p>
      <w:pPr>
        <w:spacing w:line="360" w:lineRule="auto"/>
        <w:jc w:val="center"/>
        <w:rPr>
          <w:rFonts w:hint="eastAsia" w:cs="Times New Roman" w:asciiTheme="minorEastAsia" w:hAnsiTheme="minorEastAsia"/>
          <w:b/>
          <w:bCs/>
          <w:color w:val="auto"/>
          <w:sz w:val="56"/>
          <w:szCs w:val="56"/>
          <w:highlight w:val="none"/>
          <w:lang w:val="en-US" w:eastAsia="zh-CN"/>
        </w:rPr>
      </w:pPr>
      <w:r>
        <w:rPr>
          <w:rFonts w:hint="eastAsia" w:cs="Times New Roman" w:asciiTheme="minorEastAsia" w:hAnsiTheme="minorEastAsia"/>
          <w:b/>
          <w:bCs/>
          <w:color w:val="auto"/>
          <w:sz w:val="56"/>
          <w:szCs w:val="56"/>
          <w:highlight w:val="none"/>
          <w:lang w:val="en-US" w:eastAsia="zh-CN"/>
        </w:rPr>
        <w:t>渑池县果园乡电子束灭菌</w:t>
      </w:r>
    </w:p>
    <w:p>
      <w:pPr>
        <w:spacing w:line="360" w:lineRule="auto"/>
        <w:jc w:val="center"/>
        <w:rPr>
          <w:rFonts w:hint="eastAsia" w:cs="Times New Roman" w:asciiTheme="minorEastAsia" w:hAnsiTheme="minorEastAsia"/>
          <w:b/>
          <w:bCs/>
          <w:color w:val="auto"/>
          <w:sz w:val="56"/>
          <w:szCs w:val="56"/>
          <w:highlight w:val="none"/>
          <w:lang w:val="en-US" w:eastAsia="zh-CN"/>
        </w:rPr>
      </w:pPr>
      <w:r>
        <w:rPr>
          <w:rFonts w:hint="eastAsia" w:cs="Times New Roman" w:asciiTheme="minorEastAsia" w:hAnsiTheme="minorEastAsia"/>
          <w:b/>
          <w:bCs/>
          <w:color w:val="auto"/>
          <w:sz w:val="56"/>
          <w:szCs w:val="56"/>
          <w:highlight w:val="none"/>
          <w:lang w:val="en-US" w:eastAsia="zh-CN"/>
        </w:rPr>
        <w:t>设备采购项目</w:t>
      </w:r>
    </w:p>
    <w:p>
      <w:pPr>
        <w:spacing w:line="360" w:lineRule="auto"/>
        <w:jc w:val="center"/>
        <w:rPr>
          <w:rFonts w:hint="eastAsia" w:cs="Times New Roman" w:asciiTheme="minorEastAsia" w:hAnsiTheme="minorEastAsia"/>
          <w:b/>
          <w:bCs/>
          <w:color w:val="auto"/>
          <w:sz w:val="56"/>
          <w:szCs w:val="56"/>
          <w:highlight w:val="none"/>
          <w:lang w:val="en-US" w:eastAsia="zh-CN"/>
        </w:rPr>
      </w:pPr>
    </w:p>
    <w:p>
      <w:pPr>
        <w:spacing w:line="360" w:lineRule="auto"/>
        <w:jc w:val="center"/>
        <w:rPr>
          <w:rFonts w:hint="default" w:cs="Times New Roman" w:asciiTheme="minorEastAsia" w:hAnsiTheme="minorEastAsia"/>
          <w:b/>
          <w:bCs/>
          <w:color w:val="auto"/>
          <w:sz w:val="56"/>
          <w:szCs w:val="56"/>
          <w:highlight w:val="none"/>
          <w:lang w:val="en-US" w:eastAsia="zh-CN"/>
        </w:rPr>
      </w:pPr>
    </w:p>
    <w:p>
      <w:pPr>
        <w:spacing w:line="360" w:lineRule="auto"/>
        <w:jc w:val="center"/>
        <w:rPr>
          <w:rFonts w:hint="eastAsia" w:cs="Times New Roman" w:asciiTheme="minorEastAsia" w:hAnsiTheme="minorEastAsia"/>
          <w:b/>
          <w:bCs/>
          <w:color w:val="auto"/>
          <w:sz w:val="72"/>
          <w:szCs w:val="72"/>
          <w:highlight w:val="none"/>
          <w:lang w:val="en-US" w:eastAsia="zh-CN"/>
        </w:rPr>
      </w:pPr>
      <w:r>
        <w:rPr>
          <w:rFonts w:hint="eastAsia" w:cs="Times New Roman" w:asciiTheme="minorEastAsia" w:hAnsiTheme="minorEastAsia"/>
          <w:b/>
          <w:bCs/>
          <w:color w:val="auto"/>
          <w:sz w:val="72"/>
          <w:szCs w:val="72"/>
          <w:highlight w:val="none"/>
          <w:lang w:val="en-US" w:eastAsia="zh-CN"/>
        </w:rPr>
        <w:t>招 标 文 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Theme="majorEastAsia" w:hAnsiTheme="majorEastAsia" w:eastAsiaTheme="majorEastAsia" w:cstheme="majorEastAsia"/>
          <w:b/>
          <w:bCs/>
          <w:color w:val="auto"/>
          <w:sz w:val="28"/>
          <w:szCs w:val="28"/>
          <w:highlight w:val="none"/>
          <w:lang w:val="en-US"/>
        </w:rPr>
      </w:pPr>
      <w:r>
        <w:rPr>
          <w:rFonts w:hint="eastAsia" w:asciiTheme="majorEastAsia" w:hAnsiTheme="majorEastAsia" w:eastAsiaTheme="majorEastAsia" w:cstheme="majorEastAsia"/>
          <w:b/>
          <w:bCs/>
          <w:color w:val="auto"/>
          <w:sz w:val="28"/>
          <w:szCs w:val="28"/>
          <w:highlight w:val="none"/>
          <w:lang w:val="en-US" w:eastAsia="zh-CN"/>
        </w:rPr>
        <w:t>项目编号：MCGZ[2025]220-ZC168</w:t>
      </w:r>
      <w:r>
        <w:rPr>
          <w:rStyle w:val="24"/>
          <w:rFonts w:hint="eastAsia" w:asciiTheme="majorEastAsia" w:hAnsiTheme="majorEastAsia" w:eastAsiaTheme="majorEastAsia" w:cstheme="majorEastAsia"/>
          <w:b/>
          <w:bCs/>
          <w:color w:val="auto"/>
          <w:sz w:val="28"/>
          <w:szCs w:val="28"/>
          <w:highlight w:val="none"/>
          <w:shd w:val="clear" w:fill="FFFFFF"/>
          <w:lang w:val="en-US" w:eastAsia="zh-CN" w:bidi="ar"/>
        </w:rPr>
        <w:t xml:space="preserve">   </w:t>
      </w:r>
      <w:r>
        <w:rPr>
          <w:rFonts w:hint="eastAsia" w:asciiTheme="minorEastAsia" w:hAnsiTheme="minorEastAsia"/>
          <w:b/>
          <w:bCs/>
          <w:color w:val="auto"/>
          <w:sz w:val="28"/>
          <w:szCs w:val="28"/>
          <w:highlight w:val="none"/>
          <w:lang w:val="en-US" w:eastAsia="zh-CN"/>
        </w:rPr>
        <w:t>渑池公开采购-2025-62</w:t>
      </w:r>
    </w:p>
    <w:p>
      <w:pPr>
        <w:spacing w:line="360" w:lineRule="auto"/>
        <w:jc w:val="center"/>
        <w:rPr>
          <w:rFonts w:cs="楷体" w:asciiTheme="minorEastAsia" w:hAnsiTheme="minorEastAsia"/>
          <w:b/>
          <w:bCs/>
          <w:color w:val="auto"/>
          <w:sz w:val="28"/>
          <w:szCs w:val="28"/>
          <w:highlight w:val="none"/>
        </w:rPr>
      </w:pPr>
    </w:p>
    <w:p>
      <w:pPr>
        <w:spacing w:line="360" w:lineRule="auto"/>
        <w:jc w:val="center"/>
        <w:rPr>
          <w:rFonts w:cs="楷体" w:asciiTheme="minorEastAsia" w:hAnsiTheme="minorEastAsia"/>
          <w:color w:val="auto"/>
          <w:sz w:val="36"/>
          <w:szCs w:val="36"/>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1807" w:firstLineChars="600"/>
        <w:rPr>
          <w:rFonts w:hint="default" w:cs="楷体" w:asciiTheme="minorEastAsia" w:hAnsiTheme="minorEastAsia" w:eastAsiaTheme="minorEastAsia"/>
          <w:b/>
          <w:color w:val="auto"/>
          <w:sz w:val="30"/>
          <w:szCs w:val="30"/>
          <w:highlight w:val="none"/>
          <w:lang w:val="en-US" w:eastAsia="zh-CN"/>
        </w:rPr>
      </w:pPr>
      <w:r>
        <w:rPr>
          <w:rFonts w:hint="eastAsia" w:cs="楷体" w:asciiTheme="minorEastAsia" w:hAnsiTheme="minorEastAsia"/>
          <w:b/>
          <w:color w:val="auto"/>
          <w:sz w:val="30"/>
          <w:szCs w:val="30"/>
          <w:highlight w:val="none"/>
        </w:rPr>
        <w:t>采 购 人：</w:t>
      </w:r>
      <w:r>
        <w:rPr>
          <w:rFonts w:hint="eastAsia" w:cs="楷体" w:asciiTheme="minorEastAsia" w:hAnsiTheme="minorEastAsia"/>
          <w:b/>
          <w:color w:val="auto"/>
          <w:sz w:val="30"/>
          <w:szCs w:val="30"/>
          <w:highlight w:val="none"/>
          <w:lang w:val="en-US" w:eastAsia="zh-CN"/>
        </w:rPr>
        <w:t>渑池县果园乡人民政府</w:t>
      </w:r>
    </w:p>
    <w:p>
      <w:pPr>
        <w:spacing w:line="360" w:lineRule="auto"/>
        <w:ind w:firstLine="1807" w:firstLineChars="600"/>
        <w:rPr>
          <w:rFonts w:hint="eastAsia" w:cs="楷体" w:asciiTheme="minorEastAsia" w:hAnsiTheme="minorEastAsia" w:eastAsiaTheme="minorEastAsia"/>
          <w:b/>
          <w:color w:val="auto"/>
          <w:sz w:val="30"/>
          <w:szCs w:val="30"/>
          <w:highlight w:val="none"/>
          <w:lang w:eastAsia="zh-CN"/>
        </w:rPr>
      </w:pPr>
      <w:r>
        <w:rPr>
          <w:rFonts w:hint="eastAsia" w:cs="楷体" w:asciiTheme="minorEastAsia" w:hAnsiTheme="minorEastAsia"/>
          <w:b/>
          <w:color w:val="auto"/>
          <w:sz w:val="30"/>
          <w:szCs w:val="30"/>
          <w:highlight w:val="none"/>
        </w:rPr>
        <w:t>代理机构：</w:t>
      </w:r>
      <w:r>
        <w:rPr>
          <w:rFonts w:hint="eastAsia" w:cs="楷体" w:asciiTheme="minorEastAsia" w:hAnsiTheme="minorEastAsia"/>
          <w:b/>
          <w:color w:val="auto"/>
          <w:sz w:val="30"/>
          <w:szCs w:val="30"/>
          <w:highlight w:val="none"/>
          <w:lang w:eastAsia="zh-CN"/>
        </w:rPr>
        <w:t>中恒晟（北京）工程管理有限公司</w:t>
      </w:r>
    </w:p>
    <w:p>
      <w:pPr>
        <w:spacing w:line="360" w:lineRule="auto"/>
        <w:ind w:firstLine="1807" w:firstLineChars="600"/>
        <w:rPr>
          <w:rFonts w:cs="楷体" w:asciiTheme="minorEastAsia" w:hAnsiTheme="minorEastAsia"/>
          <w:b/>
          <w:color w:val="auto"/>
          <w:sz w:val="30"/>
          <w:szCs w:val="30"/>
          <w:highlight w:val="none"/>
        </w:rPr>
      </w:pPr>
      <w:r>
        <w:rPr>
          <w:rFonts w:hint="eastAsia" w:cs="楷体" w:asciiTheme="minorEastAsia" w:hAnsiTheme="minorEastAsia"/>
          <w:b/>
          <w:color w:val="auto"/>
          <w:sz w:val="30"/>
          <w:szCs w:val="30"/>
          <w:highlight w:val="none"/>
        </w:rPr>
        <w:t>日    期：二〇二</w:t>
      </w:r>
      <w:r>
        <w:rPr>
          <w:rFonts w:hint="eastAsia" w:cs="楷体" w:asciiTheme="minorEastAsia" w:hAnsiTheme="minorEastAsia"/>
          <w:b/>
          <w:color w:val="auto"/>
          <w:sz w:val="30"/>
          <w:szCs w:val="30"/>
          <w:highlight w:val="none"/>
          <w:lang w:val="en-US" w:eastAsia="zh-CN"/>
        </w:rPr>
        <w:t>五</w:t>
      </w:r>
      <w:r>
        <w:rPr>
          <w:rFonts w:hint="eastAsia" w:cs="楷体" w:asciiTheme="minorEastAsia" w:hAnsiTheme="minorEastAsia"/>
          <w:b/>
          <w:color w:val="auto"/>
          <w:sz w:val="30"/>
          <w:szCs w:val="30"/>
          <w:highlight w:val="none"/>
        </w:rPr>
        <w:t>年</w:t>
      </w:r>
      <w:r>
        <w:rPr>
          <w:rFonts w:hint="eastAsia" w:cs="楷体" w:asciiTheme="minorEastAsia" w:hAnsiTheme="minorEastAsia"/>
          <w:b/>
          <w:color w:val="auto"/>
          <w:sz w:val="30"/>
          <w:szCs w:val="30"/>
          <w:highlight w:val="none"/>
          <w:lang w:val="en-US" w:eastAsia="zh-CN"/>
        </w:rPr>
        <w:t>九</w:t>
      </w:r>
      <w:r>
        <w:rPr>
          <w:rFonts w:hint="eastAsia" w:cs="楷体" w:asciiTheme="minorEastAsia" w:hAnsiTheme="minorEastAsia"/>
          <w:b/>
          <w:color w:val="auto"/>
          <w:sz w:val="30"/>
          <w:szCs w:val="30"/>
          <w:highlight w:val="none"/>
        </w:rPr>
        <w:t>月</w:t>
      </w:r>
    </w:p>
    <w:sdt>
      <w:sdtPr>
        <w:rPr>
          <w:rFonts w:ascii="宋体" w:hAnsi="宋体" w:eastAsia="宋体" w:cs="Times New Roman"/>
          <w:b/>
          <w:bCs/>
          <w:color w:val="auto"/>
          <w:kern w:val="2"/>
          <w:sz w:val="32"/>
          <w:szCs w:val="28"/>
          <w:highlight w:val="none"/>
          <w:lang w:val="en-US" w:eastAsia="zh-CN" w:bidi="ar-SA"/>
        </w:rPr>
        <w:id w:val="147477141"/>
        <w15:color w:val="DBDBDB"/>
        <w:docPartObj>
          <w:docPartGallery w:val="Table of Contents"/>
          <w:docPartUnique/>
        </w:docPartObj>
      </w:sdtPr>
      <w:sdtEndPr>
        <w:rPr>
          <w:rFonts w:ascii="宋体" w:hAnsi="宋体" w:eastAsia="宋体" w:cs="Times New Roman"/>
          <w:b/>
          <w:bCs/>
          <w:color w:val="auto"/>
          <w:kern w:val="2"/>
          <w:sz w:val="32"/>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32"/>
              <w:szCs w:val="28"/>
              <w:highlight w:val="none"/>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32"/>
              <w:szCs w:val="28"/>
              <w:highlight w:val="none"/>
              <w:lang w:val="en-US" w:eastAsia="zh-CN" w:bidi="ar-SA"/>
            </w:rPr>
          </w:pPr>
        </w:p>
        <w:p>
          <w:pPr>
            <w:spacing w:before="0" w:beforeLines="0" w:after="0" w:afterLines="0" w:line="240" w:lineRule="auto"/>
            <w:ind w:left="0" w:leftChars="0" w:right="0" w:rightChars="0" w:firstLine="0" w:firstLineChars="0"/>
            <w:jc w:val="center"/>
            <w:rPr>
              <w:b/>
              <w:bCs/>
              <w:color w:val="auto"/>
              <w:sz w:val="32"/>
              <w:szCs w:val="28"/>
              <w:highlight w:val="none"/>
            </w:rPr>
          </w:pPr>
          <w:r>
            <w:rPr>
              <w:rFonts w:ascii="宋体" w:hAnsi="宋体" w:eastAsia="宋体"/>
              <w:b/>
              <w:bCs/>
              <w:color w:val="auto"/>
              <w:sz w:val="32"/>
              <w:szCs w:val="28"/>
              <w:highlight w:val="none"/>
            </w:rPr>
            <w:t>目</w:t>
          </w:r>
          <w:r>
            <w:rPr>
              <w:rFonts w:hint="eastAsia" w:ascii="宋体" w:hAnsi="宋体" w:eastAsia="宋体"/>
              <w:b/>
              <w:bCs/>
              <w:color w:val="auto"/>
              <w:sz w:val="32"/>
              <w:szCs w:val="28"/>
              <w:highlight w:val="none"/>
              <w:lang w:val="en-US" w:eastAsia="zh-CN"/>
            </w:rPr>
            <w:t xml:space="preserve">    </w:t>
          </w:r>
          <w:r>
            <w:rPr>
              <w:rFonts w:ascii="宋体" w:hAnsi="宋体" w:eastAsia="宋体"/>
              <w:b/>
              <w:bCs/>
              <w:color w:val="auto"/>
              <w:sz w:val="32"/>
              <w:szCs w:val="28"/>
              <w:highlight w:val="none"/>
            </w:rPr>
            <w:t>录</w:t>
          </w:r>
        </w:p>
        <w:p>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_Toc27261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第一章 招标公告</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_Toc27261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3</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_Toc11140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 xml:space="preserve">第二章 </w:t>
          </w:r>
          <w:r>
            <w:rPr>
              <w:rFonts w:hint="eastAsia" w:ascii="宋体" w:hAnsi="宋体" w:eastAsia="宋体" w:cs="宋体"/>
              <w:b w:val="0"/>
              <w:bCs w:val="0"/>
              <w:color w:val="auto"/>
              <w:kern w:val="0"/>
              <w:sz w:val="32"/>
              <w:szCs w:val="32"/>
              <w:highlight w:val="none"/>
              <w:lang w:eastAsia="zh-CN"/>
            </w:rPr>
            <w:t>供应商须知</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_Toc11140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7</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_Toc6663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 xml:space="preserve">第三章 </w:t>
          </w:r>
          <w:r>
            <w:rPr>
              <w:rFonts w:hint="eastAsia" w:ascii="宋体" w:hAnsi="宋体" w:eastAsia="宋体" w:cs="宋体"/>
              <w:b w:val="0"/>
              <w:bCs w:val="0"/>
              <w:color w:val="auto"/>
              <w:kern w:val="0"/>
              <w:sz w:val="32"/>
              <w:szCs w:val="32"/>
              <w:highlight w:val="none"/>
              <w:lang w:eastAsia="zh-CN"/>
            </w:rPr>
            <w:t>采购</w:t>
          </w:r>
          <w:r>
            <w:rPr>
              <w:rFonts w:hint="eastAsia" w:ascii="宋体" w:hAnsi="宋体" w:eastAsia="宋体" w:cs="宋体"/>
              <w:b w:val="0"/>
              <w:bCs w:val="0"/>
              <w:color w:val="auto"/>
              <w:kern w:val="0"/>
              <w:sz w:val="32"/>
              <w:szCs w:val="32"/>
              <w:highlight w:val="none"/>
              <w:lang w:val="en-US" w:eastAsia="zh-CN"/>
            </w:rPr>
            <w:t>清单</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lang w:val="en-US" w:eastAsia="zh-CN"/>
            </w:rPr>
            <w:t>7</w:t>
          </w:r>
        </w:p>
        <w:p>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_Toc27130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第四章 评标办法</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lang w:val="en-US" w:eastAsia="zh-CN"/>
            </w:rPr>
            <w:t>8</w:t>
          </w:r>
        </w:p>
        <w:p>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_Toc9463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第五章 合同条款及格式</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_Toc9463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4</w:t>
          </w:r>
          <w:r>
            <w:rPr>
              <w:rFonts w:hint="eastAsia" w:ascii="宋体" w:hAnsi="宋体" w:eastAsia="宋体" w:cs="宋体"/>
              <w:b w:val="0"/>
              <w:bCs w:val="0"/>
              <w:color w:val="auto"/>
              <w:sz w:val="32"/>
              <w:szCs w:val="32"/>
              <w:highlight w:val="none"/>
              <w:lang w:val="en-US" w:eastAsia="zh-CN"/>
            </w:rPr>
            <w:t>0</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_Toc28015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第六章 投标文件格式</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lang w:val="en-US" w:eastAsia="zh-CN"/>
            </w:rPr>
            <w:t>.</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lang w:val="en-US" w:eastAsia="zh-CN"/>
            </w:rPr>
            <w:t>..46</w:t>
          </w:r>
        </w:p>
        <w:p>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276" w:lineRule="auto"/>
            <w:ind w:left="0" w:leftChars="0" w:firstLine="480" w:firstLineChars="200"/>
            <w:textAlignment w:val="auto"/>
            <w:rPr>
              <w:rFonts w:hint="eastAsia" w:ascii="宋体" w:hAnsi="宋体" w:eastAsia="宋体" w:cs="宋体"/>
              <w:color w:val="auto"/>
              <w:sz w:val="24"/>
              <w:szCs w:val="24"/>
              <w:highlight w:val="none"/>
            </w:rPr>
          </w:pPr>
        </w:p>
        <w:p>
          <w:pPr>
            <w:tabs>
              <w:tab w:val="left" w:pos="2780"/>
            </w:tabs>
            <w:bidi w:val="0"/>
            <w:jc w:val="left"/>
            <w:rPr>
              <w:rFonts w:ascii="宋体" w:hAnsi="宋体" w:eastAsia="宋体" w:cs="Times New Roman"/>
              <w:b/>
              <w:bCs/>
              <w:color w:val="auto"/>
              <w:kern w:val="2"/>
              <w:sz w:val="32"/>
              <w:szCs w:val="28"/>
              <w:highlight w:val="none"/>
              <w:lang w:val="en-US" w:eastAsia="zh-CN" w:bidi="ar-SA"/>
            </w:rPr>
          </w:pPr>
          <w:r>
            <w:rPr>
              <w:rFonts w:hint="eastAsia" w:ascii="宋体" w:hAnsi="宋体" w:eastAsia="宋体" w:cs="宋体"/>
              <w:color w:val="auto"/>
              <w:sz w:val="24"/>
              <w:szCs w:val="24"/>
              <w:highlight w:val="none"/>
            </w:rPr>
            <w:fldChar w:fldCharType="end"/>
          </w:r>
        </w:p>
      </w:sdtContent>
    </w:sdt>
    <w:p>
      <w:pPr>
        <w:tabs>
          <w:tab w:val="left" w:pos="2780"/>
        </w:tabs>
        <w:bidi w:val="0"/>
        <w:jc w:val="left"/>
        <w:rPr>
          <w:rFonts w:hint="eastAsia"/>
          <w:color w:val="auto"/>
          <w:highlight w:val="none"/>
          <w:lang w:val="en-US" w:eastAsia="zh-CN"/>
        </w:rPr>
        <w:sectPr>
          <w:headerReference r:id="rId4" w:type="first"/>
          <w:footerReference r:id="rId6" w:type="first"/>
          <w:headerReference r:id="rId3" w:type="default"/>
          <w:footerReference r:id="rId5" w:type="default"/>
          <w:pgSz w:w="11907" w:h="16840"/>
          <w:pgMar w:top="1440" w:right="1531" w:bottom="1440" w:left="1531" w:header="907" w:footer="907" w:gutter="0"/>
          <w:pgBorders>
            <w:top w:val="none" w:sz="0" w:space="0"/>
            <w:left w:val="none" w:sz="0" w:space="0"/>
            <w:bottom w:val="none" w:sz="0" w:space="0"/>
            <w:right w:val="none" w:sz="0" w:space="0"/>
          </w:pgBorders>
          <w:pgNumType w:fmt="decimal" w:start="1"/>
          <w:cols w:space="0" w:num="1"/>
          <w:titlePg/>
          <w:rtlGutter w:val="0"/>
          <w:docGrid w:linePitch="381" w:charSpace="0"/>
        </w:sectPr>
      </w:pPr>
      <w:r>
        <w:rPr>
          <w:color w:val="auto"/>
          <w:sz w:val="21"/>
          <w:highlight w:val="none"/>
        </w:rPr>
        <mc:AlternateContent>
          <mc:Choice Requires="wps">
            <w:drawing>
              <wp:anchor distT="0" distB="0" distL="114300" distR="114300" simplePos="0" relativeHeight="251660288" behindDoc="1" locked="0" layoutInCell="1" allowOverlap="1">
                <wp:simplePos x="0" y="0"/>
                <wp:positionH relativeFrom="column">
                  <wp:posOffset>548640</wp:posOffset>
                </wp:positionH>
                <wp:positionV relativeFrom="page">
                  <wp:posOffset>7163435</wp:posOffset>
                </wp:positionV>
                <wp:extent cx="1813560" cy="1152525"/>
                <wp:effectExtent l="0" t="0" r="0" b="0"/>
                <wp:wrapTight wrapText="bothSides">
                  <wp:wrapPolygon>
                    <wp:start x="0" y="0"/>
                    <wp:lineTo x="0" y="21600"/>
                    <wp:lineTo x="21600" y="21600"/>
                    <wp:lineTo x="21600" y="0"/>
                    <wp:lineTo x="0" y="0"/>
                  </wp:wrapPolygon>
                </wp:wrapTight>
                <wp:docPr id="5" name="矩形 5"/>
                <wp:cNvGraphicFramePr/>
                <a:graphic xmlns:a="http://schemas.openxmlformats.org/drawingml/2006/main">
                  <a:graphicData uri="http://schemas.microsoft.com/office/word/2010/wordprocessingShape">
                    <wps:wsp>
                      <wps:cNvSpPr/>
                      <wps:spPr>
                        <a:xfrm>
                          <a:off x="0" y="0"/>
                          <a:ext cx="1813560" cy="1152525"/>
                        </a:xfrm>
                        <a:prstGeom prst="rect">
                          <a:avLst/>
                        </a:prstGeom>
                        <a:noFill/>
                        <a:ln>
                          <a:noFill/>
                        </a:ln>
                      </wps:spPr>
                      <wps:txbx>
                        <w:txbxContent>
                          <w:p>
                            <w:pPr>
                              <w:rPr>
                                <w:rFonts w:hint="eastAsia"/>
                                <w:lang w:val="en-US" w:eastAsia="zh-CN"/>
                              </w:rPr>
                            </w:pPr>
                          </w:p>
                        </w:txbxContent>
                      </wps:txbx>
                      <wps:bodyPr upright="1"/>
                    </wps:wsp>
                  </a:graphicData>
                </a:graphic>
              </wp:anchor>
            </w:drawing>
          </mc:Choice>
          <mc:Fallback>
            <w:pict>
              <v:rect id="_x0000_s1026" o:spid="_x0000_s1026" o:spt="1" style="position:absolute;left:0pt;margin-left:43.2pt;margin-top:564.05pt;height:90.75pt;width:142.8pt;mso-position-vertical-relative:page;mso-wrap-distance-left:9pt;mso-wrap-distance-right:9pt;z-index:-251656192;mso-width-relative:page;mso-height-relative:page;" filled="f" stroked="f" coordsize="21600,21600" wrapcoords="0 0 0 21600 21600 21600 21600 0 0 0" o:gfxdata="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YB3lHbAAAADAEAAA8A&#10;AAAAAAAAAQAgAAAAIgAAAGRycy9kb3ducmV2LnhtbFBLAQIUABQAAAAIAIdO4kA/rIFQogEAAEID&#10;AAAOAAAAAAAAAAEAIAAAACoBAABkcnMvZTJvRG9jLnhtbFBLBQYAAAAABgAGAFkBAAA+BQAAAAA=&#10;">
                <v:fill on="f" focussize="0,0"/>
                <v:stroke on="f"/>
                <v:imagedata o:title=""/>
                <o:lock v:ext="edit" aspectratio="f"/>
                <v:textbox>
                  <w:txbxContent>
                    <w:p>
                      <w:pPr>
                        <w:rPr>
                          <w:rFonts w:hint="eastAsia"/>
                          <w:lang w:val="en-US" w:eastAsia="zh-CN"/>
                        </w:rPr>
                      </w:pPr>
                    </w:p>
                  </w:txbxContent>
                </v:textbox>
                <w10:wrap type="tight"/>
              </v:rect>
            </w:pict>
          </mc:Fallback>
        </mc:AlternateContent>
      </w:r>
      <w:r>
        <w:rPr>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883920</wp:posOffset>
                </wp:positionH>
                <wp:positionV relativeFrom="paragraph">
                  <wp:posOffset>46990</wp:posOffset>
                </wp:positionV>
                <wp:extent cx="2118360" cy="699770"/>
                <wp:effectExtent l="0" t="0" r="0" b="0"/>
                <wp:wrapNone/>
                <wp:docPr id="4" name="矩形 4" descr="7b0a20202020227461726765744d6f64756c65223a202270726f636573734f6e6c696e65466f6e7473220a7d0a"/>
                <wp:cNvGraphicFramePr/>
                <a:graphic xmlns:a="http://schemas.openxmlformats.org/drawingml/2006/main">
                  <a:graphicData uri="http://schemas.microsoft.com/office/word/2010/wordprocessingShape">
                    <wps:wsp>
                      <wps:cNvSpPr/>
                      <wps:spPr>
                        <a:xfrm>
                          <a:off x="0" y="0"/>
                          <a:ext cx="2118360" cy="699770"/>
                        </a:xfrm>
                        <a:prstGeom prst="rect">
                          <a:avLst/>
                        </a:prstGeom>
                        <a:noFill/>
                        <a:ln>
                          <a:noFill/>
                        </a:ln>
                      </wps:spPr>
                      <wps:txbx>
                        <w:txbxContent>
                          <w:p>
                            <w:pPr>
                              <w:pStyle w:val="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b/>
                                <w:bCs/>
                                <w:color w:val="auto"/>
                                <w:sz w:val="56"/>
                                <w:szCs w:val="56"/>
                                <w:lang w:val="en-US" w:eastAsia="zh-CN"/>
                              </w:rPr>
                            </w:pPr>
                          </w:p>
                        </w:txbxContent>
                      </wps:txbx>
                      <wps:bodyPr upright="0"/>
                    </wps:wsp>
                  </a:graphicData>
                </a:graphic>
              </wp:anchor>
            </w:drawing>
          </mc:Choice>
          <mc:Fallback>
            <w:pict>
              <v:rect id="_x0000_s1026" o:spid="_x0000_s1026" o:spt="1" alt="7b0a20202020227461726765744d6f64756c65223a202270726f636573734f6e6c696e65466f6e7473220a7d0a" style="position:absolute;left:0pt;margin-left:69.6pt;margin-top:3.7pt;height:55.1pt;width:166.8pt;z-index:251659264;mso-width-relative:page;mso-height-relative:page;" filled="f" stroked="f" coordsize="21600,21600" o:gfxdata="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CPgr2AAA&#10;AAkBAAAPAAAAAAAAAAEAIAAAACIAAABkcnMvZG93bnJldi54bWxQSwECFAAUAAAACACHTuJAiYqy&#10;BeUBAACkAwAADgAAAAAAAAABACAAAAAnAQAAZHJzL2Uyb0RvYy54bWxQSwUGAAAAAAYABgBZAQAA&#10;fgUAAAAA&#10;">
                <v:fill on="f" focussize="0,0"/>
                <v:stroke on="f"/>
                <v:imagedata o:title=""/>
                <o:lock v:ext="edit" aspectratio="f"/>
                <v:textbox>
                  <w:txbxContent>
                    <w:p>
                      <w:pPr>
                        <w:pStyle w:val="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b/>
                          <w:bCs/>
                          <w:color w:val="auto"/>
                          <w:sz w:val="56"/>
                          <w:szCs w:val="56"/>
                          <w:lang w:val="en-US" w:eastAsia="zh-CN"/>
                        </w:rPr>
                      </w:pPr>
                    </w:p>
                  </w:txbxContent>
                </v:textbox>
              </v:rect>
            </w:pict>
          </mc:Fallback>
        </mc:AlternateContent>
      </w:r>
    </w:p>
    <w:p>
      <w:pPr>
        <w:keepNext w:val="0"/>
        <w:keepLines w:val="0"/>
        <w:pageBreakBefore w:val="0"/>
        <w:widowControl w:val="0"/>
        <w:kinsoku/>
        <w:wordWrap/>
        <w:overflowPunct/>
        <w:topLinePunct w:val="0"/>
        <w:autoSpaceDE/>
        <w:autoSpaceDN/>
        <w:bidi w:val="0"/>
        <w:snapToGrid/>
        <w:spacing w:line="288" w:lineRule="auto"/>
        <w:textAlignment w:val="auto"/>
        <w:rPr>
          <w:color w:val="auto"/>
          <w:highlight w:val="none"/>
        </w:rPr>
      </w:pPr>
      <w:bookmarkStart w:id="0" w:name="_Toc27261"/>
      <w:bookmarkStart w:id="1" w:name="_Toc20459"/>
      <w:bookmarkStart w:id="2" w:name="_Toc31536"/>
      <w:bookmarkStart w:id="3" w:name="_Toc3156"/>
    </w:p>
    <w:p>
      <w:pPr>
        <w:keepNext w:val="0"/>
        <w:keepLines w:val="0"/>
        <w:pageBreakBefore w:val="0"/>
        <w:widowControl w:val="0"/>
        <w:kinsoku/>
        <w:wordWrap/>
        <w:overflowPunct/>
        <w:topLinePunct w:val="0"/>
        <w:autoSpaceDE/>
        <w:autoSpaceDN/>
        <w:bidi w:val="0"/>
        <w:snapToGrid/>
        <w:spacing w:line="288" w:lineRule="auto"/>
        <w:ind w:firstLine="2891" w:firstLineChars="800"/>
        <w:textAlignment w:val="auto"/>
        <w:rPr>
          <w:rFonts w:asciiTheme="minorEastAsia" w:hAnsiTheme="minorEastAsia" w:eastAsiaTheme="minorEastAsia"/>
          <w:color w:val="auto"/>
          <w:kern w:val="0"/>
          <w:sz w:val="36"/>
          <w:szCs w:val="36"/>
          <w:highlight w:val="none"/>
        </w:rPr>
      </w:pPr>
      <w:r>
        <w:rPr>
          <w:rFonts w:hint="eastAsia" w:asciiTheme="minorEastAsia" w:hAnsiTheme="minorEastAsia" w:eastAsiaTheme="minorEastAsia"/>
          <w:b/>
          <w:bCs/>
          <w:color w:val="auto"/>
          <w:kern w:val="0"/>
          <w:sz w:val="36"/>
          <w:szCs w:val="36"/>
          <w:highlight w:val="none"/>
        </w:rPr>
        <w:t xml:space="preserve">第一章 </w:t>
      </w:r>
      <w:bookmarkStart w:id="4" w:name="招标公告"/>
      <w:r>
        <w:rPr>
          <w:rFonts w:hint="eastAsia" w:asciiTheme="minorEastAsia" w:hAnsiTheme="minorEastAsia" w:eastAsiaTheme="minorEastAsia"/>
          <w:b/>
          <w:bCs/>
          <w:color w:val="auto"/>
          <w:kern w:val="0"/>
          <w:sz w:val="36"/>
          <w:szCs w:val="36"/>
          <w:highlight w:val="none"/>
        </w:rPr>
        <w:t>招标公告</w:t>
      </w:r>
      <w:bookmarkEnd w:id="0"/>
      <w:bookmarkEnd w:id="1"/>
      <w:bookmarkEnd w:id="2"/>
      <w:bookmarkEnd w:id="3"/>
      <w:bookmarkEnd w:id="4"/>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lang w:eastAsia="zh-CN"/>
        </w:rPr>
        <w:t>中恒晟（北京）工程管理有限公司</w:t>
      </w:r>
      <w:r>
        <w:rPr>
          <w:rFonts w:hint="eastAsia" w:asciiTheme="minorEastAsia" w:hAnsiTheme="minorEastAsia" w:eastAsiaTheme="minorEastAsia"/>
          <w:color w:val="auto"/>
          <w:sz w:val="24"/>
          <w:szCs w:val="24"/>
          <w:highlight w:val="none"/>
        </w:rPr>
        <w:t>受</w:t>
      </w:r>
      <w:r>
        <w:rPr>
          <w:rFonts w:hint="eastAsia" w:asciiTheme="minorEastAsia" w:hAnsiTheme="minorEastAsia"/>
          <w:color w:val="auto"/>
          <w:sz w:val="24"/>
          <w:szCs w:val="24"/>
          <w:highlight w:val="none"/>
          <w:lang w:eastAsia="zh-CN"/>
        </w:rPr>
        <w:t>渑池县果园乡人民政府</w:t>
      </w:r>
      <w:r>
        <w:rPr>
          <w:rFonts w:hint="eastAsia" w:asciiTheme="minorEastAsia" w:hAnsiTheme="minorEastAsia" w:eastAsiaTheme="minorEastAsia"/>
          <w:color w:val="auto"/>
          <w:sz w:val="24"/>
          <w:szCs w:val="24"/>
          <w:highlight w:val="none"/>
        </w:rPr>
        <w:t>的委托，就渑池县果园乡电子束灭菌设备采购项目</w:t>
      </w:r>
      <w:r>
        <w:rPr>
          <w:rFonts w:hint="eastAsia" w:asciiTheme="minorEastAsia" w:hAnsiTheme="minorEastAsia" w:eastAsiaTheme="minorEastAsia"/>
          <w:color w:val="auto"/>
          <w:sz w:val="24"/>
          <w:szCs w:val="24"/>
          <w:highlight w:val="none"/>
          <w:lang w:eastAsia="zh-CN"/>
        </w:rPr>
        <w:t>进行</w:t>
      </w:r>
      <w:r>
        <w:rPr>
          <w:rFonts w:hint="eastAsia" w:asciiTheme="minorEastAsia" w:hAnsiTheme="minorEastAsia" w:eastAsiaTheme="minorEastAsia"/>
          <w:color w:val="auto"/>
          <w:sz w:val="24"/>
          <w:szCs w:val="24"/>
          <w:highlight w:val="none"/>
        </w:rPr>
        <w:t>公开招标，现欢迎符合资格条件的供应商参加投标。</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一、项目概况：</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、采购人：</w:t>
      </w:r>
      <w:r>
        <w:rPr>
          <w:rFonts w:hint="eastAsia" w:asciiTheme="minorEastAsia" w:hAnsiTheme="minorEastAsia"/>
          <w:color w:val="auto"/>
          <w:sz w:val="24"/>
          <w:szCs w:val="24"/>
          <w:highlight w:val="none"/>
          <w:lang w:eastAsia="zh-CN"/>
        </w:rPr>
        <w:t>渑池县果园乡人民政府</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2、项目名称：渑池县果园乡电子束灭菌设备采购项目</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3、项目编号：</w:t>
      </w:r>
      <w:r>
        <w:rPr>
          <w:rFonts w:hint="eastAsia" w:asciiTheme="minorEastAsia" w:hAnsiTheme="minorEastAsia" w:eastAsiaTheme="minorEastAsia"/>
          <w:color w:val="auto"/>
          <w:sz w:val="24"/>
          <w:szCs w:val="24"/>
          <w:highlight w:val="none"/>
          <w:lang w:val="en-US" w:eastAsia="zh-CN"/>
        </w:rPr>
        <w:t xml:space="preserve">MCGZ[2025]220-ZC168   </w:t>
      </w:r>
      <w:r>
        <w:rPr>
          <w:rFonts w:hint="eastAsia" w:asciiTheme="minorEastAsia" w:hAnsiTheme="minorEastAsia"/>
          <w:color w:val="auto"/>
          <w:sz w:val="24"/>
          <w:szCs w:val="24"/>
          <w:highlight w:val="none"/>
          <w:lang w:val="en-US" w:eastAsia="zh-CN"/>
        </w:rPr>
        <w:t>渑池公开采购-2025-62</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cs="Times New Roman"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4、采购内容</w:t>
      </w:r>
      <w:r>
        <w:rPr>
          <w:rFonts w:hint="eastAsia" w:cs="Times New Roman" w:asciiTheme="minorEastAsia" w:hAnsiTheme="minorEastAsia" w:eastAsiaTheme="minorEastAsia"/>
          <w:color w:val="auto"/>
          <w:sz w:val="24"/>
          <w:szCs w:val="24"/>
          <w:highlight w:val="none"/>
          <w:lang w:eastAsia="zh-CN"/>
        </w:rPr>
        <w:t>：渑池县果园乡电子束灭菌设备采购项目</w:t>
      </w:r>
      <w:r>
        <w:rPr>
          <w:rFonts w:hint="eastAsia" w:cs="Times New Roman" w:asciiTheme="minorEastAsia" w:hAnsiTheme="minorEastAsia" w:eastAsiaTheme="minorEastAsia"/>
          <w:color w:val="auto"/>
          <w:sz w:val="24"/>
          <w:szCs w:val="24"/>
          <w:highlight w:val="none"/>
          <w:lang w:val="en-US" w:eastAsia="zh-CN"/>
        </w:rPr>
        <w:t>(具体内容见招标文件第三章采购清单)</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val="en-US" w:eastAsia="zh-CN"/>
        </w:rPr>
        <w:t>5、标段划分：</w:t>
      </w:r>
      <w:r>
        <w:rPr>
          <w:rFonts w:hint="eastAsia" w:cs="Times New Roman" w:asciiTheme="minorEastAsia" w:hAnsiTheme="minorEastAsia" w:eastAsiaTheme="minorEastAsia"/>
          <w:color w:val="auto"/>
          <w:sz w:val="24"/>
          <w:szCs w:val="24"/>
          <w:highlight w:val="none"/>
          <w:lang w:eastAsia="zh-CN"/>
        </w:rPr>
        <w:t>本项目不划分标段</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6、预算资金：</w:t>
      </w:r>
      <w:r>
        <w:rPr>
          <w:rFonts w:hint="default" w:cs="Times New Roman" w:asciiTheme="minorEastAsia" w:hAnsiTheme="minorEastAsia" w:eastAsiaTheme="minorEastAsia"/>
          <w:color w:val="auto"/>
          <w:sz w:val="24"/>
          <w:szCs w:val="24"/>
          <w:highlight w:val="none"/>
          <w:lang w:val="en-US" w:eastAsia="zh-CN"/>
        </w:rPr>
        <w:t>¥</w:t>
      </w:r>
      <w:r>
        <w:rPr>
          <w:rFonts w:hint="eastAsia" w:cs="Times New Roman" w:asciiTheme="minorEastAsia" w:hAnsiTheme="minorEastAsia"/>
          <w:color w:val="auto"/>
          <w:sz w:val="24"/>
          <w:szCs w:val="24"/>
          <w:highlight w:val="none"/>
          <w:lang w:val="en-US" w:eastAsia="zh-CN"/>
        </w:rPr>
        <w:t>17901000.00</w:t>
      </w:r>
      <w:r>
        <w:rPr>
          <w:rFonts w:hint="eastAsia" w:cs="Times New Roman" w:asciiTheme="minorEastAsia" w:hAnsiTheme="minorEastAsia" w:eastAsiaTheme="minorEastAsia"/>
          <w:color w:val="auto"/>
          <w:sz w:val="24"/>
          <w:szCs w:val="24"/>
          <w:highlight w:val="none"/>
          <w:lang w:val="en-US" w:eastAsia="zh-CN"/>
        </w:rPr>
        <w:t>元</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7、资金</w:t>
      </w:r>
      <w:r>
        <w:rPr>
          <w:rFonts w:hint="eastAsia" w:cs="Times New Roman" w:asciiTheme="minorEastAsia" w:hAnsiTheme="minorEastAsia"/>
          <w:color w:val="auto"/>
          <w:sz w:val="24"/>
          <w:szCs w:val="24"/>
          <w:highlight w:val="none"/>
          <w:lang w:val="en-US" w:eastAsia="zh-CN"/>
        </w:rPr>
        <w:t>来源：财政资金，已落实</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r>
        <w:rPr>
          <w:rFonts w:hint="eastAsia" w:asciiTheme="minorEastAsia" w:hAnsiTheme="minorEastAsia" w:eastAsiaTheme="minorEastAsia"/>
          <w:color w:val="auto"/>
          <w:sz w:val="24"/>
          <w:szCs w:val="24"/>
          <w:highlight w:val="none"/>
          <w:lang w:val="en-US" w:eastAsia="zh-CN"/>
        </w:rPr>
        <w:t>、供货周期：</w:t>
      </w:r>
      <w:r>
        <w:rPr>
          <w:rFonts w:hint="eastAsia" w:asciiTheme="minorEastAsia" w:hAnsiTheme="minorEastAsia"/>
          <w:color w:val="auto"/>
          <w:sz w:val="24"/>
          <w:szCs w:val="24"/>
          <w:highlight w:val="none"/>
          <w:lang w:val="en-US" w:eastAsia="zh-CN"/>
        </w:rPr>
        <w:t>合同签订后60日历天内完成安装调试，并具备生产使用条件。</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9、质保期：符合国家相关标准</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val="en-US" w:eastAsia="zh-CN"/>
        </w:rPr>
        <w:t>1</w:t>
      </w:r>
      <w:r>
        <w:rPr>
          <w:rFonts w:hint="eastAsia" w:cs="Times New Roman" w:asciiTheme="minorEastAsia" w:hAnsiTheme="minorEastAsia"/>
          <w:color w:val="auto"/>
          <w:sz w:val="24"/>
          <w:szCs w:val="24"/>
          <w:highlight w:val="none"/>
          <w:lang w:val="en-US" w:eastAsia="zh-CN"/>
        </w:rPr>
        <w:t>0</w:t>
      </w:r>
      <w:r>
        <w:rPr>
          <w:rFonts w:hint="eastAsia" w:cs="Times New Roman" w:asciiTheme="minorEastAsia" w:hAnsiTheme="minorEastAsia" w:eastAsiaTheme="minorEastAsia"/>
          <w:color w:val="auto"/>
          <w:sz w:val="24"/>
          <w:szCs w:val="24"/>
          <w:highlight w:val="none"/>
          <w:lang w:eastAsia="zh-CN"/>
        </w:rPr>
        <w:t>、交货地点：采购人指定地点</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、质量要</w:t>
      </w:r>
      <w:r>
        <w:rPr>
          <w:rFonts w:hint="eastAsia" w:asciiTheme="minorEastAsia" w:hAnsiTheme="minorEastAsia" w:eastAsiaTheme="minorEastAsia"/>
          <w:color w:val="auto"/>
          <w:sz w:val="24"/>
          <w:szCs w:val="24"/>
          <w:highlight w:val="none"/>
          <w:lang w:eastAsia="zh-CN"/>
        </w:rPr>
        <w:t>求</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color w:val="auto"/>
          <w:sz w:val="24"/>
          <w:szCs w:val="24"/>
          <w:highlight w:val="none"/>
          <w:lang w:val="en-US" w:eastAsia="zh-CN"/>
        </w:rPr>
        <w:t>合格</w:t>
      </w:r>
    </w:p>
    <w:p>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en-US" w:eastAsia="zh-CN"/>
        </w:rPr>
        <w:t>、是否接受进口产品：否</w:t>
      </w:r>
    </w:p>
    <w:p>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lang w:val="en-US" w:eastAsia="zh-CN"/>
        </w:rPr>
        <w:t>、是否专门面向中小企业：否</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lang w:eastAsia="zh-CN"/>
        </w:rPr>
        <w:t>、采购项目需要落实的政府采购政策:本项目非专门面向中小微企业采购项目，执行促进中小型企业发展政策（残疾人福利性企业、监狱企业视同小微企业）、优先采购节能环保产品等政府采购政策。本项目对应的中小企业划分标准所属行业为工业。</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二</w:t>
      </w:r>
      <w:r>
        <w:rPr>
          <w:rFonts w:hint="eastAsia" w:asciiTheme="minorEastAsia" w:hAnsiTheme="minorEastAsia" w:eastAsiaTheme="minorEastAsia"/>
          <w:color w:val="auto"/>
          <w:sz w:val="24"/>
          <w:szCs w:val="24"/>
          <w:highlight w:val="none"/>
        </w:rPr>
        <w:t>、供应商资格要求：</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供应商参加本次政府采购活动必须符合《中华人民共和国政府采购法》第二十二条的规定并同时具备下列条件：</w:t>
      </w:r>
    </w:p>
    <w:p>
      <w:pPr>
        <w:keepNext w:val="0"/>
        <w:keepLines w:val="0"/>
        <w:pageBreakBefore w:val="0"/>
        <w:widowControl w:val="0"/>
        <w:numPr>
          <w:ilvl w:val="0"/>
          <w:numId w:val="1"/>
        </w:numPr>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须具有中华人民共和国境内注册的能够独立承担民事责任的独立法人，具有有效的营业执照、税务登记证、组织机构代码证(或“三证合一”的营业执照)；投标单位为生产厂家的需具备《辐射安全许可证》生产、销售、使用Ⅱ类射线资质。</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bookmarkStart w:id="5" w:name="OLE_LINK9"/>
      <w:r>
        <w:rPr>
          <w:rFonts w:hint="eastAsia" w:asciiTheme="minorEastAsia" w:hAnsiTheme="minorEastAsia"/>
          <w:color w:val="auto"/>
          <w:sz w:val="24"/>
          <w:szCs w:val="24"/>
          <w:highlight w:val="none"/>
          <w:lang w:val="en-US" w:eastAsia="zh-CN"/>
        </w:rPr>
        <w:t>供应商</w:t>
      </w:r>
      <w:bookmarkEnd w:id="5"/>
      <w:bookmarkStart w:id="6" w:name="OLE_LINK1"/>
      <w:r>
        <w:rPr>
          <w:rFonts w:hint="eastAsia" w:asciiTheme="minorEastAsia" w:hAnsiTheme="minorEastAsia"/>
          <w:color w:val="auto"/>
          <w:sz w:val="24"/>
          <w:szCs w:val="24"/>
          <w:highlight w:val="none"/>
          <w:lang w:val="en-US" w:eastAsia="zh-CN"/>
        </w:rPr>
        <w:t>须</w:t>
      </w:r>
      <w:bookmarkEnd w:id="6"/>
      <w:r>
        <w:rPr>
          <w:rFonts w:hint="eastAsia" w:asciiTheme="minorEastAsia" w:hAnsiTheme="minorEastAsia"/>
          <w:color w:val="auto"/>
          <w:sz w:val="24"/>
          <w:szCs w:val="24"/>
          <w:highlight w:val="none"/>
          <w:lang w:val="en-US" w:eastAsia="zh-CN"/>
        </w:rPr>
        <w:t>具有履行合同所必须的设备、人员和专业技术能力；（承诺书格式自拟）；</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具有良好的财务状况且没有处于被责令停业，提供企业近三年（新成立企业从成立之日起计算）任意一年审计报告或财务报表，若企业新成立不足一年，</w:t>
      </w:r>
      <w:r>
        <w:rPr>
          <w:rFonts w:hint="eastAsia" w:ascii="宋体" w:hAnsi="宋体" w:eastAsia="宋体"/>
          <w:color w:val="auto"/>
          <w:sz w:val="24"/>
          <w:szCs w:val="24"/>
          <w:highlight w:val="none"/>
        </w:rPr>
        <w:t>提供注册期后至今的财务报</w:t>
      </w:r>
      <w:r>
        <w:rPr>
          <w:rFonts w:hint="eastAsia" w:asciiTheme="minorEastAsia" w:hAnsiTheme="minorEastAsia"/>
          <w:color w:val="auto"/>
          <w:sz w:val="24"/>
          <w:szCs w:val="24"/>
          <w:highlight w:val="none"/>
          <w:lang w:val="en-US" w:eastAsia="zh-CN"/>
        </w:rPr>
        <w:t>表；</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4</w:t>
      </w:r>
      <w:r>
        <w:rPr>
          <w:rFonts w:hint="eastAsia" w:cs="Times New Roman" w:asciiTheme="minorEastAsia" w:hAnsiTheme="minorEastAsia" w:eastAsiaTheme="minorEastAsia"/>
          <w:color w:val="auto"/>
          <w:sz w:val="24"/>
          <w:szCs w:val="24"/>
          <w:highlight w:val="none"/>
          <w:lang w:val="en-US" w:eastAsia="zh-CN"/>
        </w:rPr>
        <w:t>、参加政府采购活动前3年内无行贿犯罪记录，（开标时提供《中国裁判文书网》查询结果网页截图或企业自行承诺的无行贿犯罪承诺书，查询&lt;承诺&gt;对象为“企业，法定代表人，项目</w:t>
      </w:r>
      <w:r>
        <w:rPr>
          <w:rFonts w:hint="eastAsia" w:cs="Times New Roman" w:asciiTheme="minorEastAsia" w:hAnsiTheme="minorEastAsia"/>
          <w:color w:val="auto"/>
          <w:sz w:val="24"/>
          <w:szCs w:val="24"/>
          <w:highlight w:val="none"/>
          <w:lang w:val="en-US" w:eastAsia="zh-CN"/>
        </w:rPr>
        <w:t>负责人</w:t>
      </w:r>
      <w:r>
        <w:rPr>
          <w:rFonts w:hint="eastAsia" w:cs="Times New Roman" w:asciiTheme="minorEastAsia" w:hAnsiTheme="minorEastAsia" w:eastAsiaTheme="minorEastAsia"/>
          <w:color w:val="auto"/>
          <w:sz w:val="24"/>
          <w:szCs w:val="24"/>
          <w:highlight w:val="none"/>
          <w:lang w:val="en-US" w:eastAsia="zh-CN"/>
        </w:rPr>
        <w:t>”）；</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5</w:t>
      </w:r>
      <w:r>
        <w:rPr>
          <w:rFonts w:hint="eastAsia" w:cs="Times New Roman" w:asciiTheme="minorEastAsia" w:hAnsiTheme="minorEastAsia" w:eastAsiaTheme="minorEastAsia"/>
          <w:color w:val="auto"/>
          <w:sz w:val="24"/>
          <w:szCs w:val="24"/>
          <w:highlight w:val="none"/>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6</w:t>
      </w:r>
      <w:r>
        <w:rPr>
          <w:rFonts w:hint="eastAsia" w:cs="Times New Roman" w:asciiTheme="minorEastAsia" w:hAnsiTheme="minorEastAsia" w:eastAsiaTheme="minorEastAsia"/>
          <w:color w:val="auto"/>
          <w:sz w:val="24"/>
          <w:szCs w:val="24"/>
          <w:highlight w:val="none"/>
          <w:lang w:val="en-US" w:eastAsia="zh-CN"/>
        </w:rPr>
        <w:t>、根据《关于在政府采购活动中查询及使用信用记录有关问题的通知》(财库[2016]125号) 和豫财购【2016】15号的规定，企业没有被列入“信用中国”网站的“失信被执行人”、“重大税收违法失信主体”、“政府采购严重违法失信行为记录名单”及“中国政府采购网”网站的“政府采购严重违法失信行为信息记录”的投标人；（查询渠道：“信用中国”网站（www.creditchina.gov.cn）、中国政府采购网（www.ccgp.gov.cn）(注：査询时间必须是公告发布之后开标之前，查询结果清晰可见)；</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7</w:t>
      </w:r>
      <w:r>
        <w:rPr>
          <w:rFonts w:hint="eastAsia" w:cs="Times New Roman" w:asciiTheme="minorEastAsia" w:hAnsiTheme="minorEastAsia" w:eastAsiaTheme="minorEastAsia"/>
          <w:color w:val="auto"/>
          <w:sz w:val="24"/>
          <w:szCs w:val="24"/>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8</w:t>
      </w:r>
      <w:r>
        <w:rPr>
          <w:rFonts w:hint="eastAsia" w:cs="Times New Roman" w:asciiTheme="minorEastAsia" w:hAnsiTheme="minorEastAsia" w:eastAsiaTheme="minorEastAsia"/>
          <w:color w:val="auto"/>
          <w:sz w:val="24"/>
          <w:szCs w:val="24"/>
          <w:highlight w:val="none"/>
          <w:lang w:val="en-US" w:eastAsia="zh-CN"/>
        </w:rPr>
        <w:t>、本项目不接收联合体投标；</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注：</w:t>
      </w:r>
      <w:r>
        <w:rPr>
          <w:rFonts w:hint="eastAsia" w:asciiTheme="minorEastAsia" w:hAnsiTheme="minorEastAsia" w:eastAsiaTheme="minorEastAsia"/>
          <w:color w:val="auto"/>
          <w:sz w:val="24"/>
          <w:szCs w:val="24"/>
          <w:highlight w:val="none"/>
          <w:lang w:eastAsia="zh-CN"/>
        </w:rPr>
        <w:t>本项目实行资格后审。</w:t>
      </w:r>
    </w:p>
    <w:p>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三</w:t>
      </w:r>
      <w:r>
        <w:rPr>
          <w:rFonts w:hint="eastAsia" w:cs="Times New Roman" w:asciiTheme="minorEastAsia" w:hAnsiTheme="minorEastAsia" w:eastAsiaTheme="minorEastAsia"/>
          <w:color w:val="auto"/>
          <w:sz w:val="24"/>
          <w:szCs w:val="24"/>
          <w:highlight w:val="none"/>
        </w:rPr>
        <w:t>、招标文件获取方式：</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lang w:eastAsia="zh-CN"/>
        </w:rPr>
        <w:t>文件及其相关资料；</w:t>
      </w:r>
    </w:p>
    <w:p>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办理CA证书：http://gzjy.smx.gov.cn/bzzx/008001/20231102/4defc9b5-408e-47f2-9e9f-1f376a06ee1f.html</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w:t>
      </w:r>
      <w:r>
        <w:rPr>
          <w:rFonts w:hint="eastAsia" w:asciiTheme="minorEastAsia" w:hAnsiTheme="minorEastAsia" w:eastAsiaTheme="minorEastAsia"/>
          <w:color w:val="auto"/>
          <w:sz w:val="24"/>
          <w:szCs w:val="24"/>
          <w:highlight w:val="none"/>
          <w:lang w:val="en-US" w:eastAsia="zh-CN"/>
        </w:rPr>
        <w:t>文件下载时间：2025年0</w:t>
      </w:r>
      <w:r>
        <w:rPr>
          <w:rFonts w:hint="eastAsia" w:asciiTheme="minorEastAsia" w:hAnsi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lang w:val="en-US" w:eastAsia="zh-CN"/>
        </w:rPr>
        <w:t>月</w:t>
      </w:r>
      <w:r>
        <w:rPr>
          <w:rFonts w:hint="eastAsia" w:asciiTheme="minorEastAsia" w:hAnsiTheme="minorEastAsia"/>
          <w:color w:val="auto"/>
          <w:sz w:val="24"/>
          <w:szCs w:val="24"/>
          <w:highlight w:val="none"/>
          <w:lang w:val="en-US" w:eastAsia="zh-CN"/>
        </w:rPr>
        <w:t>15</w:t>
      </w:r>
      <w:r>
        <w:rPr>
          <w:rFonts w:hint="eastAsia" w:asciiTheme="minorEastAsia" w:hAnsiTheme="minorEastAsia" w:eastAsiaTheme="minorEastAsia"/>
          <w:color w:val="auto"/>
          <w:sz w:val="24"/>
          <w:szCs w:val="24"/>
          <w:highlight w:val="none"/>
          <w:lang w:val="en-US" w:eastAsia="zh-CN"/>
        </w:rPr>
        <w:t>日08时00分至2025年</w:t>
      </w:r>
      <w:r>
        <w:rPr>
          <w:rFonts w:hint="eastAsia" w:asciiTheme="minorEastAsia" w:hAnsi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lang w:val="en-US" w:eastAsia="zh-CN"/>
        </w:rPr>
        <w:t>月</w:t>
      </w:r>
      <w:r>
        <w:rPr>
          <w:rFonts w:hint="eastAsia" w:asciiTheme="minorEastAsia" w:hAnsi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lang w:val="en-US" w:eastAsia="zh-CN"/>
        </w:rPr>
        <w:t>日08时</w:t>
      </w:r>
      <w:r>
        <w:rPr>
          <w:rFonts w:hint="eastAsia" w:asciiTheme="minorEastAsia" w:hAnsi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en-US" w:eastAsia="zh-CN"/>
        </w:rPr>
        <w:t>0分；</w:t>
      </w:r>
    </w:p>
    <w:p>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4、本项目为全电子招标，不再收取磋商文件费用。</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四、投标资料的提交</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五、投标保证金</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按照《河南省财政厅关于优化政府采购营商环境有关问题的通知》（豫财购[2019]4号文）的要求本项目不再收取投标保证金。</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六、</w:t>
      </w:r>
      <w:r>
        <w:rPr>
          <w:rFonts w:hint="eastAsia" w:asciiTheme="minorEastAsia" w:hAnsiTheme="minorEastAsia"/>
          <w:color w:val="auto"/>
          <w:sz w:val="24"/>
          <w:szCs w:val="24"/>
          <w:highlight w:val="none"/>
          <w:lang w:val="en-US" w:eastAsia="zh-CN"/>
        </w:rPr>
        <w:t>投标</w:t>
      </w:r>
      <w:r>
        <w:rPr>
          <w:rFonts w:hint="eastAsia" w:asciiTheme="minorEastAsia" w:hAnsiTheme="minorEastAsia" w:eastAsiaTheme="minorEastAsia"/>
          <w:color w:val="auto"/>
          <w:sz w:val="24"/>
          <w:szCs w:val="24"/>
          <w:highlight w:val="none"/>
          <w:lang w:val="en-US" w:eastAsia="zh-CN"/>
        </w:rPr>
        <w:t>文件递交的截止时间及开标地点</w:t>
      </w:r>
      <w:r>
        <w:rPr>
          <w:rFonts w:hint="eastAsia" w:asciiTheme="minorEastAsia" w:hAnsiTheme="minorEastAsia" w:eastAsiaTheme="minorEastAsia"/>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w:t>
      </w:r>
      <w:r>
        <w:rPr>
          <w:rFonts w:hint="eastAsia" w:asciiTheme="minorEastAsia" w:hAnsiTheme="minorEastAsia"/>
          <w:color w:val="auto"/>
          <w:sz w:val="24"/>
          <w:szCs w:val="24"/>
          <w:highlight w:val="none"/>
          <w:lang w:val="en-US" w:eastAsia="zh-CN"/>
        </w:rPr>
        <w:t>投标</w:t>
      </w:r>
      <w:r>
        <w:rPr>
          <w:rFonts w:hint="eastAsia" w:asciiTheme="minorEastAsia" w:hAnsiTheme="minorEastAsia" w:eastAsiaTheme="minorEastAsia"/>
          <w:color w:val="auto"/>
          <w:sz w:val="24"/>
          <w:szCs w:val="24"/>
          <w:highlight w:val="none"/>
          <w:lang w:val="en-US" w:eastAsia="zh-CN"/>
        </w:rPr>
        <w:t>文件递交的截止时间</w:t>
      </w:r>
      <w:r>
        <w:rPr>
          <w:rFonts w:hint="eastAsia" w:asciiTheme="minorEastAsia" w:hAnsiTheme="minorEastAsia" w:eastAsiaTheme="minorEastAsia"/>
          <w:color w:val="auto"/>
          <w:sz w:val="24"/>
          <w:szCs w:val="24"/>
          <w:highlight w:val="none"/>
          <w:lang w:eastAsia="zh-CN"/>
        </w:rPr>
        <w:t>（开标时间）为</w:t>
      </w:r>
      <w:r>
        <w:rPr>
          <w:rFonts w:hint="eastAsia" w:asciiTheme="minorEastAsia" w:hAnsiTheme="minorEastAsia"/>
          <w:color w:val="auto"/>
          <w:sz w:val="24"/>
          <w:szCs w:val="24"/>
          <w:highlight w:val="none"/>
          <w:lang w:val="en-US" w:eastAsia="zh-CN"/>
        </w:rPr>
        <w:t>2025年10月10日08时20分</w:t>
      </w:r>
      <w:r>
        <w:rPr>
          <w:rFonts w:hint="eastAsia" w:asciiTheme="minorEastAsia" w:hAnsiTheme="minorEastAsia" w:eastAsiaTheme="minorEastAsia"/>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 xml:space="preserve">2、开标地点: </w:t>
      </w:r>
      <w:r>
        <w:rPr>
          <w:rFonts w:hint="eastAsia" w:asciiTheme="minorEastAsia" w:hAnsiTheme="minorEastAsia"/>
          <w:color w:val="auto"/>
          <w:sz w:val="24"/>
          <w:szCs w:val="24"/>
          <w:highlight w:val="none"/>
          <w:lang w:eastAsia="zh-CN"/>
        </w:rPr>
        <w:t>渑池县公共资源交易中心六楼开标区</w:t>
      </w:r>
      <w:r>
        <w:rPr>
          <w:rFonts w:hint="eastAsia" w:asciiTheme="minorEastAsia" w:hAnsiTheme="minorEastAsia" w:eastAsiaTheme="minorEastAsia"/>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3、评标地点：渑池县公共资源交易中心六楼开标区电子评标室。</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七、其他事项</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1、供应商应仔细阅读操作手册，在本公告中要求的截止时间前完成。并充分考虑人为操作等因素，因供应商操作不当等问题造成的无法下载招标文件、无法投标等一切后果，由供应商自行承担；</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2、投标所发生一切费用由各供应商自行承担，并承担相应的风险和责任；</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3、供应商递交的投标文件不论中标与否均不予退还。</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温馨提示：本项目为电子化、无纸化交易项目，开标时不再接受任何纸质资料，为保证您能投标成功，请需仔细阅读招标文件和三门峡市公共资源交易中心官网业务办理指南。</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八、发布公告的媒介</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本次招标公告同时在《中国招标投标公共服务平台》、《河南省政府采购网》、《三门峡市公共资源交易中心网》上发布。</w:t>
      </w:r>
    </w:p>
    <w:p>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九</w:t>
      </w:r>
      <w:r>
        <w:rPr>
          <w:rFonts w:hint="eastAsia" w:asciiTheme="minorEastAsia" w:hAnsiTheme="minorEastAsia" w:eastAsiaTheme="minorEastAsia"/>
          <w:color w:val="auto"/>
          <w:sz w:val="24"/>
          <w:szCs w:val="24"/>
          <w:highlight w:val="none"/>
        </w:rPr>
        <w:t>、联系方式</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采购人：渑池县果园乡人民政府</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地址：渑池县</w:t>
      </w:r>
      <w:r>
        <w:rPr>
          <w:rFonts w:hint="eastAsia" w:ascii="宋体" w:hAnsi="宋体" w:cs="宋体"/>
          <w:b w:val="0"/>
          <w:bCs/>
          <w:color w:val="auto"/>
          <w:sz w:val="24"/>
          <w:szCs w:val="24"/>
          <w:highlight w:val="none"/>
          <w:lang w:eastAsia="zh-CN"/>
        </w:rPr>
        <w:t>果园乡</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联系人：李宁</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 xml:space="preserve">        </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联系方式：</w:t>
      </w:r>
      <w:r>
        <w:rPr>
          <w:rFonts w:hint="eastAsia" w:ascii="宋体" w:hAnsi="宋体" w:cs="宋体"/>
          <w:b w:val="0"/>
          <w:bCs/>
          <w:color w:val="auto"/>
          <w:sz w:val="24"/>
          <w:szCs w:val="24"/>
          <w:highlight w:val="none"/>
          <w:lang w:val="en-US" w:eastAsia="zh-CN"/>
        </w:rPr>
        <w:t xml:space="preserve"> 13939835555</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、代理机构：中恒晟（北京)工程管理有限公司</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联系地址：三门峡市陕州区中心大道与甘山路交叉口鸿庆国际1710</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 系 人：</w:t>
      </w:r>
      <w:r>
        <w:rPr>
          <w:rFonts w:hint="eastAsia" w:ascii="宋体" w:hAnsi="宋体" w:eastAsia="宋体" w:cs="宋体"/>
          <w:b w:val="0"/>
          <w:bCs/>
          <w:color w:val="auto"/>
          <w:sz w:val="24"/>
          <w:szCs w:val="24"/>
          <w:highlight w:val="none"/>
          <w:lang w:val="en-US" w:eastAsia="zh-CN"/>
        </w:rPr>
        <w:t>王女士</w:t>
      </w:r>
      <w:r>
        <w:rPr>
          <w:rFonts w:hint="eastAsia" w:ascii="宋体" w:hAnsi="宋体" w:eastAsia="宋体" w:cs="宋体"/>
          <w:b w:val="0"/>
          <w:bCs/>
          <w:color w:val="auto"/>
          <w:sz w:val="24"/>
          <w:szCs w:val="24"/>
          <w:highlight w:val="none"/>
          <w:lang w:eastAsia="zh-CN"/>
        </w:rPr>
        <w:t xml:space="preserve">    </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联系方式：</w:t>
      </w:r>
      <w:r>
        <w:rPr>
          <w:rFonts w:hint="eastAsia" w:ascii="宋体" w:hAnsi="宋体" w:eastAsia="宋体" w:cs="宋体"/>
          <w:b w:val="0"/>
          <w:bCs/>
          <w:color w:val="auto"/>
          <w:sz w:val="24"/>
          <w:szCs w:val="24"/>
          <w:highlight w:val="none"/>
          <w:lang w:val="en-US" w:eastAsia="zh-CN"/>
        </w:rPr>
        <w:t xml:space="preserve"> 15729039636</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、监督部门：渑池县政府采购办公室</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联系方式：0398-4818677</w:t>
      </w:r>
    </w:p>
    <w:p>
      <w:pPr>
        <w:keepNext w:val="0"/>
        <w:keepLines w:val="0"/>
        <w:pageBreakBefore w:val="0"/>
        <w:widowControl w:val="0"/>
        <w:kinsoku/>
        <w:overflowPunct/>
        <w:topLinePunct w:val="0"/>
        <w:autoSpaceDE/>
        <w:autoSpaceDN/>
        <w:bidi w:val="0"/>
        <w:adjustRightInd/>
        <w:snapToGrid/>
        <w:spacing w:line="464" w:lineRule="exact"/>
        <w:ind w:firstLine="883" w:firstLineChars="200"/>
        <w:textAlignment w:val="auto"/>
        <w:rPr>
          <w:rFonts w:asciiTheme="minorEastAsia" w:hAnsiTheme="minorEastAsia" w:eastAsiaTheme="minorEastAsia"/>
          <w:b/>
          <w:bCs/>
          <w:color w:val="auto"/>
          <w:kern w:val="0"/>
          <w:sz w:val="44"/>
          <w:szCs w:val="44"/>
          <w:highlight w:val="none"/>
        </w:rPr>
      </w:pPr>
      <w:r>
        <w:rPr>
          <w:rFonts w:hint="eastAsia" w:asciiTheme="minorEastAsia" w:hAnsiTheme="minorEastAsia" w:eastAsiaTheme="minorEastAsia"/>
          <w:b/>
          <w:bCs/>
          <w:color w:val="auto"/>
          <w:kern w:val="0"/>
          <w:sz w:val="44"/>
          <w:szCs w:val="44"/>
          <w:highlight w:val="none"/>
        </w:rPr>
        <w:br w:type="page"/>
      </w:r>
    </w:p>
    <w:p>
      <w:pPr>
        <w:jc w:val="center"/>
        <w:outlineLvl w:val="0"/>
        <w:rPr>
          <w:rFonts w:hint="eastAsia" w:asciiTheme="minorEastAsia" w:hAnsiTheme="minorEastAsia" w:eastAsiaTheme="minorEastAsia"/>
          <w:color w:val="auto"/>
          <w:sz w:val="36"/>
          <w:szCs w:val="36"/>
          <w:highlight w:val="none"/>
          <w:lang w:eastAsia="zh-CN"/>
        </w:rPr>
      </w:pPr>
      <w:bookmarkStart w:id="7" w:name="_Toc11140"/>
      <w:bookmarkStart w:id="8" w:name="_Toc12906"/>
      <w:bookmarkStart w:id="9" w:name="_Toc18194"/>
      <w:bookmarkStart w:id="10" w:name="_Toc30124"/>
      <w:r>
        <w:rPr>
          <w:rFonts w:hint="eastAsia" w:asciiTheme="minorEastAsia" w:hAnsiTheme="minorEastAsia" w:eastAsiaTheme="minorEastAsia"/>
          <w:b/>
          <w:bCs/>
          <w:color w:val="auto"/>
          <w:kern w:val="0"/>
          <w:sz w:val="36"/>
          <w:szCs w:val="36"/>
          <w:highlight w:val="none"/>
        </w:rPr>
        <w:t xml:space="preserve">第二章 </w:t>
      </w:r>
      <w:r>
        <w:rPr>
          <w:rFonts w:hint="eastAsia" w:asciiTheme="minorEastAsia" w:hAnsiTheme="minorEastAsia" w:eastAsiaTheme="minorEastAsia"/>
          <w:b/>
          <w:bCs/>
          <w:color w:val="auto"/>
          <w:kern w:val="0"/>
          <w:sz w:val="36"/>
          <w:szCs w:val="36"/>
          <w:highlight w:val="none"/>
          <w:lang w:eastAsia="zh-CN"/>
        </w:rPr>
        <w:t>供应商须知</w:t>
      </w:r>
      <w:bookmarkEnd w:id="7"/>
      <w:bookmarkEnd w:id="8"/>
      <w:bookmarkEnd w:id="9"/>
      <w:bookmarkEnd w:id="10"/>
    </w:p>
    <w:p>
      <w:pPr>
        <w:autoSpaceDE w:val="0"/>
        <w:autoSpaceDN w:val="0"/>
        <w:jc w:val="both"/>
        <w:rPr>
          <w:rFonts w:hint="eastAsia" w:ascii="宋体" w:hAnsi="宋体" w:eastAsia="宋体" w:cs="宋体"/>
          <w:b/>
          <w:bCs w:val="0"/>
          <w:color w:val="auto"/>
          <w:sz w:val="28"/>
          <w:szCs w:val="28"/>
          <w:highlight w:val="none"/>
        </w:rPr>
      </w:pPr>
    </w:p>
    <w:p>
      <w:pPr>
        <w:autoSpaceDE w:val="0"/>
        <w:autoSpaceDN w:val="0"/>
        <w:jc w:val="center"/>
        <w:rPr>
          <w:rFonts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 xml:space="preserve"> 供应商须知前附表</w:t>
      </w:r>
    </w:p>
    <w:tbl>
      <w:tblPr>
        <w:tblStyle w:val="21"/>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2025"/>
        <w:gridCol w:w="7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条款号</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条款名称</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0" w:type="dxa"/>
            <w:tcBorders>
              <w:top w:val="nil"/>
              <w:left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2025" w:type="dxa"/>
            <w:tcBorders>
              <w:top w:val="nil"/>
              <w:left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采购人</w:t>
            </w:r>
          </w:p>
        </w:tc>
        <w:tc>
          <w:tcPr>
            <w:tcW w:w="7153" w:type="dxa"/>
            <w:tcBorders>
              <w:top w:val="single" w:color="auto" w:sz="4" w:space="0"/>
              <w:left w:val="nil"/>
              <w:bottom w:val="single" w:color="auto" w:sz="6"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采购人：渑池县果园乡人民政府</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地址：渑池县果园乡</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联系人：李宁</w:t>
            </w:r>
            <w:r>
              <w:rPr>
                <w:rFonts w:hint="eastAsia" w:ascii="宋体" w:hAnsi="宋体" w:eastAsia="宋体" w:cs="仿宋"/>
                <w:color w:val="auto"/>
                <w:kern w:val="2"/>
                <w:sz w:val="24"/>
                <w:szCs w:val="24"/>
                <w:highlight w:val="none"/>
                <w:lang w:val="en-US" w:eastAsia="zh-CN"/>
              </w:rPr>
              <w:t xml:space="preserve"> </w:t>
            </w:r>
            <w:r>
              <w:rPr>
                <w:rFonts w:hint="eastAsia" w:ascii="宋体" w:hAnsi="宋体" w:eastAsia="宋体" w:cs="仿宋"/>
                <w:color w:val="auto"/>
                <w:kern w:val="2"/>
                <w:sz w:val="24"/>
                <w:szCs w:val="24"/>
                <w:highlight w:val="none"/>
                <w:lang w:eastAsia="zh-CN"/>
              </w:rPr>
              <w:t xml:space="preserve">        </w:t>
            </w:r>
          </w:p>
          <w:p>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eastAsia" w:ascii="宋体" w:hAnsi="宋体" w:eastAsia="宋体" w:cs="仿宋"/>
                <w:color w:val="auto"/>
                <w:kern w:val="2"/>
                <w:sz w:val="24"/>
                <w:szCs w:val="24"/>
                <w:highlight w:val="none"/>
                <w:lang w:eastAsia="zh-CN"/>
              </w:rPr>
              <w:t>联系方式：</w:t>
            </w:r>
            <w:r>
              <w:rPr>
                <w:rFonts w:hint="eastAsia" w:ascii="宋体" w:hAnsi="宋体" w:eastAsia="宋体" w:cs="仿宋"/>
                <w:color w:val="auto"/>
                <w:kern w:val="2"/>
                <w:sz w:val="24"/>
                <w:szCs w:val="24"/>
                <w:highlight w:val="none"/>
                <w:lang w:val="en-US" w:eastAsia="zh-CN"/>
              </w:rPr>
              <w:t>13939835555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代理机构</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代理机构：中恒晟（北京)工程管理有限公司</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联系地址：三门峡市陕州区中心大道与甘山路交叉口鸿庆国际1710</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 xml:space="preserve">联 系 人：王女士    </w:t>
            </w:r>
          </w:p>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联系方式：15729039636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firstLine="240" w:firstLineChars="10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项目名称</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eastAsia="zh-CN"/>
              </w:rPr>
            </w:pPr>
            <w:r>
              <w:rPr>
                <w:rFonts w:hint="eastAsia" w:ascii="宋体" w:hAnsi="宋体" w:eastAsia="宋体" w:cs="Calibri"/>
                <w:color w:val="auto"/>
                <w:kern w:val="2"/>
                <w:sz w:val="24"/>
                <w:szCs w:val="24"/>
                <w:highlight w:val="none"/>
                <w:lang w:eastAsia="zh-CN"/>
              </w:rPr>
              <w:t>渑池县果园乡电子束灭菌设备采购项目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nil"/>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2025"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hint="default"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项目编号</w:t>
            </w:r>
          </w:p>
        </w:tc>
        <w:tc>
          <w:tcPr>
            <w:tcW w:w="7153"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none"/>
                <w:lang w:val="en-US" w:eastAsia="zh-CN"/>
              </w:rPr>
            </w:pPr>
            <w:r>
              <w:rPr>
                <w:rFonts w:hint="default" w:ascii="宋体" w:hAnsi="宋体" w:eastAsia="宋体" w:cs="Calibri"/>
                <w:color w:val="auto"/>
                <w:kern w:val="2"/>
                <w:sz w:val="24"/>
                <w:szCs w:val="24"/>
                <w:highlight w:val="none"/>
                <w:lang w:val="en-US" w:eastAsia="zh-CN"/>
              </w:rPr>
              <w:t xml:space="preserve">MCGZ[2025]220-ZC168  </w:t>
            </w:r>
            <w:r>
              <w:rPr>
                <w:rFonts w:hint="eastAsia" w:ascii="宋体" w:hAnsi="宋体" w:eastAsia="宋体" w:cs="Calibri"/>
                <w:color w:val="auto"/>
                <w:kern w:val="2"/>
                <w:sz w:val="24"/>
                <w:szCs w:val="24"/>
                <w:highlight w:val="none"/>
                <w:lang w:val="en-US" w:eastAsia="zh-CN"/>
              </w:rPr>
              <w:t xml:space="preserve">  </w:t>
            </w:r>
            <w:r>
              <w:rPr>
                <w:rFonts w:hint="default" w:ascii="宋体" w:hAnsi="宋体" w:eastAsia="宋体" w:cs="Calibri"/>
                <w:color w:val="auto"/>
                <w:kern w:val="2"/>
                <w:sz w:val="24"/>
                <w:szCs w:val="24"/>
                <w:highlight w:val="none"/>
                <w:lang w:val="en-US" w:eastAsia="zh-CN"/>
              </w:rPr>
              <w:t xml:space="preserve"> </w:t>
            </w:r>
            <w:r>
              <w:rPr>
                <w:rFonts w:hint="eastAsia" w:ascii="宋体" w:hAnsi="宋体" w:eastAsia="宋体" w:cs="Calibri"/>
                <w:color w:val="auto"/>
                <w:kern w:val="2"/>
                <w:sz w:val="24"/>
                <w:szCs w:val="24"/>
                <w:highlight w:val="none"/>
                <w:lang w:val="en-US" w:eastAsia="zh-CN"/>
              </w:rPr>
              <w:t>渑池公开采购-2025-62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40" w:type="dxa"/>
            <w:tcBorders>
              <w:top w:val="nil"/>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p>
        </w:tc>
        <w:tc>
          <w:tcPr>
            <w:tcW w:w="2025"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rPr>
              <w:t>预算资金</w:t>
            </w:r>
          </w:p>
        </w:tc>
        <w:tc>
          <w:tcPr>
            <w:tcW w:w="7153"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none"/>
                <w:lang w:val="en-US"/>
              </w:rPr>
            </w:pPr>
            <w:r>
              <w:rPr>
                <w:rFonts w:hint="default" w:ascii="宋体" w:hAnsi="宋体" w:eastAsia="宋体" w:cs="Calibri"/>
                <w:color w:val="auto"/>
                <w:kern w:val="2"/>
                <w:sz w:val="24"/>
                <w:szCs w:val="24"/>
                <w:highlight w:val="none"/>
                <w:lang w:val="en-US"/>
              </w:rPr>
              <w:t>¥17901000.00元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40" w:type="dxa"/>
            <w:tcBorders>
              <w:top w:val="nil"/>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2025"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leftChars="0" w:right="0"/>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Calibri"/>
                <w:color w:val="auto"/>
                <w:kern w:val="2"/>
                <w:sz w:val="24"/>
                <w:szCs w:val="24"/>
                <w:highlight w:val="none"/>
              </w:rPr>
              <w:t>标段划分</w:t>
            </w:r>
          </w:p>
        </w:tc>
        <w:tc>
          <w:tcPr>
            <w:tcW w:w="7153"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一</w:t>
            </w:r>
            <w:r>
              <w:rPr>
                <w:rFonts w:hint="eastAsia" w:ascii="宋体" w:hAnsi="宋体" w:eastAsia="宋体" w:cs="Calibri"/>
                <w:color w:val="auto"/>
                <w:kern w:val="2"/>
                <w:sz w:val="24"/>
                <w:szCs w:val="24"/>
                <w:highlight w:val="none"/>
              </w:rPr>
              <w:t>个标段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40" w:type="dxa"/>
            <w:tcBorders>
              <w:top w:val="nil"/>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w:t>
            </w:r>
          </w:p>
        </w:tc>
        <w:tc>
          <w:tcPr>
            <w:tcW w:w="2025"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资金来源</w:t>
            </w:r>
            <w:r>
              <w:rPr>
                <w:rFonts w:hint="eastAsia" w:ascii="宋体" w:hAnsi="宋体" w:eastAsia="宋体" w:cs="仿宋"/>
                <w:color w:val="auto"/>
                <w:kern w:val="2"/>
                <w:sz w:val="24"/>
                <w:szCs w:val="24"/>
                <w:highlight w:val="none"/>
                <w:lang w:eastAsia="zh-CN"/>
              </w:rPr>
              <w:t>及落实情况</w:t>
            </w:r>
          </w:p>
        </w:tc>
        <w:tc>
          <w:tcPr>
            <w:tcW w:w="7153"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left"/>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财政资金</w:t>
            </w:r>
            <w:r>
              <w:rPr>
                <w:rFonts w:hint="eastAsia" w:ascii="宋体" w:hAnsi="宋体" w:eastAsia="宋体" w:cs="仿宋"/>
                <w:color w:val="auto"/>
                <w:kern w:val="2"/>
                <w:sz w:val="24"/>
                <w:szCs w:val="24"/>
                <w:highlight w:val="none"/>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内容</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渑池县果园乡电子束灭菌设备采购项目(具体内容见招标文件第三章采购清单)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9</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交货地点</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宋体"/>
                <w:color w:val="auto"/>
                <w:kern w:val="2"/>
                <w:sz w:val="24"/>
                <w:szCs w:val="24"/>
                <w:highlight w:val="none"/>
                <w:lang w:eastAsia="zh-CN"/>
              </w:rPr>
              <w:t>供货周期</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eastAsia" w:ascii="宋体" w:hAnsi="宋体" w:eastAsia="宋体" w:cs="仿宋"/>
                <w:color w:val="auto"/>
                <w:kern w:val="2"/>
                <w:sz w:val="24"/>
                <w:szCs w:val="24"/>
                <w:highlight w:val="none"/>
                <w:lang w:val="en-US" w:eastAsia="zh-CN"/>
              </w:rPr>
              <w:t>合同签订后60日历天内完成安装调试，并具备生产使用条件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质保期</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Theme="minorEastAsia" w:hAnsiTheme="minorEastAsia"/>
                <w:color w:val="auto"/>
                <w:sz w:val="24"/>
                <w:szCs w:val="24"/>
                <w:highlight w:val="none"/>
                <w:lang w:val="en-US" w:eastAsia="zh-CN"/>
              </w:rPr>
              <w:t>符合国家相关标准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2</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both"/>
              <w:rPr>
                <w:rFonts w:hint="default" w:ascii="宋体" w:hAnsi="宋体" w:eastAsia="宋体" w:cs="Calibri"/>
                <w:color w:val="auto"/>
                <w:kern w:val="2"/>
                <w:sz w:val="24"/>
                <w:szCs w:val="24"/>
                <w:highlight w:val="none"/>
                <w:lang w:val="en-US"/>
              </w:rPr>
            </w:pPr>
            <w:r>
              <w:rPr>
                <w:rFonts w:hint="eastAsia" w:ascii="宋体" w:hAnsi="宋体" w:eastAsia="宋体" w:cs="仿宋"/>
                <w:color w:val="auto"/>
                <w:kern w:val="2"/>
                <w:sz w:val="24"/>
                <w:szCs w:val="24"/>
                <w:highlight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是否接受进口产品</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否</w:t>
            </w:r>
          </w:p>
          <w:p>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是否专门面向中小企业</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360" w:lineRule="auto"/>
              <w:ind w:left="0" w:right="0"/>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供应商的资质、能力</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360" w:lineRule="auto"/>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16</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是否接受联合</w:t>
            </w:r>
          </w:p>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体投标</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踏勘现场</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投标预备会</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分包</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偏离</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允许（正偏离）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w:t>
            </w:r>
          </w:p>
        </w:tc>
        <w:tc>
          <w:tcPr>
            <w:tcW w:w="202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招标人对招标文件书面澄清的时间</w:t>
            </w:r>
          </w:p>
        </w:tc>
        <w:tc>
          <w:tcPr>
            <w:tcW w:w="7153" w:type="dxa"/>
            <w:tcBorders>
              <w:top w:val="single" w:color="auto" w:sz="4" w:space="0"/>
              <w:left w:val="nil"/>
              <w:bottom w:val="single" w:color="auto" w:sz="4" w:space="0"/>
              <w:right w:val="single" w:color="auto" w:sz="4" w:space="0"/>
            </w:tcBorders>
            <w:noWrap w:val="0"/>
            <w:vAlign w:val="center"/>
          </w:tcPr>
          <w:p>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2025" w:type="dxa"/>
            <w:tcBorders>
              <w:top w:val="single" w:color="auto" w:sz="4" w:space="0"/>
              <w:left w:val="nil"/>
              <w:bottom w:val="single" w:color="auto" w:sz="4" w:space="0"/>
              <w:right w:val="single" w:color="auto" w:sz="4" w:space="0"/>
            </w:tcBorders>
            <w:noWrap w:val="0"/>
            <w:vAlign w:val="center"/>
          </w:tcPr>
          <w:p>
            <w:pPr>
              <w:widowControl/>
              <w:spacing w:after="200" w:afterLines="0"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构成招标文件的其他资料</w:t>
            </w:r>
          </w:p>
        </w:tc>
        <w:tc>
          <w:tcPr>
            <w:tcW w:w="7153" w:type="dxa"/>
            <w:tcBorders>
              <w:top w:val="single" w:color="auto" w:sz="4" w:space="0"/>
              <w:left w:val="nil"/>
              <w:bottom w:val="single" w:color="auto" w:sz="4" w:space="0"/>
              <w:right w:val="single" w:color="auto" w:sz="4" w:space="0"/>
            </w:tcBorders>
            <w:noWrap w:val="0"/>
            <w:vAlign w:val="center"/>
          </w:tcPr>
          <w:p>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 xml:space="preserve">对招标文件所作的澄清（含答疑）、修改、补充构成招标文件的组成部分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3</w:t>
            </w:r>
          </w:p>
        </w:tc>
        <w:tc>
          <w:tcPr>
            <w:tcW w:w="202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招标人对招标文件修改的时间</w:t>
            </w:r>
          </w:p>
        </w:tc>
        <w:tc>
          <w:tcPr>
            <w:tcW w:w="7153" w:type="dxa"/>
            <w:tcBorders>
              <w:top w:val="single" w:color="auto" w:sz="4" w:space="0"/>
              <w:left w:val="nil"/>
              <w:bottom w:val="single" w:color="auto" w:sz="4" w:space="0"/>
              <w:right w:val="single" w:color="auto" w:sz="4" w:space="0"/>
            </w:tcBorders>
            <w:noWrap w:val="0"/>
            <w:vAlign w:val="center"/>
          </w:tcPr>
          <w:p>
            <w:pPr>
              <w:widowControl/>
              <w:spacing w:after="200" w:afterLines="0"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w:t>
            </w:r>
          </w:p>
        </w:tc>
        <w:tc>
          <w:tcPr>
            <w:tcW w:w="2025" w:type="dxa"/>
            <w:tcBorders>
              <w:top w:val="single" w:color="auto" w:sz="4" w:space="0"/>
              <w:left w:val="nil"/>
              <w:bottom w:val="single" w:color="auto" w:sz="4" w:space="0"/>
              <w:right w:val="single" w:color="auto" w:sz="4" w:space="0"/>
            </w:tcBorders>
            <w:noWrap w:val="0"/>
            <w:vAlign w:val="center"/>
          </w:tcPr>
          <w:p>
            <w:pPr>
              <w:widowControl/>
              <w:spacing w:after="200" w:afterLines="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仿宋"/>
                <w:color w:val="auto"/>
                <w:kern w:val="2"/>
                <w:sz w:val="24"/>
                <w:szCs w:val="24"/>
                <w:highlight w:val="none"/>
              </w:rPr>
              <w:t>供应商</w:t>
            </w:r>
            <w:r>
              <w:rPr>
                <w:rFonts w:hint="eastAsia" w:ascii="宋体" w:hAnsi="宋体" w:eastAsia="宋体" w:cs="宋体"/>
                <w:color w:val="auto"/>
                <w:kern w:val="0"/>
                <w:sz w:val="24"/>
                <w:szCs w:val="24"/>
                <w:highlight w:val="none"/>
              </w:rPr>
              <w:t>对招标文件提出异议的截止时间</w:t>
            </w:r>
          </w:p>
        </w:tc>
        <w:tc>
          <w:tcPr>
            <w:tcW w:w="7153" w:type="dxa"/>
            <w:tcBorders>
              <w:top w:val="single" w:color="auto" w:sz="4" w:space="0"/>
              <w:left w:val="nil"/>
              <w:bottom w:val="single" w:color="auto" w:sz="4" w:space="0"/>
              <w:right w:val="single" w:color="auto" w:sz="4" w:space="0"/>
            </w:tcBorders>
            <w:noWrap w:val="0"/>
            <w:vAlign w:val="center"/>
          </w:tcPr>
          <w:p>
            <w:pPr>
              <w:widowControl/>
              <w:spacing w:line="360" w:lineRule="auto"/>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文件截止之日10日前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5</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w:t>
            </w:r>
          </w:p>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到招标文件澄清</w:t>
            </w:r>
            <w:r>
              <w:rPr>
                <w:rFonts w:hint="eastAsia" w:ascii="宋体" w:hAnsi="宋体" w:eastAsia="宋体" w:cs="宋体"/>
                <w:color w:val="auto"/>
                <w:kern w:val="0"/>
                <w:sz w:val="24"/>
                <w:szCs w:val="24"/>
                <w:highlight w:val="none"/>
              </w:rPr>
              <w:t>的时间</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收到相应澄清文件后 24 小时内</w:t>
            </w:r>
          </w:p>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6</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供应商确认收到招标文件修改</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收到相应修改文件后 24 小时内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7</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构成投标文件</w:t>
            </w:r>
          </w:p>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的其他资料</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8</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40" w:type="dxa"/>
            <w:tcBorders>
              <w:top w:val="nil"/>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9</w:t>
            </w:r>
          </w:p>
        </w:tc>
        <w:tc>
          <w:tcPr>
            <w:tcW w:w="2025"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投标有效期</w:t>
            </w:r>
          </w:p>
        </w:tc>
        <w:tc>
          <w:tcPr>
            <w:tcW w:w="7153"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合同签订后60日历天内完成安装调试，并具备生产使用条件</w:t>
            </w:r>
            <w:r>
              <w:rPr>
                <w:rFonts w:hint="eastAsia" w:ascii="宋体" w:hAnsi="宋体" w:eastAsia="宋体" w:cs="仿宋"/>
                <w:color w:val="auto"/>
                <w:kern w:val="2"/>
                <w:sz w:val="24"/>
                <w:szCs w:val="24"/>
                <w:highlight w:val="none"/>
              </w:rPr>
              <w:t>(指本次采购项目递交投标文件截止之日起)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投标保证金</w:t>
            </w:r>
          </w:p>
        </w:tc>
        <w:tc>
          <w:tcPr>
            <w:tcW w:w="7153" w:type="dxa"/>
            <w:tcBorders>
              <w:top w:val="single" w:color="auto" w:sz="4" w:space="0"/>
              <w:left w:val="single" w:color="auto" w:sz="4" w:space="0"/>
              <w:right w:val="single" w:color="auto" w:sz="4" w:space="0"/>
            </w:tcBorders>
            <w:noWrap w:val="0"/>
            <w:vAlign w:val="top"/>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按照《河南省财政厅关于优化政府采购营商环境有关问题的通知》（豫财购[2019]4号文）的要求本项目不再收取投标保证金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202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财务状况要求</w:t>
            </w:r>
          </w:p>
        </w:tc>
        <w:tc>
          <w:tcPr>
            <w:tcW w:w="7153" w:type="dxa"/>
            <w:tcBorders>
              <w:top w:val="single" w:color="auto" w:sz="4" w:space="0"/>
              <w:left w:val="nil"/>
              <w:bottom w:val="single" w:color="auto" w:sz="4" w:space="0"/>
              <w:right w:val="single" w:color="auto" w:sz="4" w:space="0"/>
            </w:tcBorders>
            <w:noWrap w:val="0"/>
            <w:vAlign w:val="center"/>
          </w:tcPr>
          <w:p>
            <w:pPr>
              <w:widowControl/>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具有良好的财务状况且没有处于被责令停业，提供企业近三年（新成立企业从成立之日起计算）任意一年审计报告或财务报表，若企业新成立不足一年，提供注册期后至今的财务报表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近年完成的类似项目的业绩年份要求</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年01月01日以来完成类似项目（以合同签订日期为准）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33</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近年发生的诉讼及仲裁情况的时间要求</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近三年</w:t>
            </w:r>
            <w:r>
              <w:rPr>
                <w:rFonts w:hint="eastAsia" w:ascii="宋体" w:hAnsi="宋体" w:eastAsia="宋体" w:cs="宋体"/>
                <w:color w:val="auto"/>
                <w:kern w:val="0"/>
                <w:sz w:val="24"/>
                <w:szCs w:val="24"/>
                <w:highlight w:val="none"/>
              </w:rPr>
              <w:t>（指</w:t>
            </w: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w:t>
            </w:r>
            <w:r>
              <w:rPr>
                <w:rFonts w:hint="eastAsia" w:ascii="宋体" w:hAnsi="宋体" w:eastAsia="宋体" w:cs="宋体"/>
                <w:color w:val="auto"/>
                <w:kern w:val="0"/>
                <w:sz w:val="24"/>
                <w:szCs w:val="24"/>
                <w:highlight w:val="none"/>
              </w:rPr>
              <w:t>以来）</w:t>
            </w:r>
            <w:r>
              <w:rPr>
                <w:rFonts w:hint="eastAsia" w:ascii="宋体" w:hAnsi="宋体" w:eastAsia="宋体" w:cs="仿宋"/>
                <w:color w:val="auto"/>
                <w:kern w:val="2"/>
                <w:sz w:val="24"/>
                <w:szCs w:val="24"/>
                <w:highlight w:val="none"/>
              </w:rPr>
              <w:t>（新注册企业从注册之日起至今）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34</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是否允许递交备选投标方案</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5</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电子投标文件签章</w:t>
            </w:r>
          </w:p>
        </w:tc>
        <w:tc>
          <w:tcPr>
            <w:tcW w:w="7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1、供应商在生成电子化投标文件后，应对电子化投标文件进行签章，未进行签章的视为无效投标</w:t>
            </w:r>
          </w:p>
          <w:p>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其委托代理人签字或盖章的，供应商在进行电子化投标文件签章时，以签盖法定代表人签章为准。电子化投标文件具体制作教材请供应商通过CA证书登录三门峡市公共资源电子化交易系统在右上角“组建下载”中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w:t>
            </w:r>
          </w:p>
        </w:tc>
        <w:tc>
          <w:tcPr>
            <w:tcW w:w="7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用 CA 在电子平台上传电子投标文件；</w:t>
            </w:r>
          </w:p>
          <w:p>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color w:val="auto"/>
                <w:highlight w:val="none"/>
              </w:rPr>
            </w:pPr>
            <w:r>
              <w:rPr>
                <w:rFonts w:hint="eastAsia" w:ascii="宋体" w:hAnsi="宋体" w:eastAsia="宋体" w:cs="仿宋"/>
                <w:color w:val="auto"/>
                <w:kern w:val="2"/>
                <w:sz w:val="24"/>
                <w:szCs w:val="24"/>
                <w:highlight w:val="none"/>
              </w:rPr>
              <w:t>本项目为电子化、无纸化交易项目，开标时不再递交纸质投标文件，中标单位领取中标通知书时提交中标纸质版投标文件一份。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7</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递交投标文件地点</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9</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投标文件是否退还</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40</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开标时间和地点</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41</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预算资金</w:t>
            </w:r>
          </w:p>
        </w:tc>
        <w:tc>
          <w:tcPr>
            <w:tcW w:w="7153" w:type="dxa"/>
            <w:tcBorders>
              <w:top w:val="single" w:color="auto" w:sz="4" w:space="0"/>
              <w:left w:val="nil"/>
              <w:bottom w:val="single" w:color="auto" w:sz="4" w:space="0"/>
              <w:right w:val="single" w:color="auto" w:sz="4" w:space="0"/>
            </w:tcBorders>
            <w:noWrap w:val="0"/>
            <w:vAlign w:val="top"/>
          </w:tcPr>
          <w:p>
            <w:pPr>
              <w:widowControl/>
              <w:spacing w:before="0" w:beforeLines="0" w:beforeAutospacing="0" w:after="0" w:afterLines="0" w:afterAutospacing="0" w:line="400" w:lineRule="exact"/>
              <w:ind w:left="480" w:right="0" w:hanging="480" w:hangingChars="200"/>
              <w:jc w:val="left"/>
              <w:rPr>
                <w:rFonts w:hint="eastAsia" w:ascii="宋体" w:hAnsi="宋体" w:eastAsia="宋体" w:cs="仿宋"/>
                <w:color w:val="auto"/>
                <w:kern w:val="2"/>
                <w:sz w:val="24"/>
                <w:szCs w:val="24"/>
                <w:highlight w:val="none"/>
                <w:lang w:eastAsia="zh-CN"/>
              </w:rPr>
            </w:pPr>
            <w:r>
              <w:rPr>
                <w:rFonts w:hint="default" w:cs="Times New Roman" w:asciiTheme="minorEastAsia" w:hAnsiTheme="minorEastAsia" w:eastAsiaTheme="minorEastAsia"/>
                <w:color w:val="auto"/>
                <w:sz w:val="24"/>
                <w:szCs w:val="24"/>
                <w:highlight w:val="none"/>
                <w:lang w:val="en-US" w:eastAsia="zh-CN"/>
              </w:rPr>
              <w:t>¥</w:t>
            </w:r>
            <w:r>
              <w:rPr>
                <w:rFonts w:hint="eastAsia" w:cs="Times New Roman" w:asciiTheme="minorEastAsia" w:hAnsiTheme="minorEastAsia"/>
                <w:color w:val="auto"/>
                <w:sz w:val="24"/>
                <w:szCs w:val="24"/>
                <w:highlight w:val="none"/>
                <w:lang w:val="en-US" w:eastAsia="zh-CN"/>
              </w:rPr>
              <w:t>17901000.00</w:t>
            </w:r>
            <w:r>
              <w:rPr>
                <w:rFonts w:hint="eastAsia" w:cs="Times New Roman" w:asciiTheme="minorEastAsia" w:hAnsiTheme="minorEastAsia" w:eastAsiaTheme="minorEastAsia"/>
                <w:color w:val="auto"/>
                <w:sz w:val="24"/>
                <w:szCs w:val="24"/>
                <w:highlight w:val="none"/>
                <w:lang w:val="en-US" w:eastAsia="zh-CN"/>
              </w:rPr>
              <w:t>元</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z w:val="24"/>
                <w:highlight w:val="none"/>
              </w:rPr>
              <w:t>高于</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投标报价</w:t>
            </w:r>
            <w:r>
              <w:rPr>
                <w:rFonts w:hint="eastAsia" w:ascii="宋体" w:hAnsi="宋体" w:eastAsia="宋体" w:cs="宋体"/>
                <w:color w:val="auto"/>
                <w:sz w:val="24"/>
                <w:highlight w:val="none"/>
              </w:rPr>
              <w:t>将被</w:t>
            </w:r>
            <w:r>
              <w:rPr>
                <w:rFonts w:hint="eastAsia" w:ascii="宋体" w:hAnsi="宋体" w:eastAsia="宋体" w:cs="宋体"/>
                <w:color w:val="auto"/>
                <w:sz w:val="24"/>
                <w:highlight w:val="none"/>
                <w:lang w:val="en-US" w:eastAsia="zh-CN"/>
              </w:rPr>
              <w:t>视为无效投标</w:t>
            </w:r>
            <w:r>
              <w:rPr>
                <w:rFonts w:hint="eastAsia" w:ascii="宋体" w:hAnsi="宋体" w:eastAsia="宋体" w:cs="宋体"/>
                <w:color w:val="auto"/>
                <w:sz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42</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投标报价</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投标报价：投标供应商应报出“开标一</w:t>
            </w:r>
            <w:r>
              <w:rPr>
                <w:rFonts w:hint="eastAsia" w:ascii="宋体" w:hAnsi="宋体" w:eastAsia="宋体" w:cs="仿宋"/>
                <w:color w:val="auto"/>
                <w:kern w:val="2"/>
                <w:sz w:val="24"/>
                <w:szCs w:val="24"/>
                <w:highlight w:val="none"/>
                <w:lang w:eastAsia="zh-CN"/>
              </w:rPr>
              <w:t>览</w:t>
            </w:r>
            <w:r>
              <w:rPr>
                <w:rFonts w:hint="eastAsia" w:ascii="宋体" w:hAnsi="宋体" w:eastAsia="宋体" w:cs="仿宋"/>
                <w:color w:val="auto"/>
                <w:kern w:val="2"/>
                <w:sz w:val="24"/>
                <w:szCs w:val="24"/>
                <w:highlight w:val="none"/>
              </w:rPr>
              <w:t>表”中所载货物单项的价格</w:t>
            </w:r>
          </w:p>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1）投标报价应完全包括招标文件规定的货物范围，不得任意分割或合并所规定的分项；</w:t>
            </w:r>
          </w:p>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2）投标供应商对每种货物项目只允许有一个报价，投标报价按货物单价金额进行报价，采购人和招标代理机构不接受有任何选择报价的投标。（注：本项目不允许提交备选方案）；</w:t>
            </w:r>
          </w:p>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3）投标供应商不得以任何理由在开标后对投标报价予以修改，报价在投标有效期内是固定的，不因任何原因而改变。任何包含价格调整要求和条件的投标，将被视为非实质性响应投标而予以拒绝；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nil"/>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43</w:t>
            </w:r>
          </w:p>
        </w:tc>
        <w:tc>
          <w:tcPr>
            <w:tcW w:w="2025"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投标货币</w:t>
            </w:r>
          </w:p>
        </w:tc>
        <w:tc>
          <w:tcPr>
            <w:tcW w:w="7153" w:type="dxa"/>
            <w:tcBorders>
              <w:top w:val="nil"/>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除非另有规定，投标供应商提供的所有货物和服务用人民币报价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940" w:type="dxa"/>
            <w:tcBorders>
              <w:top w:val="single" w:color="auto" w:sz="4" w:space="0"/>
              <w:left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44</w:t>
            </w:r>
          </w:p>
        </w:tc>
        <w:tc>
          <w:tcPr>
            <w:tcW w:w="2025" w:type="dxa"/>
            <w:tcBorders>
              <w:top w:val="single" w:color="auto" w:sz="4" w:space="0"/>
              <w:left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评标委员会的组建</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评标委员会构成：</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人，</w:t>
            </w:r>
            <w:r>
              <w:rPr>
                <w:rFonts w:hint="eastAsia" w:ascii="宋体" w:hAnsi="宋体" w:eastAsia="宋体" w:cs="仿宋"/>
                <w:color w:val="auto"/>
                <w:kern w:val="2"/>
                <w:sz w:val="24"/>
                <w:szCs w:val="24"/>
                <w:highlight w:val="none"/>
              </w:rPr>
              <w:t>其中采购人代表</w:t>
            </w:r>
            <w:r>
              <w:rPr>
                <w:rFonts w:hint="eastAsia" w:ascii="宋体" w:hAnsi="宋体" w:eastAsia="宋体" w:cs="仿宋"/>
                <w:color w:val="auto"/>
                <w:kern w:val="2"/>
                <w:sz w:val="24"/>
                <w:szCs w:val="24"/>
                <w:highlight w:val="none"/>
                <w:lang w:val="en-US" w:eastAsia="zh-CN"/>
              </w:rPr>
              <w:t>2</w:t>
            </w:r>
            <w:r>
              <w:rPr>
                <w:rFonts w:hint="eastAsia" w:ascii="宋体" w:hAnsi="宋体" w:eastAsia="宋体" w:cs="仿宋"/>
                <w:color w:val="auto"/>
                <w:kern w:val="2"/>
                <w:sz w:val="24"/>
                <w:szCs w:val="24"/>
                <w:highlight w:val="none"/>
              </w:rPr>
              <w:t>人，其余相关经济、技术专家</w:t>
            </w:r>
            <w:r>
              <w:rPr>
                <w:rFonts w:hint="eastAsia" w:ascii="宋体" w:hAnsi="宋体" w:eastAsia="宋体" w:cs="仿宋"/>
                <w:color w:val="auto"/>
                <w:kern w:val="2"/>
                <w:sz w:val="24"/>
                <w:szCs w:val="24"/>
                <w:highlight w:val="none"/>
                <w:lang w:val="en-US" w:eastAsia="zh-CN"/>
              </w:rPr>
              <w:t>5</w:t>
            </w:r>
            <w:r>
              <w:rPr>
                <w:rFonts w:hint="eastAsia" w:ascii="宋体" w:hAnsi="宋体" w:eastAsia="宋体" w:cs="仿宋"/>
                <w:color w:val="auto"/>
                <w:kern w:val="2"/>
                <w:sz w:val="24"/>
                <w:szCs w:val="24"/>
                <w:highlight w:val="none"/>
              </w:rPr>
              <w:t>人，</w:t>
            </w:r>
            <w:r>
              <w:rPr>
                <w:rFonts w:hint="eastAsia" w:ascii="宋体" w:hAnsi="宋体" w:eastAsia="宋体" w:cs="仿宋"/>
                <w:color w:val="auto"/>
                <w:kern w:val="2"/>
                <w:sz w:val="24"/>
                <w:szCs w:val="24"/>
                <w:highlight w:val="none"/>
                <w:lang w:eastAsia="zh-CN"/>
              </w:rPr>
              <w:t>开标后</w:t>
            </w:r>
            <w:r>
              <w:rPr>
                <w:rFonts w:hint="eastAsia" w:ascii="宋体" w:hAnsi="宋体" w:eastAsia="宋体" w:cs="仿宋"/>
                <w:color w:val="auto"/>
                <w:kern w:val="2"/>
                <w:sz w:val="24"/>
                <w:szCs w:val="24"/>
                <w:highlight w:val="none"/>
                <w:lang w:val="en-US" w:eastAsia="zh-CN"/>
              </w:rPr>
              <w:t>在</w:t>
            </w:r>
            <w:r>
              <w:rPr>
                <w:rFonts w:hint="eastAsia" w:ascii="宋体" w:hAnsi="宋体" w:eastAsia="宋体" w:cs="仿宋"/>
                <w:color w:val="auto"/>
                <w:kern w:val="2"/>
                <w:sz w:val="24"/>
                <w:szCs w:val="24"/>
                <w:highlight w:val="none"/>
                <w:lang w:eastAsia="zh-CN"/>
              </w:rPr>
              <w:t>渑池县</w:t>
            </w:r>
            <w:r>
              <w:rPr>
                <w:rFonts w:hint="eastAsia" w:ascii="宋体" w:hAnsi="宋体" w:eastAsia="宋体" w:cs="仿宋"/>
                <w:color w:val="auto"/>
                <w:kern w:val="2"/>
                <w:sz w:val="24"/>
                <w:szCs w:val="24"/>
                <w:highlight w:val="none"/>
                <w:lang w:val="en-US" w:eastAsia="zh-CN"/>
              </w:rPr>
              <w:t>抽取</w:t>
            </w:r>
            <w:r>
              <w:rPr>
                <w:rFonts w:hint="eastAsia" w:ascii="宋体" w:hAnsi="宋体" w:eastAsia="宋体" w:cs="仿宋"/>
                <w:color w:val="auto"/>
                <w:kern w:val="2"/>
                <w:sz w:val="24"/>
                <w:szCs w:val="24"/>
                <w:highlight w:val="none"/>
                <w:lang w:eastAsia="zh-CN"/>
              </w:rPr>
              <w:t>终端</w:t>
            </w:r>
            <w:r>
              <w:rPr>
                <w:rFonts w:hint="eastAsia" w:ascii="宋体" w:hAnsi="宋体" w:eastAsia="宋体" w:cs="仿宋"/>
                <w:color w:val="auto"/>
                <w:kern w:val="2"/>
                <w:sz w:val="24"/>
                <w:szCs w:val="24"/>
                <w:highlight w:val="none"/>
                <w:lang w:val="en-US" w:eastAsia="zh-CN"/>
              </w:rPr>
              <w:t>通过河南省政府采购评审专家库</w:t>
            </w:r>
            <w:r>
              <w:rPr>
                <w:rFonts w:hint="eastAsia" w:ascii="宋体" w:hAnsi="宋体" w:eastAsia="宋体" w:cs="仿宋"/>
                <w:color w:val="auto"/>
                <w:kern w:val="2"/>
                <w:sz w:val="24"/>
                <w:szCs w:val="24"/>
                <w:highlight w:val="none"/>
              </w:rPr>
              <w:t>中随机抽取。</w:t>
            </w:r>
          </w:p>
          <w:p>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仿宋"/>
                <w:color w:val="auto"/>
                <w:kern w:val="2"/>
                <w:sz w:val="24"/>
                <w:szCs w:val="24"/>
                <w:highlight w:val="none"/>
              </w:rPr>
              <w:t>评标专家确定方</w:t>
            </w:r>
            <w:r>
              <w:rPr>
                <w:rFonts w:hint="eastAsia" w:ascii="宋体" w:hAnsi="宋体" w:eastAsia="宋体" w:cs="仿宋"/>
                <w:color w:val="auto"/>
                <w:kern w:val="2"/>
                <w:sz w:val="24"/>
                <w:szCs w:val="24"/>
                <w:highlight w:val="none"/>
                <w:lang w:eastAsia="zh-CN"/>
              </w:rPr>
              <w:t>法</w:t>
            </w:r>
            <w:r>
              <w:rPr>
                <w:rFonts w:hint="eastAsia" w:ascii="宋体" w:hAnsi="宋体" w:eastAsia="宋体" w:cs="仿宋"/>
                <w:color w:val="auto"/>
                <w:kern w:val="2"/>
                <w:sz w:val="24"/>
                <w:szCs w:val="24"/>
                <w:highlight w:val="none"/>
              </w:rPr>
              <w:t>：评标专家库随机抽取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5</w:t>
            </w:r>
          </w:p>
        </w:tc>
        <w:tc>
          <w:tcPr>
            <w:tcW w:w="2025" w:type="dxa"/>
            <w:tcBorders>
              <w:top w:val="single" w:color="auto" w:sz="4" w:space="0"/>
              <w:left w:val="nil"/>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是否授权评标</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委员会确定中标人</w:t>
            </w:r>
          </w:p>
        </w:tc>
        <w:tc>
          <w:tcPr>
            <w:tcW w:w="7153" w:type="dxa"/>
            <w:tcBorders>
              <w:top w:val="single" w:color="auto" w:sz="4" w:space="0"/>
              <w:left w:val="nil"/>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否，评标委员会推选三名中标候选人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中标候选人履约能力审查</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人有权对中标候选人投标文件中所附的相关证明、材料、证件等真实性进行实地考察，如发现与投标文件所提供的相关资料不符、存在弄虚作假行为，将根据相关法律、法规的规定，取消其中标资格，顺延至其它中标候选人</w:t>
            </w:r>
            <w:r>
              <w:rPr>
                <w:rFonts w:hint="eastAsia" w:ascii="宋体" w:hAnsi="宋体" w:eastAsia="宋体" w:cs="仿宋"/>
                <w:color w:val="auto"/>
                <w:kern w:val="2"/>
                <w:sz w:val="24"/>
                <w:szCs w:val="24"/>
                <w:highlight w:val="none"/>
                <w:lang w:val="en-US" w:eastAsia="zh-CN"/>
              </w:rPr>
              <w:t>或重新招标</w:t>
            </w:r>
            <w:r>
              <w:rPr>
                <w:rFonts w:hint="eastAsia" w:ascii="宋体" w:hAnsi="宋体" w:eastAsia="宋体" w:cs="仿宋"/>
                <w:color w:val="auto"/>
                <w:kern w:val="2"/>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无效标条件</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1、投标供应商资格条件不符合国家有关规定和招标文件要求的；</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2、没有按照招标文件要求提供投标承诺函；</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3、电子化投标文件附有采购人不能接受的条件的；</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4、投标报价低于成本、高于招标文件设定的最高投标限价；</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5、以他人的名义投标、串通投标、以行贿手段谋取中标或者以其他弄虚作假方式投标的；</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6、采取不正当手段谋取中标的；</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7、法律、法规规定的其他情况。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right="0" w:firstLine="240" w:firstLineChars="10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48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采购项目需要落实的政府采购政策</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Theme="minorEastAsia" w:hAnsiTheme="minorEastAsia" w:eastAsiaTheme="minorEastAsia"/>
                <w:color w:val="auto"/>
                <w:sz w:val="24"/>
                <w:szCs w:val="24"/>
                <w:highlight w:val="none"/>
                <w:lang w:eastAsia="zh-CN"/>
              </w:rPr>
              <w:t>采购项目需要落实的政府采购政策:本项目非专门面向中小微企业采购项目，执行促进中小型企业发展政策（残疾人福利性企业、监狱企业视同小微企业）、优先采购节能环保产品等政府采购政策。本项目对应的中小企业划分标准所属行业为</w:t>
            </w:r>
            <w:r>
              <w:rPr>
                <w:rFonts w:hint="eastAsia" w:asciiTheme="minorEastAsia" w:hAnsiTheme="minorEastAsia"/>
                <w:color w:val="auto"/>
                <w:sz w:val="24"/>
                <w:szCs w:val="24"/>
                <w:highlight w:val="none"/>
                <w:lang w:val="en-US" w:eastAsia="zh-CN"/>
              </w:rPr>
              <w:t>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49</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人需要补充的其他内容</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（1）投标人所投的设备必须符合国家和行业标准，并达到技术标准要求，满足项目需要且所有部件均应为全新的合格产品。</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（2）招标人有权对中标人的设备采购过程进行监督。</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投标人必须提供有关投标货物符合招标文件要求的证明文件，这些文件可以是说明书、技术白皮书、产品彩页、检测报告等；投标设备有强制性认证要求的，须提供设备的3C认证证书（如有）。投标货物功能及用途详见“第</w:t>
            </w:r>
            <w:r>
              <w:rPr>
                <w:rFonts w:hint="eastAsia" w:ascii="宋体" w:hAnsi="宋体" w:eastAsia="宋体" w:cs="仿宋"/>
                <w:color w:val="auto"/>
                <w:kern w:val="2"/>
                <w:sz w:val="24"/>
                <w:szCs w:val="24"/>
                <w:highlight w:val="none"/>
                <w:lang w:eastAsia="zh-CN"/>
              </w:rPr>
              <w:t>三</w:t>
            </w:r>
            <w:r>
              <w:rPr>
                <w:rFonts w:hint="eastAsia" w:ascii="宋体" w:hAnsi="宋体" w:eastAsia="宋体" w:cs="仿宋"/>
                <w:color w:val="auto"/>
                <w:kern w:val="2"/>
                <w:sz w:val="24"/>
                <w:szCs w:val="24"/>
                <w:highlight w:val="none"/>
              </w:rPr>
              <w:t xml:space="preserve">章 </w:t>
            </w:r>
            <w:r>
              <w:rPr>
                <w:rFonts w:hint="eastAsia" w:ascii="宋体" w:hAnsi="宋体" w:eastAsia="宋体" w:cs="仿宋"/>
                <w:color w:val="auto"/>
                <w:kern w:val="2"/>
                <w:sz w:val="24"/>
                <w:szCs w:val="24"/>
                <w:highlight w:val="none"/>
                <w:lang w:eastAsia="zh-CN"/>
              </w:rPr>
              <w:t>采购明细及</w:t>
            </w:r>
            <w:r>
              <w:rPr>
                <w:rFonts w:hint="eastAsia" w:ascii="宋体" w:hAnsi="宋体" w:eastAsia="宋体" w:cs="仿宋"/>
                <w:color w:val="auto"/>
                <w:kern w:val="2"/>
                <w:sz w:val="24"/>
                <w:szCs w:val="24"/>
                <w:highlight w:val="none"/>
              </w:rPr>
              <w:t>要求”。</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val="en-US" w:eastAsia="zh-CN"/>
              </w:rPr>
              <w:t>4</w:t>
            </w:r>
            <w:r>
              <w:rPr>
                <w:rFonts w:hint="eastAsia" w:ascii="宋体" w:hAnsi="宋体" w:eastAsia="宋体" w:cs="仿宋"/>
                <w:color w:val="auto"/>
                <w:kern w:val="2"/>
                <w:sz w:val="24"/>
                <w:szCs w:val="24"/>
                <w:highlight w:val="none"/>
              </w:rPr>
              <w:t>）中标人对合同义务全面全责；对本项目供货范围内的采购、安装、调试、验收、培训、质保期内外服务、与货物有关的运输和保险及其他伴随服务等全面负责。</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val="en-US" w:eastAsia="zh-CN"/>
              </w:rPr>
              <w:t>5</w:t>
            </w:r>
            <w:r>
              <w:rPr>
                <w:rFonts w:hint="eastAsia" w:ascii="宋体" w:hAnsi="宋体" w:eastAsia="宋体" w:cs="仿宋"/>
                <w:color w:val="auto"/>
                <w:kern w:val="2"/>
                <w:sz w:val="24"/>
                <w:szCs w:val="24"/>
                <w:highlight w:val="none"/>
              </w:rPr>
              <w:t>）中标</w:t>
            </w:r>
            <w:r>
              <w:rPr>
                <w:rFonts w:hint="eastAsia" w:ascii="宋体" w:hAnsi="宋体" w:eastAsia="宋体" w:cs="仿宋"/>
                <w:color w:val="auto"/>
                <w:kern w:val="2"/>
                <w:sz w:val="24"/>
                <w:szCs w:val="24"/>
                <w:highlight w:val="none"/>
                <w:lang w:val="en-US" w:eastAsia="zh-CN"/>
              </w:rPr>
              <w:t>单位</w:t>
            </w:r>
            <w:r>
              <w:rPr>
                <w:rFonts w:hint="eastAsia" w:ascii="宋体" w:hAnsi="宋体" w:eastAsia="宋体" w:cs="仿宋"/>
                <w:color w:val="auto"/>
                <w:kern w:val="2"/>
                <w:sz w:val="24"/>
                <w:szCs w:val="24"/>
                <w:highlight w:val="none"/>
              </w:rPr>
              <w:t>领取</w:t>
            </w:r>
            <w:r>
              <w:rPr>
                <w:rFonts w:hint="eastAsia" w:ascii="宋体" w:hAnsi="宋体" w:eastAsia="宋体" w:cs="仿宋"/>
                <w:color w:val="auto"/>
                <w:kern w:val="2"/>
                <w:sz w:val="24"/>
                <w:szCs w:val="24"/>
                <w:highlight w:val="none"/>
                <w:lang w:val="en-US" w:eastAsia="zh-CN"/>
              </w:rPr>
              <w:t>中标</w:t>
            </w:r>
            <w:r>
              <w:rPr>
                <w:rFonts w:hint="eastAsia" w:ascii="宋体" w:hAnsi="宋体" w:eastAsia="宋体" w:cs="仿宋"/>
                <w:color w:val="auto"/>
                <w:kern w:val="2"/>
                <w:sz w:val="24"/>
                <w:szCs w:val="24"/>
                <w:highlight w:val="none"/>
              </w:rPr>
              <w:t>通知书时，须提供与上传电子版内容一致的纸质版</w:t>
            </w:r>
            <w:r>
              <w:rPr>
                <w:rFonts w:hint="eastAsia" w:ascii="宋体" w:hAnsi="宋体" w:eastAsia="宋体" w:cs="仿宋"/>
                <w:color w:val="auto"/>
                <w:kern w:val="2"/>
                <w:sz w:val="24"/>
                <w:szCs w:val="24"/>
                <w:highlight w:val="none"/>
                <w:lang w:val="en-US" w:eastAsia="zh-CN"/>
              </w:rPr>
              <w:t>投标</w:t>
            </w:r>
            <w:r>
              <w:rPr>
                <w:rFonts w:hint="eastAsia" w:ascii="宋体" w:hAnsi="宋体" w:eastAsia="宋体" w:cs="仿宋"/>
                <w:color w:val="auto"/>
                <w:kern w:val="2"/>
                <w:sz w:val="24"/>
                <w:szCs w:val="24"/>
                <w:highlight w:val="none"/>
              </w:rPr>
              <w:t>文件一份，不得采用活页夹形式装订</w:t>
            </w:r>
            <w:r>
              <w:rPr>
                <w:rFonts w:hint="eastAsia" w:ascii="宋体" w:hAnsi="宋体" w:eastAsia="宋体" w:cs="仿宋"/>
                <w:color w:val="auto"/>
                <w:kern w:val="2"/>
                <w:sz w:val="24"/>
                <w:szCs w:val="24"/>
                <w:highlight w:val="none"/>
                <w:lang w:eastAsia="zh-CN"/>
              </w:rPr>
              <w:t>，</w:t>
            </w:r>
            <w:r>
              <w:rPr>
                <w:rFonts w:hint="eastAsia" w:ascii="宋体" w:hAnsi="宋体" w:eastAsia="宋体" w:cs="仿宋"/>
                <w:color w:val="auto"/>
                <w:kern w:val="2"/>
                <w:sz w:val="24"/>
                <w:szCs w:val="24"/>
                <w:highlight w:val="none"/>
              </w:rPr>
              <w:t>应有目录，并逐页标注连续页码，需加盖公章。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中标结果公告媒介</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同时在《中国招标投标公共服务平台》、《河南省政府采购网》、《三门峡市公共资源交易中心网》上发布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履约保证金</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不收取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验收</w:t>
            </w:r>
            <w:r>
              <w:rPr>
                <w:rFonts w:hint="eastAsia" w:ascii="宋体" w:hAnsi="宋体" w:eastAsia="宋体" w:cs="仿宋"/>
                <w:color w:val="auto"/>
                <w:kern w:val="2"/>
                <w:sz w:val="24"/>
                <w:szCs w:val="24"/>
                <w:highlight w:val="none"/>
                <w:lang w:val="en-US" w:eastAsia="zh-CN"/>
              </w:rPr>
              <w:t xml:space="preserve">                                                        </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符合国家相关行业质量验收合格标准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付款方式</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双方协商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01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需要补充的其他内容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54</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ind w:left="0" w:right="0"/>
              <w:jc w:val="center"/>
              <w:textAlignment w:val="baseline"/>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供应商</w:t>
            </w:r>
            <w:r>
              <w:rPr>
                <w:rFonts w:hint="eastAsia" w:ascii="宋体" w:hAnsi="宋体" w:eastAsia="宋体" w:cs="宋体"/>
                <w:color w:val="auto"/>
                <w:kern w:val="2"/>
                <w:sz w:val="24"/>
                <w:szCs w:val="24"/>
                <w:highlight w:val="none"/>
              </w:rPr>
              <w:t>代表出席开标会</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jc w:val="left"/>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本项目采用电子化、无纸化进行招标，开标当日，供应商无需到开标现场参加开标会议，</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应当在投标截止时间前，登陆不见面开标大厅选择登陆三门峡市公共资源电子招投标系统进行登陆（网址为 http://120.194.249.36:10094/BidOpening/bidopeninghallaction/hall/login）,在线准时参加开标活动并进行投标文件解密等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55</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知识产权</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构成本招标文件各个组成部分的文件，未经采购人书面同意，</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不得擅自复印和用于非本招标项目所需的其他目的。采购人全部或者部分使用未中标人投标文件中的技术成果或技术方案时，需征得其书面同意，并不得擅自复印或提供给第三人。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56</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  督</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本项目的采购活动及其相关当事人应当接受有管辖权的相关部门依法实施的监督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57</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解释权</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58</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代理服务费</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招标代理服务收费参照豫招协[2023]002号河南省招标投标协会关于印发《河南省招标代理服务收费指导意见》规定的收费标准收取中标服务费</w:t>
            </w:r>
            <w:r>
              <w:rPr>
                <w:rFonts w:hint="eastAsia" w:ascii="宋体" w:hAnsi="宋体" w:eastAsia="宋体" w:cs="仿宋"/>
                <w:color w:val="auto"/>
                <w:kern w:val="2"/>
                <w:sz w:val="24"/>
                <w:szCs w:val="24"/>
                <w:highlight w:val="none"/>
              </w:rPr>
              <w:t xml:space="preserve">，领取中标通知书时一次性支付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59</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40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仿宋"/>
                <w:color w:val="auto"/>
                <w:kern w:val="2"/>
                <w:sz w:val="24"/>
                <w:szCs w:val="24"/>
                <w:highlight w:val="none"/>
                <w:lang w:val="en-US" w:eastAsia="zh-CN"/>
              </w:rPr>
              <w:t>重新招标的其他情形</w:t>
            </w:r>
            <w:r>
              <w:rPr>
                <w:rFonts w:hint="eastAsia" w:ascii="宋体" w:hAnsi="宋体" w:eastAsia="宋体" w:cs="仿宋"/>
                <w:color w:val="auto"/>
                <w:kern w:val="2"/>
                <w:sz w:val="24"/>
                <w:szCs w:val="24"/>
                <w:highlight w:val="none"/>
                <w:lang w:val="en-US" w:eastAsia="zh-CN"/>
              </w:rPr>
              <w:tab/>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除投标人须知正文规定的情形外，除非已经产生中标候选人，在投标有效期内同意延长投标有效期的投标人少于三个的，招标人应当依法重新招标。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60</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其他事项</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1.电子化投标文件应在投标截止时间前成功上传至三门峡市公共资源电子化交易系统。至投标截止时间止，仍未上传成功的电子化投标文件，将不予接受；</w:t>
            </w:r>
          </w:p>
          <w:p>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仿宋"/>
                <w:color w:val="auto"/>
                <w:kern w:val="2"/>
                <w:sz w:val="24"/>
                <w:szCs w:val="24"/>
                <w:highlight w:val="none"/>
                <w:lang w:val="en-US" w:eastAsia="zh-CN"/>
              </w:rPr>
              <w:t>2</w:t>
            </w:r>
            <w:r>
              <w:rPr>
                <w:rFonts w:hint="eastAsia" w:ascii="宋体" w:hAnsi="宋体" w:eastAsia="宋体" w:cs="仿宋"/>
                <w:color w:val="auto"/>
                <w:kern w:val="2"/>
                <w:sz w:val="24"/>
                <w:szCs w:val="24"/>
                <w:highlight w:val="none"/>
              </w:rPr>
              <w:t>.中标供应商在中标公示结束后应及时领取中标通知书并与采购人签订合同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61</w:t>
            </w:r>
          </w:p>
        </w:tc>
        <w:tc>
          <w:tcPr>
            <w:tcW w:w="2025"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电子化交易注意事项</w:t>
            </w:r>
          </w:p>
        </w:tc>
        <w:tc>
          <w:tcPr>
            <w:tcW w:w="7153"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本项目为电子化、无纸化交易项目，投标文件是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、供应商 （ 以下简称 “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 ”）通过中心投标文件制作系统制作，并经过电子签章和加密后生成的电子版投标文件。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投标时，将不再接受任何纸质文件资料。</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通过CA证书登录三门峡市公共资源电子交易系统在“组件下载”中查看。</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温馨提示：本项目为电子化、无纸化交易项目，开标时不接受任何纸质资料，为保证您能投标成功，请需仔细阅读以下条款。</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（一）电子化投标文件的签章</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在生成电子化投标文件后，应对电子化投标文件进行签章，未进行签章的视为无效投标。</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2、招标文件中要求法定代表人或授权委托人签字或盖章的，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在进行电子化投标文件签章时，以签盖法定代表人签章为准 。电子化投标文件具体制作教材请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通过CA证书登录三门峡市公共资源电子化交易系统在右上角“组件下载”中查看。</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（二）电子化投标文件的格式及上传投标</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所上传的电子化投标文件，应是通过中心投标文件制作系统制作的，经过签章和加密后生成的电子版投标文件。上传投标文件格式后缀为SMXTF，上传完后，建议验证CA 锁是否正常。</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投报多个标段的，需要每个标段单独制作电子投标文件 </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 ：如按照电子化投标操作教材制作完成的电子化投标文件无法上传的，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应在投标截止时间前尽早的联系中心技术人员，以便有充分的时间进行处理。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应充分考虑到处理技术问题和上传数据等工作所需的时间问题，投标文件未在投标截止时间前成功上传的，其投标文件不予接收。</w:t>
            </w:r>
          </w:p>
          <w:p>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技术联系电话：</w:t>
            </w:r>
            <w:r>
              <w:rPr>
                <w:rFonts w:hint="eastAsia" w:ascii="宋体" w:hAnsi="宋体" w:eastAsia="宋体" w:cs="仿宋"/>
                <w:color w:val="auto"/>
                <w:kern w:val="2"/>
                <w:sz w:val="24"/>
                <w:szCs w:val="24"/>
                <w:highlight w:val="none"/>
                <w:lang w:val="en-US" w:eastAsia="zh-CN"/>
              </w:rPr>
              <w:t>400 998 0000</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（四）电子化项目开标、解密、唱标、评标</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1、本项目采用电子化、无纸化进行招标，开标当日，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无需到开标现场参加开标会议。</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w:t>
            </w:r>
            <w:r>
              <w:rPr>
                <w:rFonts w:hint="eastAsia" w:ascii="宋体" w:hAnsi="宋体" w:eastAsia="宋体" w:cs="仿宋"/>
                <w:color w:val="auto"/>
                <w:kern w:val="2"/>
                <w:sz w:val="24"/>
                <w:szCs w:val="24"/>
                <w:highlight w:val="none"/>
                <w:lang w:val="en-US" w:eastAsia="zh-CN"/>
              </w:rPr>
              <w:t>供应商应当在投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r>
              <w:rPr>
                <w:rFonts w:hint="eastAsia" w:ascii="宋体" w:hAnsi="宋体" w:eastAsia="宋体" w:cs="仿宋"/>
                <w:color w:val="auto"/>
                <w:kern w:val="2"/>
                <w:sz w:val="24"/>
                <w:szCs w:val="24"/>
                <w:highlight w:val="none"/>
              </w:rPr>
              <w:t>。</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3、电子化投标文件解密异常的处理</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如出现</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的电子投标文件无法解密的情况，</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应及时致电中介服务机构说明。投标文件解密异常，按以下步骤进行处理：</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（1）首先由技术人员进行问题排查。</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（2）经技术人员排查后，是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文件自身问题导致投标文件无法解密的，该投标文件将不予接收、解密和唱标。开标会议继续进行。</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4、待所有</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投标文件解密完成后，由中介服务机构操作，对所有已解密投标文件进行唱标。</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应保证在开标期间电脑、网络能够正常工作，</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因停电、电脑病毒、网络堵塞等原因，未在规定的解密时间内对投标文件进行解密的，其投标文件不予接收、唱标。</w:t>
            </w:r>
          </w:p>
          <w:p>
            <w:pPr>
              <w:widowControl/>
              <w:numPr>
                <w:ilvl w:val="0"/>
                <w:numId w:val="0"/>
              </w:numPr>
              <w:spacing w:before="0" w:beforeLines="0" w:beforeAutospacing="0" w:after="0" w:afterLines="0" w:afterAutospacing="0" w:line="400" w:lineRule="exact"/>
              <w:ind w:left="0" w:leftChars="0" w:right="0" w:rightChars="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val="en-US" w:eastAsia="zh-CN" w:bidi="ar-SA"/>
              </w:rPr>
              <w:t>5、</w:t>
            </w:r>
            <w:r>
              <w:rPr>
                <w:rFonts w:hint="eastAsia" w:ascii="宋体" w:hAnsi="宋体" w:eastAsia="宋体" w:cs="仿宋"/>
                <w:color w:val="auto"/>
                <w:kern w:val="2"/>
                <w:sz w:val="24"/>
                <w:szCs w:val="24"/>
                <w:highlight w:val="none"/>
              </w:rPr>
              <w:t>开标时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可登录到交易系统中在开标大厅中点击开标一览表查看自己的报价。如对自己的唱标内容有异议的，应在唱标内容显示后10分钟内向中服务机构通过开标大厅对话框提出质疑。中介服务机构做好书面记录。</w:t>
            </w:r>
            <w:r>
              <w:rPr>
                <w:rFonts w:hint="eastAsia" w:ascii="宋体" w:hAnsi="宋体" w:eastAsia="宋体" w:cs="仿宋"/>
                <w:color w:val="auto"/>
                <w:kern w:val="2"/>
                <w:sz w:val="24"/>
                <w:szCs w:val="24"/>
                <w:highlight w:val="none"/>
                <w:lang w:eastAsia="zh-CN"/>
              </w:rPr>
              <w:t>响应人</w:t>
            </w:r>
            <w:r>
              <w:rPr>
                <w:rFonts w:hint="eastAsia" w:ascii="宋体" w:hAnsi="宋体" w:eastAsia="宋体" w:cs="仿宋"/>
                <w:color w:val="auto"/>
                <w:kern w:val="2"/>
                <w:sz w:val="24"/>
                <w:szCs w:val="24"/>
                <w:highlight w:val="none"/>
              </w:rPr>
              <w:t>未在规定时间内提出质疑的，视为认可</w:t>
            </w:r>
            <w:r>
              <w:rPr>
                <w:rFonts w:hint="eastAsia" w:ascii="宋体" w:hAnsi="宋体" w:eastAsia="宋体" w:cs="仿宋"/>
                <w:color w:val="auto"/>
                <w:kern w:val="2"/>
                <w:sz w:val="24"/>
                <w:szCs w:val="24"/>
                <w:highlight w:val="none"/>
                <w:lang w:eastAsia="zh-CN"/>
              </w:rPr>
              <w:t>唱标内容。</w:t>
            </w:r>
          </w:p>
          <w:p>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6、评标时，评标委员会对电子化投标文件有质疑的，将通过电子化交易系统对</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发起质疑，</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的回复文件必须以经过</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和其法定代表人签章的PDF 格式文件为准，并通过电子化交易系统提交至评标委员会。</w:t>
            </w:r>
          </w:p>
          <w:p>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7、如评标委员会对需要回复的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在规定时间内通过电子化交易系统未收到回复的，视为</w:t>
            </w:r>
            <w:r>
              <w:rPr>
                <w:rFonts w:hint="eastAsia" w:ascii="宋体" w:hAnsi="宋体" w:eastAsia="宋体" w:cs="仿宋"/>
                <w:color w:val="auto"/>
                <w:kern w:val="2"/>
                <w:sz w:val="24"/>
                <w:szCs w:val="24"/>
                <w:highlight w:val="none"/>
                <w:lang w:eastAsia="zh-CN"/>
              </w:rPr>
              <w:t>响应人</w:t>
            </w:r>
            <w:r>
              <w:rPr>
                <w:rFonts w:hint="eastAsia" w:ascii="宋体" w:hAnsi="宋体" w:eastAsia="宋体" w:cs="仿宋"/>
                <w:color w:val="auto"/>
                <w:kern w:val="2"/>
                <w:sz w:val="24"/>
                <w:szCs w:val="24"/>
                <w:highlight w:val="none"/>
              </w:rPr>
              <w:t>放弃回复，评标委员会将自行对需要回复的内容进行认定。</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 相关证书原件的提交</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本项目实行资格后审，招标文件中要求</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提交资质、业绩及单位人员等相关资料原件的，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需将原件扫描件制作到电子投标文件中，其上传资料真实性由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自行承担。评标委员会对原件的核验工作按以下条款进行：评标时，评委先查阅投标文件中是否具有该资料的原件扫描件，其上传资料真实性由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自行承担。本项目需要提交的原件扫描件以投标截止时间前在以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自行上传到</w:t>
            </w:r>
            <w:r>
              <w:rPr>
                <w:rFonts w:hint="eastAsia" w:ascii="宋体" w:hAnsi="宋体" w:eastAsia="宋体" w:cs="仿宋"/>
                <w:color w:val="auto"/>
                <w:kern w:val="2"/>
                <w:sz w:val="24"/>
                <w:szCs w:val="24"/>
                <w:highlight w:val="none"/>
                <w:lang w:eastAsia="zh-CN"/>
              </w:rPr>
              <w:t>响应</w:t>
            </w:r>
            <w:r>
              <w:rPr>
                <w:rFonts w:hint="eastAsia" w:ascii="宋体" w:hAnsi="宋体" w:eastAsia="宋体" w:cs="仿宋"/>
                <w:color w:val="auto"/>
                <w:kern w:val="2"/>
                <w:sz w:val="24"/>
                <w:szCs w:val="24"/>
                <w:highlight w:val="none"/>
              </w:rPr>
              <w:t>文件中的相应内容为准。规定时间外上传或更改的信息不作为评标依据。评标时不接受</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所提交的任何原件</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(二</w:t>
            </w: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需应仔细阅读操作手册，保证上传内容齐全，真实有效，原件扫描件清晰可辨。因</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上传原因导致应得分项而未得分或资格审查不合格等情况的，由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自行承担责任。</w:t>
            </w:r>
          </w:p>
          <w:p>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提示：本项目为电子化、无纸化交易项目，开标时不再接受任何纸质资料，为保证您能投标成功，请需仔细阅读以上条款。</w:t>
            </w:r>
          </w:p>
        </w:tc>
      </w:tr>
    </w:tbl>
    <w:p>
      <w:pPr>
        <w:rPr>
          <w:rFonts w:asciiTheme="minorEastAsia" w:hAnsiTheme="minorEastAsia" w:eastAsiaTheme="minorEastAsia"/>
          <w:b/>
          <w:bCs/>
          <w:color w:val="auto"/>
          <w:kern w:val="0"/>
          <w:sz w:val="36"/>
          <w:szCs w:val="36"/>
          <w:highlight w:val="none"/>
        </w:rPr>
      </w:pPr>
      <w:r>
        <w:rPr>
          <w:rFonts w:hint="eastAsia" w:asciiTheme="minorEastAsia" w:hAnsiTheme="minorEastAsia" w:eastAsiaTheme="minorEastAsia"/>
          <w:b/>
          <w:bCs/>
          <w:color w:val="auto"/>
          <w:kern w:val="0"/>
          <w:sz w:val="36"/>
          <w:szCs w:val="36"/>
          <w:highlight w:val="none"/>
        </w:rPr>
        <w:br w:type="page"/>
      </w:r>
    </w:p>
    <w:p>
      <w:pPr>
        <w:pageBreakBefore w:val="0"/>
        <w:widowControl/>
        <w:kinsoku/>
        <w:wordWrap/>
        <w:overflowPunct/>
        <w:topLinePunct w:val="0"/>
        <w:bidi w:val="0"/>
        <w:spacing w:after="0" w:afterLines="0" w:line="480" w:lineRule="exact"/>
        <w:rPr>
          <w:rFonts w:ascii="宋体" w:hAnsi="宋体" w:eastAsia="宋体"/>
          <w:b/>
          <w:color w:val="auto"/>
          <w:sz w:val="28"/>
          <w:szCs w:val="28"/>
          <w:highlight w:val="none"/>
        </w:rPr>
      </w:pPr>
      <w:r>
        <w:rPr>
          <w:rFonts w:hint="eastAsia" w:ascii="宋体" w:hAnsi="宋体" w:eastAsia="宋体"/>
          <w:b/>
          <w:color w:val="auto"/>
          <w:sz w:val="28"/>
          <w:szCs w:val="28"/>
          <w:highlight w:val="none"/>
        </w:rPr>
        <w:t>一、  总则</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ascii="宋体" w:hAnsi="宋体" w:eastAsia="宋体"/>
          <w:b/>
          <w:color w:val="auto"/>
          <w:sz w:val="28"/>
          <w:szCs w:val="28"/>
          <w:highlight w:val="none"/>
        </w:rPr>
        <w:t>1、</w:t>
      </w:r>
      <w:r>
        <w:rPr>
          <w:rFonts w:hint="eastAsia" w:ascii="宋体" w:hAnsi="宋体" w:eastAsia="宋体"/>
          <w:b/>
          <w:color w:val="auto"/>
          <w:sz w:val="28"/>
          <w:szCs w:val="28"/>
          <w:highlight w:val="none"/>
        </w:rPr>
        <w:t>项目概况</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中恒晟（北京）工程管理有限公司</w:t>
      </w:r>
      <w:r>
        <w:rPr>
          <w:rFonts w:hint="eastAsia" w:ascii="宋体" w:hAnsi="宋体" w:eastAsia="宋体"/>
          <w:color w:val="auto"/>
          <w:sz w:val="28"/>
          <w:szCs w:val="28"/>
          <w:highlight w:val="none"/>
        </w:rPr>
        <w:t>受</w:t>
      </w:r>
      <w:r>
        <w:rPr>
          <w:rFonts w:hint="eastAsia" w:ascii="宋体" w:hAnsi="宋体" w:eastAsia="宋体"/>
          <w:color w:val="auto"/>
          <w:sz w:val="28"/>
          <w:szCs w:val="28"/>
          <w:highlight w:val="none"/>
          <w:lang w:eastAsia="zh-CN"/>
        </w:rPr>
        <w:t>渑池县果园乡人民政府</w:t>
      </w:r>
      <w:r>
        <w:rPr>
          <w:rFonts w:hint="eastAsia" w:ascii="宋体" w:hAnsi="宋体" w:eastAsia="宋体"/>
          <w:color w:val="auto"/>
          <w:sz w:val="28"/>
          <w:szCs w:val="28"/>
          <w:highlight w:val="none"/>
        </w:rPr>
        <w:t>的委托，就渑池县果园乡电子束灭菌设备采购项目进行公开招标，现欢迎符合资格条件的供应商参加投标。</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2、投标费用</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 xml:space="preserve">   投标供应商</w:t>
      </w:r>
      <w:r>
        <w:rPr>
          <w:rFonts w:hint="eastAsia" w:ascii="宋体" w:hAnsi="宋体" w:eastAsia="宋体"/>
          <w:color w:val="auto"/>
          <w:sz w:val="28"/>
          <w:szCs w:val="28"/>
          <w:highlight w:val="none"/>
        </w:rPr>
        <w:t>承担其投标文件编制与递交所涉及的一切费用。在任何情况下采购人和招标代理机构对上述费用均不承担任何责任。</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3、定义及解释</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w:t>
      </w:r>
      <w:r>
        <w:rPr>
          <w:rFonts w:ascii="宋体" w:hAnsi="宋体" w:eastAsia="宋体"/>
          <w:b/>
          <w:color w:val="auto"/>
          <w:sz w:val="28"/>
          <w:szCs w:val="28"/>
          <w:highlight w:val="none"/>
        </w:rPr>
        <w:t>.1</w:t>
      </w:r>
      <w:r>
        <w:rPr>
          <w:rFonts w:hint="eastAsia" w:ascii="宋体" w:hAnsi="宋体" w:eastAsia="宋体"/>
          <w:color w:val="auto"/>
          <w:sz w:val="28"/>
          <w:szCs w:val="28"/>
          <w:highlight w:val="none"/>
        </w:rPr>
        <w:t>货物：系指投标供应商按招标文件规定而提供的设备、工具、备品备件、手册及其他有关技术资料和材料。</w:t>
      </w:r>
    </w:p>
    <w:p>
      <w:pPr>
        <w:pageBreakBefore w:val="0"/>
        <w:widowControl/>
        <w:tabs>
          <w:tab w:val="left" w:pos="1158"/>
        </w:tabs>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w:t>
      </w:r>
      <w:r>
        <w:rPr>
          <w:rFonts w:ascii="宋体" w:hAnsi="宋体" w:eastAsia="宋体"/>
          <w:b/>
          <w:color w:val="auto"/>
          <w:sz w:val="28"/>
          <w:szCs w:val="28"/>
          <w:highlight w:val="none"/>
        </w:rPr>
        <w:t>.2</w:t>
      </w:r>
      <w:r>
        <w:rPr>
          <w:rFonts w:hint="eastAsia" w:ascii="宋体" w:hAnsi="宋体" w:eastAsia="宋体"/>
          <w:color w:val="auto"/>
          <w:sz w:val="28"/>
          <w:szCs w:val="28"/>
          <w:highlight w:val="none"/>
        </w:rPr>
        <w:t xml:space="preserve"> 服务：系指投标供应商提供的货物有关的运输和保险及其他伴随服务。</w:t>
      </w:r>
    </w:p>
    <w:p>
      <w:pPr>
        <w:pageBreakBefore w:val="0"/>
        <w:widowControl/>
        <w:kinsoku/>
        <w:wordWrap/>
        <w:overflowPunct/>
        <w:topLinePunct w:val="0"/>
        <w:bidi w:val="0"/>
        <w:spacing w:after="0" w:afterLines="0" w:line="480" w:lineRule="exact"/>
        <w:ind w:left="0" w:leftChars="0" w:firstLine="562" w:firstLineChars="200"/>
        <w:rPr>
          <w:rFonts w:hint="eastAsia" w:ascii="宋体" w:hAnsi="宋体" w:eastAsia="宋体"/>
          <w:color w:val="auto"/>
          <w:sz w:val="28"/>
          <w:szCs w:val="28"/>
          <w:highlight w:val="none"/>
          <w:lang w:eastAsia="zh-CN"/>
        </w:rPr>
      </w:pPr>
      <w:r>
        <w:rPr>
          <w:rFonts w:hint="eastAsia" w:ascii="宋体" w:hAnsi="宋体" w:eastAsia="宋体"/>
          <w:b/>
          <w:color w:val="auto"/>
          <w:sz w:val="28"/>
          <w:szCs w:val="28"/>
          <w:highlight w:val="none"/>
        </w:rPr>
        <w:t xml:space="preserve">3.3 </w:t>
      </w:r>
      <w:r>
        <w:rPr>
          <w:rFonts w:hint="eastAsia" w:ascii="宋体" w:hAnsi="宋体" w:eastAsia="宋体"/>
          <w:color w:val="auto"/>
          <w:sz w:val="28"/>
          <w:szCs w:val="28"/>
          <w:highlight w:val="none"/>
        </w:rPr>
        <w:t>采购人：</w:t>
      </w:r>
      <w:r>
        <w:rPr>
          <w:rFonts w:hint="eastAsia" w:ascii="宋体" w:hAnsi="宋体" w:eastAsia="宋体"/>
          <w:color w:val="auto"/>
          <w:sz w:val="28"/>
          <w:szCs w:val="28"/>
          <w:highlight w:val="none"/>
          <w:lang w:eastAsia="zh-CN"/>
        </w:rPr>
        <w:t>渑池县果园乡人民政府</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3.4</w:t>
      </w:r>
      <w:r>
        <w:rPr>
          <w:rFonts w:hint="eastAsia" w:ascii="宋体" w:hAnsi="宋体" w:eastAsia="宋体"/>
          <w:color w:val="auto"/>
          <w:sz w:val="28"/>
          <w:szCs w:val="28"/>
          <w:highlight w:val="none"/>
        </w:rPr>
        <w:t>投标供应商：是指响应招标、参加投标竞争的法人或者其他组织。</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 xml:space="preserve">3.5 </w:t>
      </w:r>
      <w:r>
        <w:rPr>
          <w:rFonts w:hint="eastAsia" w:ascii="宋体" w:hAnsi="宋体" w:eastAsia="宋体"/>
          <w:color w:val="auto"/>
          <w:sz w:val="28"/>
          <w:szCs w:val="28"/>
          <w:highlight w:val="none"/>
        </w:rPr>
        <w:t>招标代理机构：</w:t>
      </w:r>
      <w:r>
        <w:rPr>
          <w:rFonts w:hint="eastAsia" w:ascii="宋体" w:hAnsi="宋体" w:eastAsia="宋体"/>
          <w:color w:val="auto"/>
          <w:sz w:val="28"/>
          <w:szCs w:val="28"/>
          <w:highlight w:val="none"/>
          <w:lang w:eastAsia="zh-CN"/>
        </w:rPr>
        <w:t xml:space="preserve">中恒晟（北京）工程管理有限公司  </w:t>
      </w:r>
      <w:r>
        <w:rPr>
          <w:rFonts w:hint="eastAsia" w:ascii="宋体" w:hAnsi="宋体" w:eastAsia="宋体"/>
          <w:color w:val="auto"/>
          <w:sz w:val="28"/>
          <w:szCs w:val="28"/>
          <w:highlight w:val="none"/>
        </w:rPr>
        <w:t xml:space="preserve"> </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3.6</w:t>
      </w:r>
      <w:r>
        <w:rPr>
          <w:rFonts w:hint="eastAsia" w:ascii="宋体" w:hAnsi="宋体" w:eastAsia="宋体"/>
          <w:color w:val="auto"/>
          <w:sz w:val="28"/>
          <w:szCs w:val="28"/>
          <w:highlight w:val="none"/>
        </w:rPr>
        <w:t xml:space="preserve"> 评标委员会：是指按照《中华人民共和国政府采购法》和《评标委员会和评标方法暂行规定》的规定组建的专门负责本次招标的评标工作的临时机构。</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 xml:space="preserve">3.7 </w:t>
      </w:r>
      <w:r>
        <w:rPr>
          <w:rFonts w:hint="eastAsia" w:ascii="宋体" w:hAnsi="宋体" w:eastAsia="宋体"/>
          <w:color w:val="auto"/>
          <w:sz w:val="28"/>
          <w:szCs w:val="28"/>
          <w:highlight w:val="none"/>
        </w:rPr>
        <w:t>日期：指公历日。</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3.8</w:t>
      </w:r>
      <w:r>
        <w:rPr>
          <w:rFonts w:hint="eastAsia" w:ascii="宋体" w:hAnsi="宋体" w:eastAsia="宋体"/>
          <w:color w:val="auto"/>
          <w:sz w:val="28"/>
          <w:szCs w:val="28"/>
          <w:highlight w:val="none"/>
        </w:rPr>
        <w:t xml:space="preserve"> 招标文件中所规定的“书面形式”，是指任何手写的、打印或印刷的</w:t>
      </w:r>
      <w:r>
        <w:rPr>
          <w:rFonts w:hint="eastAsia" w:ascii="宋体" w:hAnsi="宋体" w:eastAsia="宋体"/>
          <w:color w:val="auto"/>
          <w:sz w:val="28"/>
          <w:szCs w:val="28"/>
          <w:highlight w:val="none"/>
          <w:lang w:eastAsia="zh-CN"/>
        </w:rPr>
        <w:t>形式</w:t>
      </w:r>
      <w:r>
        <w:rPr>
          <w:rFonts w:hint="eastAsia" w:ascii="宋体" w:hAnsi="宋体" w:eastAsia="宋体"/>
          <w:color w:val="auto"/>
          <w:sz w:val="28"/>
          <w:szCs w:val="28"/>
          <w:highlight w:val="none"/>
        </w:rPr>
        <w:t>。</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4、合格的供应商（详见招标公告资质要求）</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二、招 标 文 件</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5. 招标文件的组成</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招标文件用以阐明所需货物及服务、招标程序和合同主要条款。招标文件由下述部分组成：</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bookmarkStart w:id="11" w:name="_Toc430490612"/>
      <w:bookmarkStart w:id="12" w:name="_Toc430488851"/>
      <w:bookmarkStart w:id="13" w:name="_Toc430488644"/>
      <w:bookmarkStart w:id="14" w:name="_Toc415567497"/>
      <w:bookmarkStart w:id="15" w:name="_Toc430492126"/>
      <w:bookmarkStart w:id="16" w:name="_Toc430489119"/>
      <w:bookmarkStart w:id="17" w:name="_Toc430422413"/>
      <w:r>
        <w:rPr>
          <w:rFonts w:hint="eastAsia" w:ascii="宋体" w:hAnsi="宋体" w:eastAsia="宋体"/>
          <w:color w:val="auto"/>
          <w:sz w:val="28"/>
          <w:szCs w:val="28"/>
          <w:highlight w:val="none"/>
        </w:rPr>
        <w:t>第一章 招标公告</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第二章  供应商须知前附表</w:t>
      </w:r>
    </w:p>
    <w:p>
      <w:pPr>
        <w:pageBreakBefore w:val="0"/>
        <w:widowControl/>
        <w:kinsoku/>
        <w:wordWrap/>
        <w:overflowPunct/>
        <w:topLinePunct w:val="0"/>
        <w:bidi w:val="0"/>
        <w:spacing w:after="0" w:afterLines="0" w:line="480" w:lineRule="exact"/>
        <w:ind w:left="0" w:leftChars="0"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第三章  采购</w:t>
      </w:r>
      <w:r>
        <w:rPr>
          <w:rFonts w:hint="eastAsia" w:ascii="宋体" w:hAnsi="宋体" w:eastAsia="宋体"/>
          <w:color w:val="auto"/>
          <w:sz w:val="28"/>
          <w:szCs w:val="28"/>
          <w:highlight w:val="none"/>
          <w:lang w:val="en-US" w:eastAsia="zh-CN"/>
        </w:rPr>
        <w:t xml:space="preserve">清单 </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第四章  评标办法</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第五章  合同条款及格式</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第六章  投标文件格式</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6.</w:t>
      </w:r>
      <w:bookmarkEnd w:id="11"/>
      <w:bookmarkEnd w:id="12"/>
      <w:bookmarkEnd w:id="13"/>
      <w:bookmarkEnd w:id="14"/>
      <w:bookmarkEnd w:id="15"/>
      <w:bookmarkEnd w:id="16"/>
      <w:bookmarkEnd w:id="17"/>
      <w:r>
        <w:rPr>
          <w:rFonts w:hint="eastAsia" w:ascii="宋体" w:hAnsi="宋体" w:eastAsia="宋体"/>
          <w:color w:val="auto"/>
          <w:sz w:val="28"/>
          <w:szCs w:val="28"/>
          <w:highlight w:val="none"/>
        </w:rPr>
        <w:t xml:space="preserve"> 招标文件的澄清</w:t>
      </w:r>
    </w:p>
    <w:p>
      <w:pPr>
        <w:pageBreakBefore w:val="0"/>
        <w:widowControl/>
        <w:kinsoku/>
        <w:wordWrap/>
        <w:overflowPunct/>
        <w:topLinePunct w:val="0"/>
        <w:bidi w:val="0"/>
        <w:spacing w:after="0" w:afterLines="0" w:line="480" w:lineRule="exact"/>
        <w:ind w:left="0" w:leftChars="0" w:firstLine="560" w:firstLineChars="200"/>
        <w:outlineLvl w:val="0"/>
        <w:rPr>
          <w:rFonts w:ascii="宋体" w:hAnsi="宋体" w:eastAsia="宋体"/>
          <w:bCs/>
          <w:color w:val="auto"/>
          <w:sz w:val="28"/>
          <w:szCs w:val="28"/>
          <w:highlight w:val="none"/>
        </w:rPr>
      </w:pPr>
      <w:bookmarkStart w:id="18" w:name="_Toc3679"/>
      <w:r>
        <w:rPr>
          <w:rFonts w:hint="eastAsia" w:ascii="宋体" w:hAnsi="宋体" w:eastAsia="宋体"/>
          <w:bCs/>
          <w:color w:val="auto"/>
          <w:sz w:val="28"/>
          <w:szCs w:val="28"/>
          <w:highlight w:val="none"/>
        </w:rPr>
        <w:t>6.1 供应商对招标文件如有疑问，可要求澄清。要求澄清应按投标邀请中载明的投标截止日期10日前按照招标公告中载明的地址以书面形式递交</w:t>
      </w:r>
      <w:r>
        <w:rPr>
          <w:rFonts w:hint="eastAsia" w:ascii="宋体" w:hAnsi="宋体" w:eastAsia="宋体"/>
          <w:color w:val="auto"/>
          <w:sz w:val="28"/>
          <w:szCs w:val="28"/>
          <w:highlight w:val="none"/>
        </w:rPr>
        <w:t>采购代理机构</w:t>
      </w:r>
      <w:r>
        <w:rPr>
          <w:rFonts w:hint="eastAsia" w:ascii="宋体" w:hAnsi="宋体" w:eastAsia="宋体"/>
          <w:bCs/>
          <w:color w:val="auto"/>
          <w:sz w:val="28"/>
          <w:szCs w:val="28"/>
          <w:highlight w:val="none"/>
        </w:rPr>
        <w:t>。</w:t>
      </w:r>
      <w:r>
        <w:rPr>
          <w:rFonts w:hint="eastAsia" w:ascii="宋体" w:hAnsi="宋体" w:eastAsia="宋体"/>
          <w:color w:val="auto"/>
          <w:sz w:val="28"/>
          <w:szCs w:val="28"/>
          <w:highlight w:val="none"/>
        </w:rPr>
        <w:t>采购代理机构</w:t>
      </w:r>
      <w:r>
        <w:rPr>
          <w:rFonts w:hint="eastAsia" w:ascii="宋体" w:hAnsi="宋体" w:eastAsia="宋体"/>
          <w:bCs/>
          <w:color w:val="auto"/>
          <w:sz w:val="28"/>
          <w:szCs w:val="28"/>
          <w:highlight w:val="none"/>
        </w:rPr>
        <w:t>将视情况在投标截止时间15日（如至原定截止时间不足15日，则需延长开标时间）前将不标明查询来源的书面答复发给所有潜在供应商，并</w:t>
      </w:r>
      <w:r>
        <w:rPr>
          <w:rFonts w:hint="eastAsia" w:ascii="宋体" w:hAnsi="宋体" w:eastAsia="宋体"/>
          <w:color w:val="auto"/>
          <w:sz w:val="28"/>
          <w:szCs w:val="28"/>
          <w:highlight w:val="none"/>
        </w:rPr>
        <w:t>在原采购信息发布的媒体上发布更正公告</w:t>
      </w:r>
      <w:r>
        <w:rPr>
          <w:rFonts w:hint="eastAsia" w:ascii="宋体" w:hAnsi="宋体" w:eastAsia="宋体"/>
          <w:bCs/>
          <w:color w:val="auto"/>
          <w:sz w:val="28"/>
          <w:szCs w:val="28"/>
          <w:highlight w:val="none"/>
        </w:rPr>
        <w:t>。</w:t>
      </w:r>
      <w:r>
        <w:rPr>
          <w:rFonts w:hint="eastAsia" w:ascii="宋体" w:hAnsi="宋体" w:eastAsia="宋体"/>
          <w:color w:val="auto"/>
          <w:sz w:val="28"/>
          <w:szCs w:val="28"/>
          <w:highlight w:val="none"/>
        </w:rPr>
        <w:t>该澄清内容为招标文件的组成部分。</w:t>
      </w:r>
      <w:bookmarkEnd w:id="18"/>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bCs/>
          <w:color w:val="auto"/>
          <w:sz w:val="28"/>
          <w:szCs w:val="28"/>
          <w:highlight w:val="none"/>
        </w:rPr>
      </w:pPr>
      <w:bookmarkStart w:id="19" w:name="_Toc430492127"/>
      <w:bookmarkStart w:id="20" w:name="_Toc430490613"/>
      <w:bookmarkStart w:id="21" w:name="_Toc415567498"/>
      <w:bookmarkStart w:id="22" w:name="_Toc430488852"/>
      <w:bookmarkStart w:id="23" w:name="_Toc430489120"/>
      <w:bookmarkStart w:id="24" w:name="_Toc430488645"/>
      <w:bookmarkStart w:id="25" w:name="_Toc430422414"/>
      <w:r>
        <w:rPr>
          <w:rFonts w:hint="eastAsia" w:ascii="宋体" w:hAnsi="宋体" w:eastAsia="宋体"/>
          <w:bCs/>
          <w:color w:val="auto"/>
          <w:sz w:val="28"/>
          <w:szCs w:val="28"/>
          <w:highlight w:val="none"/>
        </w:rPr>
        <w:t>7. 招标文件的修改</w:t>
      </w:r>
      <w:bookmarkEnd w:id="19"/>
      <w:bookmarkEnd w:id="20"/>
      <w:bookmarkEnd w:id="21"/>
      <w:bookmarkEnd w:id="22"/>
      <w:bookmarkEnd w:id="23"/>
      <w:bookmarkEnd w:id="24"/>
      <w:bookmarkEnd w:id="25"/>
    </w:p>
    <w:p>
      <w:pPr>
        <w:pageBreakBefore w:val="0"/>
        <w:widowControl/>
        <w:kinsoku/>
        <w:wordWrap/>
        <w:overflowPunct/>
        <w:topLinePunct w:val="0"/>
        <w:bidi w:val="0"/>
        <w:adjustRightInd w:val="0"/>
        <w:snapToGrid w:val="0"/>
        <w:spacing w:after="0" w:afterLines="0" w:line="480" w:lineRule="exact"/>
        <w:ind w:left="0" w:leftChars="0" w:firstLine="560" w:firstLineChars="200"/>
        <w:textAlignment w:val="auto"/>
        <w:outlineLvl w:val="0"/>
        <w:rPr>
          <w:rFonts w:ascii="宋体" w:hAnsi="宋体" w:eastAsia="宋体"/>
          <w:bCs/>
          <w:color w:val="auto"/>
          <w:sz w:val="28"/>
          <w:szCs w:val="28"/>
          <w:highlight w:val="none"/>
        </w:rPr>
      </w:pPr>
      <w:bookmarkStart w:id="26" w:name="_Toc26433"/>
      <w:r>
        <w:rPr>
          <w:rFonts w:hint="eastAsia" w:ascii="宋体" w:hAnsi="宋体" w:eastAsia="宋体"/>
          <w:bCs/>
          <w:color w:val="auto"/>
          <w:sz w:val="28"/>
          <w:szCs w:val="28"/>
          <w:highlight w:val="none"/>
        </w:rPr>
        <w:t>7.1至投标截止日期前15日（如至原定截止时间不足15日，则需延长开标时间），</w:t>
      </w:r>
      <w:r>
        <w:rPr>
          <w:rFonts w:hint="eastAsia" w:ascii="宋体" w:hAnsi="宋体" w:eastAsia="宋体"/>
          <w:color w:val="auto"/>
          <w:sz w:val="28"/>
          <w:szCs w:val="28"/>
          <w:highlight w:val="none"/>
        </w:rPr>
        <w:t>采购代理机构</w:t>
      </w:r>
      <w:r>
        <w:rPr>
          <w:rFonts w:hint="eastAsia" w:ascii="宋体" w:hAnsi="宋体" w:eastAsia="宋体"/>
          <w:bCs/>
          <w:color w:val="auto"/>
          <w:sz w:val="28"/>
          <w:szCs w:val="28"/>
          <w:highlight w:val="none"/>
        </w:rPr>
        <w:t>可主动或依供应商要求澄清的问题而修改招标文件，应</w:t>
      </w:r>
      <w:r>
        <w:rPr>
          <w:rFonts w:hint="eastAsia" w:ascii="宋体" w:hAnsi="宋体" w:eastAsia="宋体"/>
          <w:color w:val="auto"/>
          <w:sz w:val="28"/>
          <w:szCs w:val="28"/>
          <w:highlight w:val="none"/>
        </w:rPr>
        <w:t>在原信息发布的媒体上发布更正公告</w:t>
      </w:r>
      <w:r>
        <w:rPr>
          <w:rFonts w:hint="eastAsia" w:ascii="宋体" w:hAnsi="宋体" w:eastAsia="宋体"/>
          <w:bCs/>
          <w:color w:val="auto"/>
          <w:sz w:val="28"/>
          <w:szCs w:val="28"/>
          <w:highlight w:val="none"/>
        </w:rPr>
        <w:t>通知所有潜在供应商。</w:t>
      </w:r>
      <w:r>
        <w:rPr>
          <w:rFonts w:hint="eastAsia" w:ascii="宋体" w:hAnsi="宋体" w:eastAsia="宋体"/>
          <w:color w:val="auto"/>
          <w:sz w:val="28"/>
          <w:szCs w:val="28"/>
          <w:highlight w:val="none"/>
        </w:rPr>
        <w:t>该修改内容为招标文件的组成部分，对供应商具有约束力。</w:t>
      </w:r>
      <w:bookmarkEnd w:id="26"/>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三、  投标文件的编写</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8. 要求</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供应商应仔细阅读招标文件的所有内容，按照招标文件的要求提交投标文件。投标文件应对招标文件的要求作出实质性响应，并保证所提供的全部资料的真实性，否则其投标将被拒绝。</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9. 投标文件语言</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投标文件应用中文书写。投标文件中所附或所引用的原件不是中文时，应附中文译本。各种计量单位及符号应采用国际上统一使用的公制计量单位和符号。</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10. 投标文件的组成(详见招标文件投标文件格式</w:t>
      </w:r>
      <w:r>
        <w:rPr>
          <w:rFonts w:hint="eastAsia" w:ascii="宋体" w:hAnsi="宋体" w:eastAsia="宋体"/>
          <w:color w:val="auto"/>
          <w:sz w:val="28"/>
          <w:szCs w:val="28"/>
          <w:highlight w:val="none"/>
          <w:lang w:eastAsia="zh-CN"/>
        </w:rPr>
        <w:t>要求</w:t>
      </w:r>
      <w:r>
        <w:rPr>
          <w:rFonts w:hint="eastAsia" w:ascii="宋体" w:hAnsi="宋体" w:eastAsia="宋体"/>
          <w:color w:val="auto"/>
          <w:sz w:val="28"/>
          <w:szCs w:val="28"/>
          <w:highlight w:val="none"/>
        </w:rPr>
        <w:t>)</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11. 投标有效期</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投标有效期：</w:t>
      </w:r>
      <w:r>
        <w:rPr>
          <w:rFonts w:hint="eastAsia" w:ascii="宋体" w:hAnsi="宋体" w:eastAsia="宋体"/>
          <w:color w:val="auto"/>
          <w:sz w:val="28"/>
          <w:szCs w:val="28"/>
          <w:highlight w:val="none"/>
          <w:lang w:eastAsia="zh-CN"/>
        </w:rPr>
        <w:t>合同签订后60日历天内完成安装调试，并具备生产使用条件</w:t>
      </w:r>
      <w:r>
        <w:rPr>
          <w:rFonts w:hint="eastAsia" w:ascii="宋体" w:hAnsi="宋体" w:eastAsia="宋体"/>
          <w:color w:val="auto"/>
          <w:sz w:val="28"/>
          <w:szCs w:val="28"/>
          <w:highlight w:val="none"/>
        </w:rPr>
        <w:t>(指本次采购项目递交投标文件截止之日起)。</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12. 投标报价</w:t>
      </w:r>
    </w:p>
    <w:p>
      <w:pPr>
        <w:pageBreakBefore w:val="0"/>
        <w:widowControl/>
        <w:kinsoku/>
        <w:wordWrap/>
        <w:overflowPunct/>
        <w:topLinePunct w:val="0"/>
        <w:autoSpaceDE w:val="0"/>
        <w:autoSpaceDN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12.1本项目采购金额一定,要求各</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报出投标单价,应把货物原价、运输装卸费、技术服务费、税收、等考虑在报价内。</w:t>
      </w:r>
    </w:p>
    <w:p>
      <w:pPr>
        <w:keepNext w:val="0"/>
        <w:keepLines w:val="0"/>
        <w:pageBreakBefore w:val="0"/>
        <w:widowControl/>
        <w:kinsoku/>
        <w:wordWrap/>
        <w:overflowPunct/>
        <w:topLinePunct w:val="0"/>
        <w:autoSpaceDE w:val="0"/>
        <w:autoSpaceDN w:val="0"/>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12.2投标报价应在招标文件所附的“报价一览表”上写明投标项目的单价和投标总价。如果单价与总价有出入，以单价为准。货物只能有一种报价，招标方不接受多种方案和报价的投标。</w:t>
      </w:r>
    </w:p>
    <w:p>
      <w:pPr>
        <w:keepNext w:val="0"/>
        <w:keepLines w:val="0"/>
        <w:pageBreakBefore w:val="0"/>
        <w:widowControl/>
        <w:kinsoku/>
        <w:wordWrap/>
        <w:overflowPunct/>
        <w:topLinePunct w:val="0"/>
        <w:autoSpaceDE w:val="0"/>
        <w:autoSpaceDN w:val="0"/>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12.3投标必须以人民币报价，投标报价在开标后不得修改。</w:t>
      </w:r>
    </w:p>
    <w:p>
      <w:pPr>
        <w:keepNext w:val="0"/>
        <w:keepLines w:val="0"/>
        <w:pageBreakBefore w:val="0"/>
        <w:widowControl/>
        <w:kinsoku/>
        <w:wordWrap/>
        <w:overflowPunct/>
        <w:topLinePunct w:val="0"/>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 投标文件的格式</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840" w:firstLineChars="3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14.1供应商的投标文件按照本须知第10条规定文件编制。</w:t>
      </w:r>
    </w:p>
    <w:p>
      <w:pPr>
        <w:keepNext w:val="0"/>
        <w:keepLines w:val="0"/>
        <w:pageBreakBefore w:val="0"/>
        <w:widowControl/>
        <w:kinsoku/>
        <w:wordWrap/>
        <w:overflowPunct/>
        <w:topLinePunct w:val="0"/>
        <w:autoSpaceDE/>
        <w:autoSpaceDN/>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14.2投标文件应由供应商的法定代表人或者其授权代表签字并加盖公章，如由后者签字，应提供“法定代表人授权委托书”。</w:t>
      </w:r>
    </w:p>
    <w:p>
      <w:pPr>
        <w:keepNext w:val="0"/>
        <w:keepLines w:val="0"/>
        <w:pageBreakBefore w:val="0"/>
        <w:widowControl/>
        <w:kinsoku/>
        <w:wordWrap/>
        <w:overflowPunct/>
        <w:topLinePunct w:val="0"/>
        <w:autoSpaceDE/>
        <w:autoSpaceDN/>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14.3除非有另外的规定或许可，投标使用货币为人民币。</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14.4供应商应提交证明其拟供货物符合招标文件要求的技术投标文件，该文件可以是文字资料、图纸和数据，并须提供货物主要技术性能的详细描述。                                  </w:t>
      </w:r>
    </w:p>
    <w:p>
      <w:pPr>
        <w:keepNext w:val="0"/>
        <w:keepLines w:val="0"/>
        <w:pageBreakBefore w:val="0"/>
        <w:widowControl/>
        <w:kinsoku/>
        <w:wordWrap/>
        <w:overflowPunct/>
        <w:topLinePunct w:val="0"/>
        <w:autoSpaceDE/>
        <w:autoSpaceDN/>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14.5未按本须知规定的格式填写投标文件、投标文件字迹模糊不清的，其投标将被拒绝。</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四、 投标文件的递交</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15.1本项目为电子化、无纸化交易项目，投标文件是供应商通过</w:t>
      </w:r>
      <w:r>
        <w:rPr>
          <w:rFonts w:hint="eastAsia" w:ascii="宋体" w:hAnsi="宋体" w:eastAsia="宋体"/>
          <w:b/>
          <w:color w:val="auto"/>
          <w:sz w:val="28"/>
          <w:szCs w:val="28"/>
          <w:highlight w:val="none"/>
        </w:rPr>
        <w:t>中心投标文件制作系统制作，并经过电子签章和加密后生成的电子版投标文件</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投标时，将不再接受任何纸质文件资料。</w:t>
      </w:r>
    </w:p>
    <w:p>
      <w:pPr>
        <w:pageBreakBefore w:val="0"/>
        <w:widowControl/>
        <w:kinsoku/>
        <w:wordWrap/>
        <w:overflowPunct/>
        <w:topLinePunct w:val="0"/>
        <w:autoSpaceDE/>
        <w:autoSpaceDN/>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15.2在规定时间内，上传投标文件至三门峡市公共资源交易中心平台，电子化投标文件具体制作教材请</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通过CA证书登录三门峡市公共资源电子化交易系统在 “组建下载”中查看。电子化投标文件应在投标截止时间前成功上传至三门峡市公共资源电子化交易系统。至投标截止时间止，仍未上传成功的电子化投标文件将不予接收。</w:t>
      </w:r>
    </w:p>
    <w:p>
      <w:pPr>
        <w:pageBreakBefore w:val="0"/>
        <w:widowControl/>
        <w:kinsoku/>
        <w:wordWrap/>
        <w:overflowPunct/>
        <w:topLinePunct w:val="0"/>
        <w:autoSpaceDE/>
        <w:autoSpaceDN/>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电子化投标文件未在投标截止时间前成功上传的，其投标文件不予接收。</w:t>
      </w:r>
    </w:p>
    <w:p>
      <w:pPr>
        <w:pStyle w:val="3"/>
        <w:pageBreakBefore w:val="0"/>
        <w:widowControl/>
        <w:numPr>
          <w:ilvl w:val="0"/>
          <w:numId w:val="0"/>
        </w:numPr>
        <w:tabs>
          <w:tab w:val="left" w:pos="420"/>
          <w:tab w:val="left" w:pos="1260"/>
        </w:tabs>
        <w:kinsoku/>
        <w:wordWrap/>
        <w:overflowPunct/>
        <w:topLinePunct w:val="0"/>
        <w:autoSpaceDE/>
        <w:autoSpaceDN/>
        <w:bidi w:val="0"/>
        <w:snapToGrid/>
        <w:spacing w:before="0" w:beforeLines="0" w:after="0" w:afterLines="0" w:line="480" w:lineRule="exact"/>
        <w:ind w:left="0" w:leftChars="0" w:firstLine="562" w:firstLineChars="200"/>
        <w:jc w:val="left"/>
        <w:textAlignment w:val="baseline"/>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 xml:space="preserve">技术联系电话： </w:t>
      </w:r>
      <w:r>
        <w:rPr>
          <w:rFonts w:hint="eastAsia" w:ascii="宋体" w:hAnsi="宋体"/>
          <w:color w:val="auto"/>
          <w:sz w:val="28"/>
          <w:szCs w:val="28"/>
          <w:highlight w:val="none"/>
          <w:lang w:val="en-US" w:eastAsia="zh-CN"/>
        </w:rPr>
        <w:t>400 998 0000</w:t>
      </w:r>
    </w:p>
    <w:p>
      <w:pPr>
        <w:pageBreakBefore w:val="0"/>
        <w:widowControl/>
        <w:kinsoku/>
        <w:wordWrap/>
        <w:overflowPunct/>
        <w:topLinePunct w:val="0"/>
        <w:autoSpaceDE/>
        <w:autoSpaceDN/>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15.3、投标截止时间</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投标文件的截止时间见本须知前附表规定。采购人可按本须知第 8 条规定以修改补充通知的方式，酌情延长递交投标文件的截止时间。在此情况下，投标供应商的所有权利和义务以及投标供应商受制约的截止时间，均以延长后新的投标截止时间为准。到投标截止时间止，采购人收到的投标文件少于 3 家的，采购人将依法重新组织招标。</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15.4迟交的投标文件及投标文件的补充、修改与撤回</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15.5逾期上传并签到的投标文件，采购人不予受理。</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15.6在投标截止时间前，</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可以修改或撤回已递交的投标文件。修改的内容为投标文件的组成部分。</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15.7在投标截止时间之后，投标供应商不得补充、修改投标文件。</w:t>
      </w:r>
    </w:p>
    <w:p>
      <w:pPr>
        <w:pageBreakBefore w:val="0"/>
        <w:widowControl/>
        <w:kinsoku/>
        <w:wordWrap/>
        <w:overflowPunct/>
        <w:topLinePunct w:val="0"/>
        <w:bidi w:val="0"/>
        <w:spacing w:after="0" w:afterLines="0" w:line="480" w:lineRule="exact"/>
        <w:ind w:left="0" w:leftChars="0" w:firstLine="560" w:firstLineChars="200"/>
        <w:rPr>
          <w:color w:val="auto"/>
          <w:sz w:val="28"/>
          <w:szCs w:val="28"/>
          <w:highlight w:val="none"/>
        </w:rPr>
      </w:pPr>
      <w:r>
        <w:rPr>
          <w:rFonts w:hint="eastAsia" w:ascii="宋体" w:hAnsi="宋体" w:eastAsia="宋体"/>
          <w:color w:val="auto"/>
          <w:sz w:val="28"/>
          <w:szCs w:val="28"/>
          <w:highlight w:val="none"/>
        </w:rPr>
        <w:t>15.8除</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须知前附表另有规定外，</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所递交的投标文件不予退还。</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五、  投标文件的评估和比较</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16．开标、评标时间</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16.1 在供应商须知前附表中所规定的时间、地点公开开标。</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16.2开标由采购代理机构主持，开标当日，供应商无需到开标现场参加开标会议，供应商应当在投标截止时间前，登陆不见面开标大厅选择登陆三门峡市公共资源电子招投标系统进行登陆http://120.194.249.36:10094/BidOpening/bidopeninghallaction/hall/login）,在线准时参加开标活动并进行投标文件解密等。因</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原因未能解密、解密失败或解密超时的将被拒绝。</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16.2.1 在开标时间前撤回的投标文件不予解密，并退回给投标供应商；按本须知第16.5.1条规定确定为无效的投标文件，不予送交评审。</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16.3 开标时，在监督单位的监督下，对各供应商的投标文件进行解密，由唱标人宣唱并记录各供应商的报价。</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16.4 开标程序：</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主持人按下列程序进行开标：</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（1）宣布开标纪律；</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（2）公布在投标截止时间前递交投标文件的投标供应商名称；</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（3）宣布开标人、唱标人、记录人、监标人等有关人员姓名；</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（4）电子化投标文件解密；</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（5）按照解密的逆顺序当众唱标，公布投标供应商名称、项目名称、投标报价等其他采购人认为有必要宣读的内容；</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（6）开标结束。</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16.5投标文件的有效性</w:t>
      </w:r>
    </w:p>
    <w:p>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16.5.1 投标文件有下列情形之一的为无效投标文件，采购人不予受理：</w:t>
      </w:r>
    </w:p>
    <w:p>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1</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投标供应商资格条件不符合国家有关规定和招标文件要求的；</w:t>
      </w:r>
    </w:p>
    <w:p>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2</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没有按照招标文件要求提供投标承诺函；</w:t>
      </w:r>
    </w:p>
    <w:p>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3</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电子化投标文件附有采购人不能接受的条件的；</w:t>
      </w:r>
    </w:p>
    <w:p>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4</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投标报价低于成本、高于招标文件设定的最高投标限价；</w:t>
      </w:r>
    </w:p>
    <w:p>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5</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以他人的名义投标、串通投标、以行贿手段谋取中标或者以其他弄虚作假方式投标的；</w:t>
      </w:r>
    </w:p>
    <w:p>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6</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采取不正当手段谋取中标的；</w:t>
      </w:r>
    </w:p>
    <w:p>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7</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法律、法规规定的其他情况。</w:t>
      </w:r>
    </w:p>
    <w:p>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16.5.2</w:t>
      </w:r>
      <w:r>
        <w:rPr>
          <w:rFonts w:hint="eastAsia" w:ascii="宋体" w:hAnsi="宋体" w:eastAsia="宋体"/>
          <w:color w:val="auto"/>
          <w:sz w:val="28"/>
          <w:szCs w:val="28"/>
          <w:highlight w:val="none"/>
        </w:rPr>
        <w:t>有下列情形之一的，视为供应商串通投标</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其投标无效：</w:t>
      </w:r>
    </w:p>
    <w:p>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1</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不同供应商的投标文件由同一单位或者个人编制；</w:t>
      </w:r>
    </w:p>
    <w:p>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2）</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 xml:space="preserve"> 不同供应商委托同一单位或者个人办理投标事宜；</w:t>
      </w:r>
    </w:p>
    <w:p>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 xml:space="preserve"> 不同供应商的投标文件载明的项目管理成员或者联系人员为同一人；</w:t>
      </w:r>
    </w:p>
    <w:p>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（4）</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 xml:space="preserve"> 不同供应商的投标文件异常一致或者投标报价呈规律性差异；</w:t>
      </w:r>
    </w:p>
    <w:p>
      <w:pPr>
        <w:pageBreakBefore w:val="0"/>
        <w:widowControl/>
        <w:tabs>
          <w:tab w:val="left" w:pos="3330"/>
        </w:tabs>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17．评标委员会</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17.1采购代理机构根据招标货物和服务的特点依法组建负责本次招标的评标工作的临时机构。评标委员会由技术、经济方面的专家和采购人代表组成</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成员为</w:t>
      </w:r>
      <w:r>
        <w:rPr>
          <w:rFonts w:hint="eastAsia" w:ascii="宋体" w:hAnsi="宋体" w:eastAsia="宋体"/>
          <w:color w:val="auto"/>
          <w:sz w:val="28"/>
          <w:szCs w:val="28"/>
          <w:highlight w:val="none"/>
          <w:lang w:val="en-US" w:eastAsia="zh-CN"/>
        </w:rPr>
        <w:t>7</w:t>
      </w:r>
      <w:r>
        <w:rPr>
          <w:rFonts w:hint="eastAsia" w:ascii="宋体" w:hAnsi="宋体" w:eastAsia="宋体"/>
          <w:color w:val="auto"/>
          <w:sz w:val="28"/>
          <w:szCs w:val="28"/>
          <w:highlight w:val="none"/>
        </w:rPr>
        <w:t>人以上单数组成，专家不能少于三分之二。评标委员会构成：</w:t>
      </w:r>
      <w:r>
        <w:rPr>
          <w:rFonts w:hint="eastAsia" w:ascii="宋体" w:hAnsi="宋体" w:eastAsia="宋体"/>
          <w:color w:val="auto"/>
          <w:sz w:val="28"/>
          <w:szCs w:val="28"/>
          <w:highlight w:val="none"/>
          <w:lang w:val="en-US" w:eastAsia="zh-CN"/>
        </w:rPr>
        <w:t>7</w:t>
      </w:r>
      <w:r>
        <w:rPr>
          <w:rFonts w:hint="eastAsia" w:ascii="宋体" w:hAnsi="宋体" w:eastAsia="宋体"/>
          <w:color w:val="auto"/>
          <w:sz w:val="28"/>
          <w:szCs w:val="28"/>
          <w:highlight w:val="none"/>
        </w:rPr>
        <w:t>人，其中采购人代表</w:t>
      </w:r>
      <w:r>
        <w:rPr>
          <w:rFonts w:hint="eastAsia" w:ascii="宋体" w:hAnsi="宋体" w:eastAsia="宋体"/>
          <w:color w:val="auto"/>
          <w:sz w:val="28"/>
          <w:szCs w:val="28"/>
          <w:highlight w:val="none"/>
          <w:lang w:val="en-US" w:eastAsia="zh-CN"/>
        </w:rPr>
        <w:t>2</w:t>
      </w:r>
      <w:r>
        <w:rPr>
          <w:rFonts w:hint="eastAsia" w:ascii="宋体" w:hAnsi="宋体" w:eastAsia="宋体"/>
          <w:color w:val="auto"/>
          <w:sz w:val="28"/>
          <w:szCs w:val="28"/>
          <w:highlight w:val="none"/>
        </w:rPr>
        <w:t>人，其余相关经济、技术专家</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人，</w:t>
      </w:r>
      <w:r>
        <w:rPr>
          <w:rFonts w:hint="eastAsia" w:ascii="宋体" w:hAnsi="宋体" w:eastAsia="宋体"/>
          <w:color w:val="auto"/>
          <w:sz w:val="28"/>
          <w:szCs w:val="28"/>
          <w:highlight w:val="none"/>
          <w:lang w:eastAsia="zh-CN"/>
        </w:rPr>
        <w:t>开标后</w:t>
      </w:r>
      <w:r>
        <w:rPr>
          <w:rFonts w:hint="eastAsia" w:ascii="宋体" w:hAnsi="宋体" w:eastAsia="宋体"/>
          <w:color w:val="auto"/>
          <w:sz w:val="28"/>
          <w:szCs w:val="28"/>
          <w:highlight w:val="none"/>
          <w:lang w:val="en-US" w:eastAsia="zh-CN"/>
        </w:rPr>
        <w:t>在渑池县抽取</w:t>
      </w:r>
      <w:r>
        <w:rPr>
          <w:rFonts w:hint="eastAsia" w:ascii="宋体" w:hAnsi="宋体" w:eastAsia="宋体"/>
          <w:color w:val="auto"/>
          <w:sz w:val="28"/>
          <w:szCs w:val="28"/>
          <w:highlight w:val="none"/>
          <w:lang w:eastAsia="zh-CN"/>
        </w:rPr>
        <w:t>终端</w:t>
      </w:r>
      <w:r>
        <w:rPr>
          <w:rFonts w:hint="eastAsia" w:ascii="宋体" w:hAnsi="宋体" w:eastAsia="宋体"/>
          <w:color w:val="auto"/>
          <w:sz w:val="28"/>
          <w:szCs w:val="28"/>
          <w:highlight w:val="none"/>
          <w:lang w:val="en-US" w:eastAsia="zh-CN"/>
        </w:rPr>
        <w:t>通过河南省政府采购评审专家库</w:t>
      </w:r>
      <w:r>
        <w:rPr>
          <w:rFonts w:hint="eastAsia" w:ascii="宋体" w:hAnsi="宋体" w:eastAsia="宋体"/>
          <w:color w:val="auto"/>
          <w:sz w:val="28"/>
          <w:szCs w:val="28"/>
          <w:highlight w:val="none"/>
        </w:rPr>
        <w:t>中随机抽取。评标专家确定方</w:t>
      </w:r>
      <w:r>
        <w:rPr>
          <w:rFonts w:hint="eastAsia" w:ascii="宋体" w:hAnsi="宋体" w:eastAsia="宋体"/>
          <w:color w:val="auto"/>
          <w:sz w:val="28"/>
          <w:szCs w:val="28"/>
          <w:highlight w:val="none"/>
          <w:lang w:eastAsia="zh-CN"/>
        </w:rPr>
        <w:t>法</w:t>
      </w:r>
      <w:r>
        <w:rPr>
          <w:rFonts w:hint="eastAsia" w:ascii="宋体" w:hAnsi="宋体" w:eastAsia="宋体"/>
          <w:color w:val="auto"/>
          <w:sz w:val="28"/>
          <w:szCs w:val="28"/>
          <w:highlight w:val="none"/>
        </w:rPr>
        <w:t>：评标专家库随机抽取</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在开标后由评标委员会对投标文件进行审查、质疑、评估和比较</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推荐中标候选人数。</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18. 投标文件的初审</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对所有供应商的评估，都采用相同的程序和标准。评标过程将严格按照招标文件的要求和条件进行。</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有关投标文件的审查、澄清、评估和比较以及推荐中标候选人的一切情况都不得透露给任一供应商或与上述评标工作无关的人员。</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供应商任何试图影响评委会对投标文件的评估、比较或者推荐候选人的行为，都将导致其投标被拒绝。</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18.1评委会将对投标文件进行检查，以确定投标文件是否完整、有无计算上的错误、文件是否已正确签署。 </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18.2 算术错误将按以下方法更正：</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(1)投标文件中开标一览表(报价表)内容与投标文件中明细表内容不一致的，以开标一览表(报价表)为准。</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投标文件的大写金额和小写金额不一致的，以大写金额为准；总价金额与报单价汇总金额不一致的，以单价金额计算结果为准；单价金额小数点有明显错位的，应以总价为准，并修改单价；对不同文字文本投标文件的解释发生异议的，以中文文本为准。</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如果供应商不接受按上述方法对投标文件中的算术错误进行更正，其投标将被拒绝。</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19. 评标原则和评标办法</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19.1评标原则:评标委员会必须公平、公正，不带任何倾向性和启发性；不得向外界透露任何与评标有关的内容；任何单位和个人不得干扰、影响评标昀正常进行；评标委员会及有关工作人员不得私下与供应商接触。</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19.2评标办法:本项目评标办法是综合评分法，具体评标内容及评分标准等详见第四章：评标办法及评分标准。</w:t>
      </w:r>
    </w:p>
    <w:p>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六、  定标与签订合同</w:t>
      </w:r>
    </w:p>
    <w:p>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20. 中标通知</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20.1  评标结束后，采购人和其委托的采购代理机构，在政府采购项目评审结束</w:t>
      </w:r>
      <w:r>
        <w:rPr>
          <w:rFonts w:hint="eastAsia" w:ascii="宋体" w:hAnsi="宋体" w:eastAsia="宋体"/>
          <w:color w:val="auto"/>
          <w:sz w:val="28"/>
          <w:szCs w:val="28"/>
          <w:highlight w:val="none"/>
          <w:lang w:eastAsia="zh-CN"/>
        </w:rPr>
        <w:t>当</w:t>
      </w:r>
      <w:r>
        <w:rPr>
          <w:rFonts w:hint="eastAsia" w:ascii="宋体" w:hAnsi="宋体" w:eastAsia="宋体"/>
          <w:color w:val="auto"/>
          <w:sz w:val="28"/>
          <w:szCs w:val="28"/>
          <w:highlight w:val="none"/>
        </w:rPr>
        <w:t>日内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20.2《中标通知书》将作为签订合同的依据。《合同》签订后，《中标通知书》成为《合同》的一部分。</w:t>
      </w:r>
    </w:p>
    <w:p>
      <w:pPr>
        <w:pageBreakBefore w:val="0"/>
        <w:widowControl/>
        <w:kinsoku/>
        <w:wordWrap/>
        <w:overflowPunct/>
        <w:topLinePunct w:val="0"/>
        <w:bidi w:val="0"/>
        <w:spacing w:after="0" w:afterLines="0" w:line="480" w:lineRule="exact"/>
        <w:ind w:left="0" w:leftChars="0"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20.3招标代理服务收费参照豫招协[2023]002号河南省招标投标协会关于印发《河南省招标代理服务收费指导意见》规定的收费标准收取中标服务费。河南省招标代理服务费计算标准</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21.签订合同</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21.1采购人、中标供应商在《中标通知书》发出之日起在</w:t>
      </w:r>
      <w:r>
        <w:rPr>
          <w:rFonts w:hint="eastAsia" w:ascii="宋体" w:hAnsi="宋体" w:eastAsia="宋体"/>
          <w:color w:val="auto"/>
          <w:sz w:val="28"/>
          <w:szCs w:val="28"/>
          <w:highlight w:val="none"/>
          <w:lang w:val="en-US" w:eastAsia="zh-CN"/>
        </w:rPr>
        <w:t>1</w:t>
      </w:r>
      <w:r>
        <w:rPr>
          <w:rFonts w:hint="eastAsia" w:ascii="宋体" w:hAnsi="宋体" w:eastAsia="宋体"/>
          <w:color w:val="auto"/>
          <w:sz w:val="28"/>
          <w:szCs w:val="28"/>
          <w:highlight w:val="none"/>
        </w:rPr>
        <w:t>个工作日，根据招标文件确定的事项和中标供应商投标文件签订合同</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合同签订后</w:t>
      </w:r>
      <w:r>
        <w:rPr>
          <w:rFonts w:hint="eastAsia" w:ascii="宋体" w:hAnsi="宋体" w:eastAsia="宋体"/>
          <w:color w:val="auto"/>
          <w:sz w:val="28"/>
          <w:szCs w:val="28"/>
          <w:highlight w:val="none"/>
          <w:lang w:val="en-US" w:eastAsia="zh-CN"/>
        </w:rPr>
        <w:t>2</w:t>
      </w:r>
      <w:r>
        <w:rPr>
          <w:rFonts w:hint="eastAsia" w:ascii="宋体" w:hAnsi="宋体" w:eastAsia="宋体"/>
          <w:color w:val="auto"/>
          <w:sz w:val="28"/>
          <w:szCs w:val="28"/>
          <w:highlight w:val="none"/>
        </w:rPr>
        <w:t>个工作日内在河南省政府采购网上发布公告并完成合同备案。双方所签订的合同不得对招标文件和中标供应商投标文件作实质性修改。逾期未签订合同，按照有关法律规定承担相应的法律责任；</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21.2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pPr>
        <w:pStyle w:val="12"/>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hint="eastAsia" w:eastAsia="宋体"/>
          <w:color w:val="auto"/>
          <w:sz w:val="28"/>
          <w:szCs w:val="28"/>
          <w:highlight w:val="none"/>
          <w:lang w:eastAsia="zh-CN"/>
        </w:rPr>
      </w:pPr>
      <w:r>
        <w:rPr>
          <w:rFonts w:hint="eastAsia" w:ascii="宋体" w:hAnsi="宋体" w:eastAsia="宋体"/>
          <w:color w:val="auto"/>
          <w:sz w:val="28"/>
          <w:szCs w:val="28"/>
          <w:highlight w:val="none"/>
        </w:rPr>
        <w:t>21.</w:t>
      </w:r>
      <w:r>
        <w:rPr>
          <w:rFonts w:hint="eastAsia" w:ascii="宋体" w:hAnsi="宋体" w:eastAsia="宋体"/>
          <w:color w:val="auto"/>
          <w:sz w:val="28"/>
          <w:szCs w:val="28"/>
          <w:highlight w:val="none"/>
          <w:lang w:val="en-US" w:eastAsia="zh-CN"/>
        </w:rPr>
        <w:t>3</w:t>
      </w:r>
      <w:r>
        <w:rPr>
          <w:rFonts w:hint="eastAsia" w:ascii="宋体" w:hAnsi="宋体" w:eastAsia="宋体"/>
          <w:color w:val="auto"/>
          <w:sz w:val="28"/>
          <w:szCs w:val="28"/>
          <w:highlight w:val="none"/>
        </w:rPr>
        <w:t>付款方式变动，以双方</w:t>
      </w:r>
      <w:r>
        <w:rPr>
          <w:rFonts w:hint="eastAsia" w:ascii="宋体" w:hAnsi="宋体" w:eastAsia="宋体"/>
          <w:color w:val="auto"/>
          <w:sz w:val="28"/>
          <w:szCs w:val="28"/>
          <w:highlight w:val="none"/>
          <w:lang w:val="en-US" w:eastAsia="zh-CN"/>
        </w:rPr>
        <w:t>最终</w:t>
      </w:r>
      <w:r>
        <w:rPr>
          <w:rFonts w:hint="eastAsia" w:ascii="宋体" w:hAnsi="宋体" w:eastAsia="宋体"/>
          <w:color w:val="auto"/>
          <w:sz w:val="28"/>
          <w:szCs w:val="28"/>
          <w:highlight w:val="none"/>
        </w:rPr>
        <w:t>签订的合同条款为准</w:t>
      </w:r>
      <w:r>
        <w:rPr>
          <w:rFonts w:hint="eastAsia" w:ascii="宋体" w:hAnsi="宋体" w:eastAsia="宋体"/>
          <w:color w:val="auto"/>
          <w:sz w:val="28"/>
          <w:szCs w:val="28"/>
          <w:highlight w:val="none"/>
          <w:lang w:eastAsia="zh-CN"/>
        </w:rPr>
        <w:t>。</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22．质疑与投诉</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供应商认为招标文件、采购过程、中标结果使自己的合法权益受到损害的，应当首先依法向</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提出质疑。</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22.1 必须以书面形式提出质疑并陈述质疑的事实与理由；</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22.2 必须在规定时间内提出质疑：</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22.3 对招标文件的质疑应在收到采购文件之日或者采购文件公告期限届满之日前提出，过期不再接受针对招标文件的质疑；</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22.4 对采购过程的质疑，应自</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宣布中标候选人七个工作日内提出；</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22.5 对中标、成交结果的质疑，应自</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书面或口头等形式通知中标结果之日起七个工作日内提出；</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b/>
          <w:color w:val="auto"/>
          <w:sz w:val="28"/>
          <w:szCs w:val="28"/>
          <w:highlight w:val="none"/>
        </w:rPr>
      </w:pPr>
      <w:r>
        <w:rPr>
          <w:rFonts w:hint="eastAsia" w:ascii="宋体" w:hAnsi="宋体" w:eastAsia="宋体"/>
          <w:color w:val="auto"/>
          <w:sz w:val="28"/>
          <w:szCs w:val="28"/>
          <w:highlight w:val="none"/>
        </w:rPr>
        <w:t>供应商对</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的质疑答复内容不满意，或者</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未在规定期限内作出答复的，供应商可在答复期满后十五个工作日内，按《政府采购供应商投诉处理办法》的规定进行投诉。</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23.纪律和监督</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bookmarkStart w:id="27" w:name="_bookmark68"/>
      <w:bookmarkEnd w:id="27"/>
      <w:r>
        <w:rPr>
          <w:rFonts w:hint="eastAsia" w:ascii="宋体" w:hAnsi="宋体" w:eastAsia="宋体"/>
          <w:color w:val="auto"/>
          <w:sz w:val="28"/>
          <w:szCs w:val="28"/>
          <w:highlight w:val="none"/>
        </w:rPr>
        <w:t>23.1对采购人的纪律要求</w:t>
      </w:r>
    </w:p>
    <w:p>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采购人不得泄露招标投标活动中应当保密的情况和资料，不得与供应商串通损害国家利益、社会公共利益或者他人合法权益。</w:t>
      </w:r>
      <w:bookmarkStart w:id="28" w:name="_bookmark69"/>
      <w:bookmarkEnd w:id="28"/>
    </w:p>
    <w:p>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23.2 对供应商的纪律要求</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（1）供应商不得相互串通投标或者与采购人串通投标，</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（2）不得向采购人或者评标委员会成员行贿谋取中标，</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（3）不得以他人名义投标或者以其他方式弄虚作假骗取中标，</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（4）不得恶意低价抢标；</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（5）供应商不得以任何方式干扰、影响评标工作。</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（6）不得向采购人提出不合理的要求作为签订合同的条件；</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（7）不得无正当理由放弃中标或中标后拒绝与采购人签订合同；</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（8）不得恶意诋毁其他供应商、采购人或采购代理机构；</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（9）在参与政府采购活动中，不得有其他违法违规行为。 </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23.3对评标委员会成员的纪律要求</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（1）确定参与评标至评标结束前，不得私自接触供应商；</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（2）不得接受供应商提出的与投标文件不一致的澄清和说明；</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（3）不得征询采购人的倾向性意见；</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（7）不得对主观评审因素协商评分；</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（8）不得对客观评审因素评分不一致；</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（6）评标委员会成员不得接受供应商、采购人和采购代理机构等他人的贿赂或者其他不正当利益；</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（7）不得以不合理的条件对供应商实行差别待遇或者歧视待遇，排斥其他供应商公平参与竞争；</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（8）不得诱导、干预或影响其他评标专家依法依规独立评标；</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（9）在评标活动中，评标委员会成员不得擅离职守，影响评标工作正常进行；</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（10）不得记录、复制或带走任何评标资料；</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（11）不得泄露评标过程中获悉的对投标文件的评审和比较、中标候选人的推荐情况以及与评标有关的应当保密的情况和资料；</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（12）评标委员会成员与供应商存在利害关系应当回避；</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（13）在参与政府采购评标活动中，不得有其他违法违规行为。 </w:t>
      </w:r>
      <w:bookmarkStart w:id="29" w:name="_bookmark71"/>
      <w:bookmarkEnd w:id="29"/>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23.4 对与评标活动有关的工作人员的纪律要求</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b/>
          <w:color w:val="auto"/>
          <w:sz w:val="28"/>
          <w:szCs w:val="28"/>
          <w:highlight w:val="none"/>
        </w:rPr>
      </w:pPr>
      <w:r>
        <w:rPr>
          <w:rFonts w:hint="eastAsia" w:ascii="宋体" w:hAnsi="宋体" w:eastAsia="宋体"/>
          <w:color w:val="auto"/>
          <w:sz w:val="28"/>
          <w:szCs w:val="28"/>
          <w:highlight w:val="none"/>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bookmarkStart w:id="30" w:name="_bookmark72"/>
      <w:bookmarkEnd w:id="30"/>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 需要补充的其他内容</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 评标过程的保密</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24.1.1开标后，直至授予中标人合同为止，凡属于对投标文件的审查、澄清、评价和比较有关的资料，中标候选人的推荐情况，及其他任何与评标有关的情况均应严格保密。</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24.1.2在投标文件的评审和比较、中标候选人推荐以及授予合同的过程中，供应商向采购人和评标委员会施加影响的任何行为，都将会导致其投标被拒绝。</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24.1.3中标人确定后，采购人不对未中标单位就评标过程以及未能中标原因作出任何解释。未中标人不得向评标委员会组成人员或其他有关人员索问评标过程的情况和材料。</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24.2 未尽事宜按国家有关规定执行。</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24.3 本招标文件最终解释权归采购人。</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24.4 需要补充的其他内容：见供应商须知前附表。</w:t>
      </w:r>
    </w:p>
    <w:p>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hint="eastAsia" w:ascii="宋体" w:hAnsi="宋体" w:eastAsia="宋体"/>
          <w:color w:val="auto"/>
          <w:sz w:val="28"/>
          <w:szCs w:val="28"/>
          <w:highlight w:val="none"/>
          <w:lang w:val="en-US" w:eastAsia="zh-CN"/>
        </w:rPr>
        <w:sectPr>
          <w:pgSz w:w="11906" w:h="16838"/>
          <w:pgMar w:top="1160" w:right="1372" w:bottom="1151" w:left="1360" w:header="851" w:footer="992" w:gutter="0"/>
          <w:pgNumType w:fmt="decimal"/>
          <w:cols w:space="720" w:num="1"/>
          <w:docGrid w:type="lines" w:linePitch="312" w:charSpace="0"/>
        </w:sectPr>
      </w:pPr>
      <w:r>
        <w:rPr>
          <w:rFonts w:hint="eastAsia" w:ascii="宋体" w:hAnsi="宋体" w:eastAsia="宋体"/>
          <w:color w:val="auto"/>
          <w:sz w:val="28"/>
          <w:szCs w:val="28"/>
          <w:highlight w:val="none"/>
          <w:lang w:val="en-US" w:eastAsia="zh-CN"/>
        </w:rPr>
        <w:t>24.5</w:t>
      </w:r>
      <w:r>
        <w:rPr>
          <w:rFonts w:hint="eastAsia" w:ascii="宋体" w:hAnsi="宋体" w:eastAsia="宋体"/>
          <w:color w:val="auto"/>
          <w:sz w:val="28"/>
          <w:szCs w:val="28"/>
          <w:highlight w:val="none"/>
        </w:rPr>
        <w:t>本项目支持河南省政府采购合同融资政策，具体内容详见附件4</w:t>
      </w:r>
      <w:r>
        <w:rPr>
          <w:rFonts w:hint="eastAsia" w:ascii="宋体" w:hAnsi="宋体" w:eastAsia="宋体"/>
          <w:color w:val="auto"/>
          <w:sz w:val="28"/>
          <w:szCs w:val="28"/>
          <w:highlight w:val="none"/>
          <w:lang w:val="en-US" w:eastAsia="zh-CN"/>
        </w:rPr>
        <w:t xml:space="preserve"> </w:t>
      </w:r>
    </w:p>
    <w:p>
      <w:pPr>
        <w:numPr>
          <w:ilvl w:val="0"/>
          <w:numId w:val="0"/>
        </w:numPr>
        <w:jc w:val="center"/>
        <w:rPr>
          <w:rFonts w:hint="eastAsia" w:asciiTheme="minorEastAsia" w:hAnsiTheme="minorEastAsia" w:eastAsiaTheme="minorEastAsia"/>
          <w:b/>
          <w:bCs/>
          <w:color w:val="auto"/>
          <w:kern w:val="0"/>
          <w:sz w:val="44"/>
          <w:szCs w:val="44"/>
          <w:highlight w:val="none"/>
          <w:lang w:eastAsia="zh-CN"/>
        </w:rPr>
      </w:pPr>
      <w:r>
        <w:rPr>
          <w:rFonts w:hint="eastAsia" w:ascii="黑体" w:hAnsi="黑体" w:eastAsia="黑体" w:cs="黑体"/>
          <w:color w:val="auto"/>
          <w:sz w:val="36"/>
          <w:szCs w:val="36"/>
          <w:highlight w:val="none"/>
          <w:lang w:val="en-US" w:eastAsia="zh-CN"/>
        </w:rPr>
        <w:t>第三章 渑池县果园乡电子束灭菌设备采购项目技术参数（详细参数见附件）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b/>
          <w:bCs/>
          <w:color w:val="auto"/>
          <w:kern w:val="0"/>
          <w:sz w:val="36"/>
          <w:szCs w:val="36"/>
          <w:highlight w:val="none"/>
        </w:rPr>
      </w:pPr>
      <w:bookmarkStart w:id="31" w:name="_Toc5518"/>
      <w:bookmarkStart w:id="32" w:name="_Toc2701"/>
      <w:bookmarkStart w:id="33" w:name="_Toc27130"/>
      <w:bookmarkStart w:id="34" w:name="_Toc20233"/>
    </w:p>
    <w:p>
      <w:pPr>
        <w:bidi w:val="0"/>
        <w:ind w:firstLine="560" w:firstLineChars="200"/>
        <w:jc w:val="both"/>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 xml:space="preserve">本次采购为交钥匙工程，要求提供一套完整的电子束灭菌系统装备（工业直线电子加速器）及束下传输装置、安全连锁系统、恒温冷却系统、辐射防护系统、控制系统、监控系统、等配套设施，投标人对全套系统的设计、制造、安装、安全、试运等负全面责任，并通过第三方专业检测机构验收。以确保系统完整、安全可靠运行为基本标准。                       </w:t>
      </w:r>
    </w:p>
    <w:p>
      <w:pPr>
        <w:bidi w:val="0"/>
        <w:ind w:firstLine="560" w:firstLineChars="200"/>
        <w:jc w:val="both"/>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 xml:space="preserve"> 投标人提供的设备</w:t>
      </w:r>
      <w:r>
        <w:rPr>
          <w:rFonts w:hint="eastAsia" w:ascii="新宋体" w:hAnsi="新宋体" w:eastAsia="新宋体" w:cs="新宋体"/>
          <w:b w:val="0"/>
          <w:bCs w:val="0"/>
          <w:color w:val="auto"/>
          <w:sz w:val="28"/>
          <w:szCs w:val="28"/>
          <w:highlight w:val="none"/>
          <w:lang w:val="en-US" w:eastAsia="zh-CN"/>
        </w:rPr>
        <w:t>必须达到《电子加速器辐照装置辐射安全和防护》（HJ979-2018）所列标准</w:t>
      </w:r>
      <w:bookmarkStart w:id="35" w:name="_Toc22047"/>
      <w:r>
        <w:rPr>
          <w:rFonts w:hint="eastAsia" w:ascii="新宋体" w:hAnsi="新宋体" w:eastAsia="新宋体" w:cs="新宋体"/>
          <w:b w:val="0"/>
          <w:bCs w:val="0"/>
          <w:color w:val="auto"/>
          <w:sz w:val="28"/>
          <w:szCs w:val="28"/>
          <w:highlight w:val="none"/>
          <w:lang w:val="en-US" w:eastAsia="zh-CN"/>
        </w:rPr>
        <w:t>；所投产品的</w:t>
      </w:r>
      <w:r>
        <w:rPr>
          <w:rFonts w:hint="eastAsia" w:ascii="新宋体" w:hAnsi="新宋体" w:eastAsia="新宋体" w:cs="新宋体"/>
          <w:color w:val="auto"/>
          <w:sz w:val="28"/>
          <w:szCs w:val="28"/>
          <w:highlight w:val="none"/>
          <w:lang w:val="en-US" w:eastAsia="zh-CN"/>
        </w:rPr>
        <w:t>生产厂家需具备《辐射安全许可证》生产、销售、使用Ⅱ类射线资质。</w:t>
      </w:r>
    </w:p>
    <w:bookmarkEnd w:id="35"/>
    <w:p>
      <w:pPr>
        <w:pStyle w:val="5"/>
        <w:bidi w:val="0"/>
        <w:spacing w:line="240" w:lineRule="auto"/>
        <w:ind w:firstLine="562" w:firstLineChars="200"/>
        <w:jc w:val="left"/>
        <w:rPr>
          <w:rFonts w:hint="eastAsia" w:ascii="新宋体" w:hAnsi="新宋体" w:eastAsia="新宋体" w:cs="新宋体"/>
          <w:color w:val="auto"/>
          <w:sz w:val="28"/>
          <w:szCs w:val="28"/>
          <w:highlight w:val="none"/>
          <w:lang w:val="en-US" w:eastAsia="zh-CN"/>
        </w:rPr>
      </w:pPr>
    </w:p>
    <w:p>
      <w:pPr>
        <w:rPr>
          <w:rFonts w:hint="eastAsia" w:ascii="新宋体" w:hAnsi="新宋体" w:eastAsia="新宋体" w:cs="新宋体"/>
          <w:color w:val="auto"/>
          <w:sz w:val="28"/>
          <w:szCs w:val="28"/>
          <w:highlight w:val="none"/>
          <w:lang w:val="en-US" w:eastAsia="zh-CN"/>
        </w:rPr>
      </w:pPr>
    </w:p>
    <w:p>
      <w:pPr>
        <w:rPr>
          <w:rFonts w:hint="eastAsia" w:ascii="新宋体" w:hAnsi="新宋体" w:eastAsia="新宋体" w:cs="新宋体"/>
          <w:color w:val="auto"/>
          <w:sz w:val="28"/>
          <w:szCs w:val="28"/>
          <w:highlight w:val="none"/>
          <w:lang w:val="en-US" w:eastAsia="zh-CN"/>
        </w:rPr>
      </w:pPr>
    </w:p>
    <w:p>
      <w:pPr>
        <w:rPr>
          <w:rFonts w:hint="eastAsia" w:ascii="新宋体" w:hAnsi="新宋体" w:eastAsia="新宋体" w:cs="新宋体"/>
          <w:color w:val="auto"/>
          <w:sz w:val="28"/>
          <w:szCs w:val="28"/>
          <w:highlight w:val="none"/>
          <w:lang w:val="en-US" w:eastAsia="zh-CN"/>
        </w:rPr>
      </w:pPr>
    </w:p>
    <w:p>
      <w:pPr>
        <w:rPr>
          <w:rFonts w:hint="eastAsia" w:ascii="新宋体" w:hAnsi="新宋体" w:eastAsia="新宋体" w:cs="新宋体"/>
          <w:color w:val="auto"/>
          <w:sz w:val="28"/>
          <w:szCs w:val="28"/>
          <w:highlight w:val="none"/>
          <w:lang w:val="en-US" w:eastAsia="zh-CN"/>
        </w:rPr>
      </w:pPr>
    </w:p>
    <w:p>
      <w:pPr>
        <w:rPr>
          <w:rFonts w:hint="eastAsia" w:ascii="新宋体" w:hAnsi="新宋体" w:eastAsia="新宋体" w:cs="新宋体"/>
          <w:color w:val="auto"/>
          <w:sz w:val="28"/>
          <w:szCs w:val="28"/>
          <w:highlight w:val="none"/>
          <w:lang w:val="en-US" w:eastAsia="zh-CN"/>
        </w:rPr>
      </w:pPr>
    </w:p>
    <w:p>
      <w:pPr>
        <w:rPr>
          <w:rFonts w:hint="eastAsia" w:ascii="新宋体" w:hAnsi="新宋体" w:eastAsia="新宋体" w:cs="新宋体"/>
          <w:color w:val="auto"/>
          <w:sz w:val="28"/>
          <w:szCs w:val="28"/>
          <w:highlight w:val="none"/>
          <w:lang w:val="en-US" w:eastAsia="zh-CN"/>
        </w:rPr>
      </w:pPr>
    </w:p>
    <w:p>
      <w:pPr>
        <w:rPr>
          <w:rFonts w:hint="eastAsia" w:ascii="新宋体" w:hAnsi="新宋体" w:eastAsia="新宋体" w:cs="新宋体"/>
          <w:color w:val="auto"/>
          <w:sz w:val="28"/>
          <w:szCs w:val="28"/>
          <w:highlight w:val="none"/>
          <w:lang w:val="en-US" w:eastAsia="zh-CN"/>
        </w:rPr>
      </w:pPr>
    </w:p>
    <w:p>
      <w:pPr>
        <w:rPr>
          <w:rFonts w:hint="eastAsia" w:ascii="新宋体" w:hAnsi="新宋体" w:eastAsia="新宋体" w:cs="新宋体"/>
          <w:color w:val="auto"/>
          <w:sz w:val="28"/>
          <w:szCs w:val="28"/>
          <w:highlight w:val="none"/>
          <w:lang w:val="en-US" w:eastAsia="zh-CN"/>
        </w:rPr>
      </w:pPr>
    </w:p>
    <w:p>
      <w:pPr>
        <w:rPr>
          <w:rFonts w:hint="eastAsia" w:ascii="新宋体" w:hAnsi="新宋体" w:eastAsia="新宋体" w:cs="新宋体"/>
          <w:color w:val="auto"/>
          <w:sz w:val="28"/>
          <w:szCs w:val="28"/>
          <w:highlight w:val="none"/>
          <w:lang w:val="en-US" w:eastAsia="zh-CN"/>
        </w:rPr>
      </w:pPr>
    </w:p>
    <w:p>
      <w:pPr>
        <w:rPr>
          <w:rFonts w:hint="eastAsia" w:ascii="新宋体" w:hAnsi="新宋体" w:eastAsia="新宋体" w:cs="新宋体"/>
          <w:color w:val="auto"/>
          <w:sz w:val="28"/>
          <w:szCs w:val="28"/>
          <w:highlight w:val="none"/>
          <w:lang w:val="en-US" w:eastAsia="zh-CN"/>
        </w:rPr>
      </w:pPr>
    </w:p>
    <w:p>
      <w:pPr>
        <w:numPr>
          <w:ilvl w:val="0"/>
          <w:numId w:val="0"/>
        </w:numPr>
        <w:spacing w:line="400" w:lineRule="exact"/>
        <w:jc w:val="center"/>
        <w:rPr>
          <w:rFonts w:hint="eastAsia" w:ascii="宋体" w:hAnsi="宋体" w:eastAsia="宋体"/>
          <w:b/>
          <w:bCs/>
          <w:color w:val="auto"/>
          <w:sz w:val="28"/>
          <w:szCs w:val="28"/>
          <w:highlight w:val="none"/>
        </w:rPr>
      </w:pPr>
      <w:r>
        <w:rPr>
          <w:rFonts w:hint="eastAsia" w:asciiTheme="minorEastAsia" w:hAnsiTheme="minorEastAsia" w:eastAsiaTheme="minorEastAsia"/>
          <w:b/>
          <w:bCs/>
          <w:color w:val="auto"/>
          <w:kern w:val="0"/>
          <w:sz w:val="36"/>
          <w:szCs w:val="36"/>
          <w:highlight w:val="none"/>
        </w:rPr>
        <w:t>第四章</w:t>
      </w:r>
      <w:r>
        <w:rPr>
          <w:rFonts w:hint="eastAsia" w:asciiTheme="minorEastAsia" w:hAnsiTheme="minorEastAsia" w:eastAsiaTheme="minorEastAsia"/>
          <w:b/>
          <w:bCs/>
          <w:color w:val="auto"/>
          <w:kern w:val="0"/>
          <w:sz w:val="44"/>
          <w:szCs w:val="44"/>
          <w:highlight w:val="none"/>
        </w:rPr>
        <w:t xml:space="preserve"> </w:t>
      </w:r>
      <w:bookmarkEnd w:id="31"/>
      <w:bookmarkEnd w:id="32"/>
      <w:bookmarkEnd w:id="33"/>
      <w:bookmarkEnd w:id="34"/>
      <w:bookmarkStart w:id="36" w:name="_Toc24981"/>
      <w:r>
        <w:rPr>
          <w:rFonts w:hint="eastAsia" w:ascii="宋体" w:hAnsi="宋体" w:eastAsia="宋体"/>
          <w:b/>
          <w:bCs/>
          <w:color w:val="auto"/>
          <w:sz w:val="36"/>
          <w:szCs w:val="36"/>
          <w:highlight w:val="none"/>
        </w:rPr>
        <w:t>评标办法</w:t>
      </w:r>
    </w:p>
    <w:p>
      <w:pPr>
        <w:pStyle w:val="12"/>
        <w:wordWrap/>
        <w:spacing w:before="0" w:beforeLines="0" w:after="0" w:afterLines="0" w:line="360" w:lineRule="auto"/>
        <w:ind w:left="0" w:leftChars="0" w:right="0" w:firstLine="560" w:firstLineChars="200"/>
        <w:textAlignment w:val="auto"/>
        <w:outlineLvl w:val="9"/>
        <w:rPr>
          <w:rFonts w:hint="eastAsia"/>
          <w:color w:val="auto"/>
          <w:sz w:val="28"/>
          <w:szCs w:val="28"/>
          <w:highlight w:val="none"/>
          <w:lang w:eastAsia="zh-CN"/>
        </w:rPr>
      </w:pPr>
    </w:p>
    <w:p>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w:t>
      </w:r>
      <w:r>
        <w:rPr>
          <w:rFonts w:ascii="宋体" w:hAnsi="宋体" w:eastAsia="宋体"/>
          <w:b w:val="0"/>
          <w:bCs/>
          <w:color w:val="auto"/>
          <w:sz w:val="28"/>
          <w:szCs w:val="28"/>
          <w:highlight w:val="none"/>
        </w:rPr>
        <w:t xml:space="preserve">. </w:t>
      </w:r>
      <w:r>
        <w:rPr>
          <w:rFonts w:hint="eastAsia" w:ascii="宋体" w:hAnsi="宋体" w:eastAsia="宋体"/>
          <w:b w:val="0"/>
          <w:bCs/>
          <w:color w:val="auto"/>
          <w:sz w:val="28"/>
          <w:szCs w:val="28"/>
          <w:highlight w:val="none"/>
        </w:rPr>
        <w:t>投标文件的评审、比较和否决</w:t>
      </w:r>
    </w:p>
    <w:p>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1.1评标委员会将按照招标文件的规定，仅对在实质上响应招标文件要求的投标文件进行评估和比较。</w:t>
      </w:r>
    </w:p>
    <w:p>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1.2根据相关法律法规及有关招投标文件规定，结合本项目具体情况，制定本次招标评标办法。并按照“公平、公正、科学、择优”的原则进行评标。采用百分制综合评估法进行评比。</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1.3在评审过程中，评标委员会可以以书面形式要求投标供应商就投标文件中含义不明确的内容进行书面说明并提供相关材料；</w:t>
      </w:r>
      <w:r>
        <w:rPr>
          <w:rFonts w:hint="eastAsia" w:ascii="宋体" w:hAnsi="宋体" w:eastAsia="宋体"/>
          <w:b w:val="0"/>
          <w:bCs/>
          <w:color w:val="auto"/>
          <w:spacing w:val="-6"/>
          <w:sz w:val="28"/>
          <w:szCs w:val="28"/>
          <w:highlight w:val="none"/>
        </w:rPr>
        <w:t>凡遇到招标文件中无界定或界定不清、前后不一致使评委会成员</w:t>
      </w:r>
      <w:r>
        <w:rPr>
          <w:rFonts w:hint="eastAsia" w:ascii="宋体" w:hAnsi="宋体" w:eastAsia="宋体"/>
          <w:b w:val="0"/>
          <w:bCs/>
          <w:color w:val="auto"/>
          <w:sz w:val="28"/>
          <w:szCs w:val="28"/>
          <w:highlight w:val="none"/>
        </w:rPr>
        <w:t>意见</w:t>
      </w:r>
      <w:r>
        <w:rPr>
          <w:rFonts w:hint="eastAsia" w:ascii="宋体" w:hAnsi="宋体" w:eastAsia="宋体"/>
          <w:b w:val="0"/>
          <w:bCs/>
          <w:color w:val="auto"/>
          <w:spacing w:val="-6"/>
          <w:sz w:val="28"/>
          <w:szCs w:val="28"/>
          <w:highlight w:val="none"/>
        </w:rPr>
        <w:t>有分歧且又难于协商一致的问题，均由评委会予以表决，获半数以上同意的即为通过，未获半数同意的即为否决</w:t>
      </w:r>
      <w:r>
        <w:rPr>
          <w:rFonts w:hint="eastAsia" w:ascii="宋体" w:hAnsi="宋体" w:eastAsia="宋体"/>
          <w:b w:val="0"/>
          <w:bCs/>
          <w:color w:val="auto"/>
          <w:sz w:val="28"/>
          <w:szCs w:val="28"/>
          <w:highlight w:val="none"/>
        </w:rPr>
        <w:t>。</w:t>
      </w:r>
    </w:p>
    <w:p>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1.4评标时，投标报价是评标的重要依据，但不是唯一依据，</w:t>
      </w:r>
      <w:r>
        <w:rPr>
          <w:rFonts w:hint="eastAsia" w:ascii="宋体" w:hAnsi="宋体" w:eastAsia="宋体" w:cs="宋体"/>
          <w:b w:val="0"/>
          <w:bCs/>
          <w:color w:val="auto"/>
          <w:sz w:val="28"/>
          <w:szCs w:val="28"/>
          <w:highlight w:val="none"/>
        </w:rPr>
        <w:t>采购人不承诺将合同授予报价最低或最高的投标供应商。</w:t>
      </w:r>
    </w:p>
    <w:p>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hint="eastAsia" w:ascii="宋体" w:hAnsi="宋体"/>
          <w:b w:val="0"/>
          <w:bCs/>
          <w:color w:val="auto"/>
          <w:sz w:val="28"/>
          <w:szCs w:val="28"/>
          <w:highlight w:val="none"/>
        </w:rPr>
      </w:pPr>
      <w:r>
        <w:rPr>
          <w:rFonts w:hint="eastAsia" w:ascii="宋体" w:hAnsi="宋体" w:eastAsia="宋体"/>
          <w:b w:val="0"/>
          <w:bCs/>
          <w:color w:val="auto"/>
          <w:sz w:val="28"/>
          <w:szCs w:val="28"/>
          <w:highlight w:val="none"/>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b w:val="0"/>
          <w:bCs/>
          <w:color w:val="auto"/>
          <w:sz w:val="28"/>
          <w:szCs w:val="28"/>
          <w:highlight w:val="none"/>
        </w:rPr>
      </w:pPr>
      <w:r>
        <w:rPr>
          <w:rFonts w:hint="eastAsia" w:ascii="宋体" w:hAnsi="宋体"/>
          <w:b w:val="0"/>
          <w:bCs/>
          <w:color w:val="auto"/>
          <w:sz w:val="28"/>
          <w:szCs w:val="28"/>
          <w:highlight w:val="none"/>
        </w:rPr>
        <w:t>2</w:t>
      </w:r>
      <w:r>
        <w:rPr>
          <w:rFonts w:ascii="宋体" w:hAnsi="宋体"/>
          <w:b w:val="0"/>
          <w:bCs/>
          <w:color w:val="auto"/>
          <w:sz w:val="28"/>
          <w:szCs w:val="28"/>
          <w:highlight w:val="none"/>
        </w:rPr>
        <w:t>. 评审程序</w:t>
      </w:r>
    </w:p>
    <w:p>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ascii="宋体" w:hAnsi="宋体"/>
          <w:b w:val="0"/>
          <w:bCs/>
          <w:color w:val="auto"/>
          <w:sz w:val="28"/>
          <w:szCs w:val="28"/>
          <w:highlight w:val="none"/>
        </w:rPr>
      </w:pPr>
      <w:r>
        <w:rPr>
          <w:rFonts w:hint="eastAsia" w:ascii="宋体" w:hAnsi="宋体"/>
          <w:b w:val="0"/>
          <w:bCs/>
          <w:color w:val="auto"/>
          <w:sz w:val="28"/>
          <w:szCs w:val="28"/>
          <w:highlight w:val="none"/>
        </w:rPr>
        <w:t>公开招标采购项目开标结束后，采购人或者采购代理机构应当依法对供应商的资格进行审查</w:t>
      </w:r>
      <w:r>
        <w:rPr>
          <w:rFonts w:ascii="宋体" w:hAnsi="宋体"/>
          <w:b w:val="0"/>
          <w:bCs/>
          <w:color w:val="auto"/>
          <w:sz w:val="28"/>
          <w:szCs w:val="28"/>
          <w:highlight w:val="none"/>
        </w:rPr>
        <w:t>，</w:t>
      </w:r>
      <w:r>
        <w:rPr>
          <w:rFonts w:hint="eastAsia" w:ascii="宋体" w:hAnsi="宋体"/>
          <w:b w:val="0"/>
          <w:bCs/>
          <w:color w:val="auto"/>
          <w:sz w:val="28"/>
          <w:szCs w:val="28"/>
          <w:highlight w:val="none"/>
        </w:rPr>
        <w:t>合格供应商不足3家的，不得评标。</w:t>
      </w:r>
      <w:r>
        <w:rPr>
          <w:rFonts w:ascii="宋体" w:hAnsi="宋体"/>
          <w:b w:val="0"/>
          <w:bCs/>
          <w:color w:val="auto"/>
          <w:sz w:val="28"/>
          <w:szCs w:val="28"/>
          <w:highlight w:val="none"/>
        </w:rPr>
        <w:t>有一项不符合的，视为未通过</w:t>
      </w:r>
      <w:r>
        <w:rPr>
          <w:rFonts w:hint="eastAsia" w:ascii="宋体" w:hAnsi="宋体"/>
          <w:b w:val="0"/>
          <w:bCs/>
          <w:color w:val="auto"/>
          <w:sz w:val="28"/>
          <w:szCs w:val="28"/>
          <w:highlight w:val="none"/>
        </w:rPr>
        <w:t>资格</w:t>
      </w:r>
      <w:r>
        <w:rPr>
          <w:rFonts w:ascii="宋体" w:hAnsi="宋体"/>
          <w:b w:val="0"/>
          <w:bCs/>
          <w:color w:val="auto"/>
          <w:sz w:val="28"/>
          <w:szCs w:val="28"/>
          <w:highlight w:val="none"/>
        </w:rPr>
        <w:t>审查，按废标处理，符合的进入下一评标程序。</w:t>
      </w:r>
    </w:p>
    <w:p>
      <w:pPr>
        <w:keepNext w:val="0"/>
        <w:keepLines w:val="0"/>
        <w:pageBreakBefore w:val="0"/>
        <w:widowControl w:val="0"/>
        <w:numPr>
          <w:ilvl w:val="0"/>
          <w:numId w:val="0"/>
        </w:numPr>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lang w:val="en-US" w:eastAsia="zh-CN"/>
        </w:rPr>
        <w:t>3.</w:t>
      </w:r>
      <w:r>
        <w:rPr>
          <w:rFonts w:hint="eastAsia" w:ascii="宋体" w:hAnsi="宋体" w:eastAsia="宋体"/>
          <w:b w:val="0"/>
          <w:bCs/>
          <w:color w:val="auto"/>
          <w:sz w:val="28"/>
          <w:szCs w:val="28"/>
          <w:highlight w:val="none"/>
        </w:rPr>
        <w:t>评标具体方法和标准</w:t>
      </w:r>
    </w:p>
    <w:p>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b w:val="0"/>
          <w:bCs/>
          <w:color w:val="auto"/>
          <w:sz w:val="28"/>
          <w:szCs w:val="28"/>
          <w:highlight w:val="none"/>
        </w:rPr>
        <w:t>本次评标采用综合评分法。评标委员会对满足招标文件实质性要求的投标文件，按照本章规定的评分标准进行打分，并按得分由高到低顺序推荐中标候选人，但投标报价低于其成本的除外。综合评分相等时，以投标报</w:t>
      </w:r>
      <w:r>
        <w:rPr>
          <w:rFonts w:hint="eastAsia" w:ascii="宋体" w:hAnsi="宋体" w:eastAsia="宋体" w:cs="Times New Roman"/>
          <w:b w:val="0"/>
          <w:bCs/>
          <w:color w:val="auto"/>
          <w:sz w:val="28"/>
          <w:szCs w:val="28"/>
          <w:highlight w:val="none"/>
        </w:rPr>
        <w:t>价低的优先；投标报价也相等的，以技术得分高的优先；如果技术得分也相等，采购人自行确定。</w:t>
      </w:r>
    </w:p>
    <w:p>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4</w:t>
      </w:r>
      <w:r>
        <w:rPr>
          <w:rFonts w:hint="eastAsia" w:ascii="宋体" w:hAnsi="宋体" w:eastAsia="宋体" w:cs="Times New Roman"/>
          <w:b w:val="0"/>
          <w:bCs/>
          <w:color w:val="auto"/>
          <w:sz w:val="28"/>
          <w:szCs w:val="28"/>
          <w:highlight w:val="none"/>
          <w:lang w:val="en-US" w:eastAsia="zh-CN"/>
        </w:rPr>
        <w:t>.</w:t>
      </w:r>
      <w:r>
        <w:rPr>
          <w:rFonts w:hint="eastAsia" w:ascii="宋体" w:hAnsi="宋体" w:eastAsia="宋体" w:cs="Times New Roman"/>
          <w:b w:val="0"/>
          <w:bCs/>
          <w:color w:val="auto"/>
          <w:sz w:val="28"/>
          <w:szCs w:val="28"/>
          <w:highlight w:val="none"/>
        </w:rPr>
        <w:t>评标委员会认为</w:t>
      </w:r>
      <w:r>
        <w:rPr>
          <w:rFonts w:hint="eastAsia" w:ascii="宋体" w:hAnsi="宋体" w:eastAsia="宋体" w:cs="Times New Roman"/>
          <w:b w:val="0"/>
          <w:bCs/>
          <w:color w:val="auto"/>
          <w:sz w:val="28"/>
          <w:szCs w:val="28"/>
          <w:highlight w:val="none"/>
          <w:lang w:eastAsia="zh-CN"/>
        </w:rPr>
        <w:t>供应商</w:t>
      </w:r>
      <w:r>
        <w:rPr>
          <w:rFonts w:hint="eastAsia" w:ascii="宋体" w:hAnsi="宋体" w:eastAsia="宋体" w:cs="Times New Roman"/>
          <w:b w:val="0"/>
          <w:bCs/>
          <w:color w:val="auto"/>
          <w:sz w:val="28"/>
          <w:szCs w:val="28"/>
          <w:highlight w:val="none"/>
        </w:rPr>
        <w:t>的报价明显低于其他通过符合性审查</w:t>
      </w:r>
      <w:r>
        <w:rPr>
          <w:rFonts w:hint="eastAsia" w:ascii="宋体" w:hAnsi="宋体" w:eastAsia="宋体" w:cs="Times New Roman"/>
          <w:b w:val="0"/>
          <w:bCs/>
          <w:color w:val="auto"/>
          <w:sz w:val="28"/>
          <w:szCs w:val="28"/>
          <w:highlight w:val="none"/>
          <w:lang w:eastAsia="zh-CN"/>
        </w:rPr>
        <w:t>供应商</w:t>
      </w:r>
      <w:r>
        <w:rPr>
          <w:rFonts w:hint="eastAsia" w:ascii="宋体" w:hAnsi="宋体" w:eastAsia="宋体" w:cs="Times New Roman"/>
          <w:b w:val="0"/>
          <w:bCs/>
          <w:color w:val="auto"/>
          <w:sz w:val="28"/>
          <w:szCs w:val="28"/>
          <w:highlight w:val="none"/>
        </w:rPr>
        <w:t>的报价，有可能影响产品质量或者不能诚信履约的，应当要求其在评标现场合理的时间内提供书面说明，必要时提交相关证明材料；</w:t>
      </w:r>
      <w:r>
        <w:rPr>
          <w:rFonts w:hint="eastAsia" w:ascii="宋体" w:hAnsi="宋体" w:eastAsia="宋体" w:cs="Times New Roman"/>
          <w:b w:val="0"/>
          <w:bCs/>
          <w:color w:val="auto"/>
          <w:sz w:val="28"/>
          <w:szCs w:val="28"/>
          <w:highlight w:val="none"/>
          <w:lang w:eastAsia="zh-CN"/>
        </w:rPr>
        <w:t>供应商</w:t>
      </w:r>
      <w:r>
        <w:rPr>
          <w:rFonts w:hint="eastAsia" w:ascii="宋体" w:hAnsi="宋体" w:eastAsia="宋体" w:cs="Times New Roman"/>
          <w:b w:val="0"/>
          <w:bCs/>
          <w:color w:val="auto"/>
          <w:sz w:val="28"/>
          <w:szCs w:val="28"/>
          <w:highlight w:val="none"/>
        </w:rPr>
        <w:t>不能证明其报价合理性的，评标委员会应当将其作为无效投标处理。</w:t>
      </w:r>
    </w:p>
    <w:p>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5.计分办法</w:t>
      </w:r>
    </w:p>
    <w:p>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 xml:space="preserve"> 6.定标</w:t>
      </w:r>
    </w:p>
    <w:p>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 xml:space="preserve"> 按评委计分结果,评标委员会按照得分由高到低的顺序推荐3名中标候选人，并向采购人提供书面评标报告，并经采购人授权，直接确定排名第一的中标候选人为中标人。</w:t>
      </w:r>
    </w:p>
    <w:p>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cs="Times New Roman"/>
          <w:b w:val="0"/>
          <w:bCs/>
          <w:color w:val="auto"/>
          <w:sz w:val="28"/>
          <w:szCs w:val="28"/>
          <w:highlight w:val="none"/>
          <w:lang w:val="en-US" w:eastAsia="zh-CN"/>
        </w:rPr>
        <w:t>7</w:t>
      </w:r>
      <w:r>
        <w:rPr>
          <w:rFonts w:hint="eastAsia" w:ascii="宋体" w:hAnsi="宋体" w:eastAsia="宋体" w:cs="Times New Roman"/>
          <w:b w:val="0"/>
          <w:bCs/>
          <w:color w:val="auto"/>
          <w:sz w:val="28"/>
          <w:szCs w:val="28"/>
          <w:highlight w:val="none"/>
        </w:rPr>
        <w:t xml:space="preserve">.其他事项 </w:t>
      </w:r>
    </w:p>
    <w:p>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cs="Times New Roman" w:asciiTheme="minorEastAsia" w:hAnsiTheme="minorEastAsia" w:eastAsiaTheme="minorEastAsia"/>
          <w:b w:val="0"/>
          <w:bCs w:val="0"/>
          <w:color w:val="auto"/>
          <w:kern w:val="0"/>
          <w:sz w:val="24"/>
          <w:szCs w:val="24"/>
          <w:highlight w:val="none"/>
        </w:rPr>
      </w:pPr>
      <w:r>
        <w:rPr>
          <w:rFonts w:hint="eastAsia" w:ascii="宋体" w:hAnsi="宋体" w:eastAsia="宋体" w:cs="Times New Roman"/>
          <w:b w:val="0"/>
          <w:bCs/>
          <w:color w:val="auto"/>
          <w:sz w:val="28"/>
          <w:szCs w:val="28"/>
          <w:highlight w:val="none"/>
        </w:rPr>
        <w:t>评标委员会认为投标人的报价明显低于其他通过资格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color w:val="auto"/>
          <w:sz w:val="28"/>
          <w:szCs w:val="28"/>
          <w:highlight w:val="none"/>
        </w:rPr>
      </w:pPr>
      <w:r>
        <w:rPr>
          <w:rFonts w:hint="eastAsia"/>
          <w:b/>
          <w:bCs/>
          <w:color w:val="auto"/>
          <w:sz w:val="28"/>
          <w:szCs w:val="28"/>
          <w:highlight w:val="none"/>
          <w:lang w:val="en-US" w:eastAsia="zh-CN"/>
        </w:rPr>
        <w:t>资格审查表</w:t>
      </w:r>
      <w:bookmarkEnd w:id="36"/>
    </w:p>
    <w:tbl>
      <w:tblPr>
        <w:tblStyle w:val="21"/>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060"/>
        <w:gridCol w:w="2262"/>
        <w:gridCol w:w="5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3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评审因素</w:t>
            </w:r>
          </w:p>
        </w:tc>
        <w:tc>
          <w:tcPr>
            <w:tcW w:w="55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74"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2.1.1</w:t>
            </w:r>
          </w:p>
        </w:tc>
        <w:tc>
          <w:tcPr>
            <w:tcW w:w="1060"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资格性</w:t>
            </w:r>
          </w:p>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审查</w:t>
            </w:r>
          </w:p>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标准</w:t>
            </w:r>
          </w:p>
        </w:tc>
        <w:tc>
          <w:tcPr>
            <w:tcW w:w="2262" w:type="dxa"/>
            <w:tcBorders>
              <w:top w:val="single" w:color="auto" w:sz="4" w:space="0"/>
              <w:left w:val="single" w:color="auto" w:sz="4" w:space="0"/>
              <w:right w:val="single" w:color="auto" w:sz="4" w:space="0"/>
            </w:tcBorders>
            <w:vAlign w:val="center"/>
          </w:tcPr>
          <w:p>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lang w:eastAsia="zh-CN"/>
              </w:rPr>
              <w:t>营业执照</w:t>
            </w:r>
          </w:p>
        </w:tc>
        <w:tc>
          <w:tcPr>
            <w:tcW w:w="5542" w:type="dxa"/>
            <w:tcBorders>
              <w:top w:val="single" w:color="auto" w:sz="4" w:space="0"/>
              <w:left w:val="single" w:color="auto" w:sz="4" w:space="0"/>
              <w:right w:val="single" w:color="auto" w:sz="4" w:space="0"/>
            </w:tcBorders>
            <w:vAlign w:val="center"/>
          </w:tcPr>
          <w:p>
            <w:pPr>
              <w:widowControl/>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须具有中华人民共和国境内注册的能够独立承担民事责任的独立法人，具有有效的营业执照、税务登记证、组织机构代码证(或“三证合一”的营业执照)；投标单位为生产厂家的需具备《辐射安全许可证》生产、销售、使用Ⅱ类射线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74" w:type="dxa"/>
            <w:vMerge w:val="continue"/>
            <w:tcBorders>
              <w:left w:val="single" w:color="auto" w:sz="4" w:space="0"/>
              <w:right w:val="single" w:color="auto" w:sz="4" w:space="0"/>
            </w:tcBorders>
            <w:vAlign w:val="center"/>
          </w:tcPr>
          <w:p>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pPr>
              <w:spacing w:line="276" w:lineRule="auto"/>
              <w:jc w:val="both"/>
              <w:rPr>
                <w:rFonts w:hint="default" w:ascii="宋体" w:hAnsi="宋体" w:cs="宋体" w:eastAsiaTheme="minorEastAsia"/>
                <w:color w:val="auto"/>
                <w:sz w:val="22"/>
                <w:szCs w:val="22"/>
                <w:highlight w:val="none"/>
                <w:lang w:val="en-US" w:eastAsia="zh-CN"/>
              </w:rPr>
            </w:pPr>
            <w:r>
              <w:rPr>
                <w:rFonts w:hint="eastAsia" w:ascii="宋体" w:hAnsi="宋体" w:eastAsia="宋体" w:cs="宋体"/>
                <w:color w:val="auto"/>
                <w:sz w:val="22"/>
                <w:szCs w:val="22"/>
                <w:highlight w:val="none"/>
                <w:lang w:eastAsia="zh-CN"/>
              </w:rPr>
              <w:t>设备和专业技术能力</w:t>
            </w:r>
          </w:p>
        </w:tc>
        <w:tc>
          <w:tcPr>
            <w:tcW w:w="5542" w:type="dxa"/>
            <w:tcBorders>
              <w:top w:val="single" w:color="auto" w:sz="4" w:space="0"/>
              <w:left w:val="single" w:color="auto" w:sz="4" w:space="0"/>
              <w:right w:val="single" w:color="auto" w:sz="4" w:space="0"/>
            </w:tcBorders>
            <w:vAlign w:val="center"/>
          </w:tcPr>
          <w:p>
            <w:pPr>
              <w:widowControl/>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供应商须具有履行合同所必须的设备、人员和专业技术能力；（承诺书格式自拟）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974" w:type="dxa"/>
            <w:vMerge w:val="continue"/>
            <w:tcBorders>
              <w:left w:val="single" w:color="auto" w:sz="4" w:space="0"/>
              <w:right w:val="single" w:color="auto" w:sz="4" w:space="0"/>
            </w:tcBorders>
            <w:vAlign w:val="center"/>
          </w:tcPr>
          <w:p>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pPr>
              <w:widowControl/>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财务状况</w:t>
            </w:r>
          </w:p>
        </w:tc>
        <w:tc>
          <w:tcPr>
            <w:tcW w:w="5542" w:type="dxa"/>
            <w:tcBorders>
              <w:top w:val="single" w:color="auto" w:sz="4" w:space="0"/>
              <w:left w:val="single" w:color="auto" w:sz="4" w:space="0"/>
              <w:right w:val="single" w:color="auto" w:sz="4" w:space="0"/>
            </w:tcBorders>
            <w:vAlign w:val="center"/>
          </w:tcPr>
          <w:p>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具有良好的财务状况且没有处于被责令停业，提供企业近三年（新成立企业从成立之日起计算）任意一年审计报告或财务报表，若企业新成立不足一年，提供注册期后至今的财务报表；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74" w:type="dxa"/>
            <w:vMerge w:val="continue"/>
            <w:tcBorders>
              <w:left w:val="single" w:color="auto" w:sz="4" w:space="0"/>
              <w:right w:val="single" w:color="auto" w:sz="4" w:space="0"/>
            </w:tcBorders>
            <w:vAlign w:val="center"/>
          </w:tcPr>
          <w:p>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无行贿犯罪记录查询</w:t>
            </w:r>
          </w:p>
        </w:tc>
        <w:tc>
          <w:tcPr>
            <w:tcW w:w="5542" w:type="dxa"/>
            <w:tcBorders>
              <w:top w:val="single" w:color="auto" w:sz="4" w:space="0"/>
              <w:left w:val="single" w:color="auto" w:sz="4" w:space="0"/>
              <w:right w:val="single" w:color="auto" w:sz="4" w:space="0"/>
            </w:tcBorders>
            <w:vAlign w:val="center"/>
          </w:tcPr>
          <w:p>
            <w:pPr>
              <w:widowControl/>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参加政府采购活动前3年内无行贿犯罪记录，（开标时提供《中国裁判文书网》查询结果网页截图或企业自行承诺的无行贿犯罪承诺书，查询&lt;承诺&gt;对象为“企业，法定代表人，项目负责人”）；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74" w:type="dxa"/>
            <w:vMerge w:val="continue"/>
            <w:tcBorders>
              <w:left w:val="single" w:color="auto" w:sz="4" w:space="0"/>
              <w:right w:val="single" w:color="auto" w:sz="4" w:space="0"/>
            </w:tcBorders>
            <w:vAlign w:val="center"/>
          </w:tcPr>
          <w:p>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无商业贿赂查询等</w:t>
            </w:r>
          </w:p>
        </w:tc>
        <w:tc>
          <w:tcPr>
            <w:tcW w:w="5542" w:type="dxa"/>
            <w:tcBorders>
              <w:top w:val="single" w:color="auto" w:sz="4" w:space="0"/>
              <w:left w:val="single" w:color="auto" w:sz="4" w:space="0"/>
              <w:right w:val="single" w:color="auto" w:sz="4" w:space="0"/>
            </w:tcBorders>
            <w:vAlign w:val="center"/>
          </w:tcPr>
          <w:p>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74" w:type="dxa"/>
            <w:vMerge w:val="continue"/>
            <w:tcBorders>
              <w:left w:val="single" w:color="auto" w:sz="4" w:space="0"/>
              <w:right w:val="single" w:color="auto" w:sz="4" w:space="0"/>
            </w:tcBorders>
            <w:vAlign w:val="center"/>
          </w:tcPr>
          <w:p>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信用查询</w:t>
            </w:r>
          </w:p>
        </w:tc>
        <w:tc>
          <w:tcPr>
            <w:tcW w:w="5542" w:type="dxa"/>
            <w:tcBorders>
              <w:top w:val="single" w:color="auto" w:sz="4" w:space="0"/>
              <w:left w:val="single" w:color="auto" w:sz="4" w:space="0"/>
              <w:right w:val="single" w:color="auto" w:sz="4" w:space="0"/>
            </w:tcBorders>
            <w:vAlign w:val="center"/>
          </w:tcPr>
          <w:p>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根据《关于在政府采购活动中查询及使用信用记录有关问题的通知》(财库[2016]125号) 和豫财购【2016】15号的规定，企业没有被列入“信用中国”网站的“失信被执行人”、“重大税收违法失信主体”、“政府采购严重违法失信行为记录名单”及“中国政府采购网”网站的“政府采购严重违法失信行为信息记录”的投标人；（查询渠道：“信用中国”网站（www.creditchina.gov.cn）、中国政府采购网（www.ccgp.gov.cn）(注：査询时间必须是公告发布之后开标之前，查询结果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974" w:type="dxa"/>
            <w:vMerge w:val="continue"/>
            <w:tcBorders>
              <w:left w:val="single" w:color="auto" w:sz="4" w:space="0"/>
              <w:right w:val="single" w:color="auto" w:sz="4" w:space="0"/>
            </w:tcBorders>
            <w:vAlign w:val="center"/>
          </w:tcPr>
          <w:p>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“国家企业信用信息公示系统”查询</w:t>
            </w:r>
          </w:p>
        </w:tc>
        <w:tc>
          <w:tcPr>
            <w:tcW w:w="5542" w:type="dxa"/>
            <w:tcBorders>
              <w:top w:val="single" w:color="auto" w:sz="4" w:space="0"/>
              <w:left w:val="single" w:color="auto" w:sz="4" w:space="0"/>
              <w:right w:val="single" w:color="auto" w:sz="4" w:space="0"/>
            </w:tcBorders>
            <w:shd w:val="clear" w:color="auto" w:fill="auto"/>
            <w:vAlign w:val="center"/>
          </w:tcPr>
          <w:p>
            <w:pPr>
              <w:widowControl/>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4" w:type="dxa"/>
            <w:vMerge w:val="continue"/>
            <w:tcBorders>
              <w:left w:val="single" w:color="auto" w:sz="4" w:space="0"/>
              <w:right w:val="single" w:color="auto" w:sz="4" w:space="0"/>
            </w:tcBorders>
            <w:vAlign w:val="center"/>
          </w:tcPr>
          <w:p>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承诺1</w:t>
            </w:r>
          </w:p>
        </w:tc>
        <w:tc>
          <w:tcPr>
            <w:tcW w:w="5542" w:type="dxa"/>
            <w:tcBorders>
              <w:top w:val="single" w:color="auto" w:sz="4" w:space="0"/>
              <w:left w:val="single" w:color="auto" w:sz="4" w:space="0"/>
              <w:right w:val="single" w:color="auto" w:sz="4" w:space="0"/>
            </w:tcBorders>
            <w:vAlign w:val="center"/>
          </w:tcPr>
          <w:p>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本项目不接收联合体投标；</w:t>
            </w:r>
          </w:p>
        </w:tc>
      </w:tr>
    </w:tbl>
    <w:p>
      <w:pPr>
        <w:pStyle w:val="3"/>
        <w:rPr>
          <w:rFonts w:hint="default" w:eastAsia="宋体"/>
          <w:b/>
          <w:bCs/>
          <w:color w:val="auto"/>
          <w:sz w:val="24"/>
          <w:szCs w:val="24"/>
          <w:highlight w:val="none"/>
          <w:lang w:val="en-US" w:eastAsia="zh-CN"/>
        </w:rPr>
      </w:pPr>
      <w:bookmarkStart w:id="37" w:name="_Toc10786"/>
      <w:r>
        <w:rPr>
          <w:rFonts w:hint="eastAsia"/>
          <w:b/>
          <w:bCs/>
          <w:color w:val="auto"/>
          <w:sz w:val="24"/>
          <w:szCs w:val="24"/>
          <w:highlight w:val="none"/>
          <w:lang w:val="en-US" w:eastAsia="zh-CN"/>
        </w:rPr>
        <w:t>2.2 符合性评审</w:t>
      </w:r>
      <w:bookmarkEnd w:id="37"/>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由评标委员会按照下列内容进行符合性审查，有一项不通过，视为未通过该项审查，不得进入下一评标过程。</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jc w:val="center"/>
        <w:textAlignment w:val="auto"/>
        <w:rPr>
          <w:rFonts w:hint="default" w:ascii="宋体"/>
          <w:b/>
          <w:bCs/>
          <w:color w:val="auto"/>
          <w:sz w:val="28"/>
          <w:szCs w:val="28"/>
          <w:highlight w:val="none"/>
          <w:lang w:val="en-US"/>
        </w:rPr>
      </w:pPr>
      <w:r>
        <w:rPr>
          <w:rFonts w:hint="eastAsia" w:ascii="宋体"/>
          <w:b/>
          <w:bCs/>
          <w:color w:val="auto"/>
          <w:sz w:val="28"/>
          <w:szCs w:val="28"/>
          <w:highlight w:val="none"/>
          <w:lang w:val="en-US" w:eastAsia="zh-CN"/>
        </w:rPr>
        <w:t>符合性审查表</w:t>
      </w:r>
    </w:p>
    <w:tbl>
      <w:tblPr>
        <w:tblStyle w:val="21"/>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060"/>
        <w:gridCol w:w="2262"/>
        <w:gridCol w:w="5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33" w:firstLineChars="196"/>
              <w:jc w:val="center"/>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条款号</w:t>
            </w:r>
          </w:p>
        </w:tc>
        <w:tc>
          <w:tcPr>
            <w:tcW w:w="22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评审因素</w:t>
            </w:r>
          </w:p>
        </w:tc>
        <w:tc>
          <w:tcPr>
            <w:tcW w:w="55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74"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2.1.2</w:t>
            </w:r>
          </w:p>
        </w:tc>
        <w:tc>
          <w:tcPr>
            <w:tcW w:w="1060"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符合性</w:t>
            </w:r>
          </w:p>
          <w:p>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审查</w:t>
            </w:r>
          </w:p>
          <w:p>
            <w:pPr>
              <w:spacing w:line="360" w:lineRule="auto"/>
              <w:jc w:val="center"/>
              <w:rPr>
                <w:rFonts w:ascii="宋体" w:hAnsi="宋体" w:cs="宋体"/>
                <w:color w:val="auto"/>
                <w:sz w:val="22"/>
                <w:szCs w:val="22"/>
                <w:highlight w:val="none"/>
              </w:rPr>
            </w:pPr>
            <w:r>
              <w:rPr>
                <w:rFonts w:hint="eastAsia" w:ascii="宋体" w:hAnsi="宋体" w:cs="宋体"/>
                <w:bCs/>
                <w:color w:val="auto"/>
                <w:sz w:val="22"/>
                <w:szCs w:val="22"/>
                <w:highlight w:val="none"/>
              </w:rPr>
              <w:t>标准</w:t>
            </w:r>
          </w:p>
        </w:tc>
        <w:tc>
          <w:tcPr>
            <w:tcW w:w="2262" w:type="dxa"/>
            <w:tcBorders>
              <w:top w:val="single" w:color="auto" w:sz="4" w:space="0"/>
              <w:left w:val="single" w:color="auto" w:sz="4" w:space="0"/>
              <w:right w:val="single" w:color="auto" w:sz="4" w:space="0"/>
            </w:tcBorders>
            <w:vAlign w:val="center"/>
          </w:tcPr>
          <w:p>
            <w:pPr>
              <w:widowControl/>
              <w:adjustRightInd w:val="0"/>
              <w:snapToGrid w:val="0"/>
              <w:spacing w:line="400" w:lineRule="exact"/>
              <w:jc w:val="center"/>
              <w:rPr>
                <w:rFonts w:hAnsi="宋体" w:cs="宋体"/>
                <w:color w:val="auto"/>
                <w:sz w:val="22"/>
                <w:szCs w:val="22"/>
                <w:highlight w:val="none"/>
              </w:rPr>
            </w:pPr>
            <w:r>
              <w:rPr>
                <w:rFonts w:hint="eastAsia" w:ascii="宋体" w:hAnsi="宋体" w:cs="宋体"/>
                <w:bCs/>
                <w:color w:val="auto"/>
                <w:sz w:val="22"/>
                <w:szCs w:val="22"/>
                <w:highlight w:val="none"/>
              </w:rPr>
              <w:t>供应商名称</w:t>
            </w:r>
          </w:p>
        </w:tc>
        <w:tc>
          <w:tcPr>
            <w:tcW w:w="5542" w:type="dxa"/>
            <w:tcBorders>
              <w:top w:val="single" w:color="auto" w:sz="4" w:space="0"/>
              <w:left w:val="single" w:color="auto" w:sz="4" w:space="0"/>
              <w:right w:val="single" w:color="auto" w:sz="4" w:space="0"/>
            </w:tcBorders>
            <w:vAlign w:val="center"/>
          </w:tcPr>
          <w:p>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与营业执照是否一致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74"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Ansi="宋体" w:cs="宋体"/>
                <w:color w:val="auto"/>
                <w:sz w:val="22"/>
                <w:szCs w:val="22"/>
                <w:highlight w:val="none"/>
              </w:rPr>
            </w:pPr>
            <w:r>
              <w:rPr>
                <w:rFonts w:hint="eastAsia" w:ascii="宋体" w:hAnsi="宋体" w:cs="宋体"/>
                <w:bCs/>
                <w:color w:val="auto"/>
                <w:sz w:val="22"/>
                <w:szCs w:val="22"/>
                <w:highlight w:val="none"/>
                <w:lang w:eastAsia="zh-CN"/>
              </w:rPr>
              <w:t>投标文件</w:t>
            </w:r>
            <w:r>
              <w:rPr>
                <w:rFonts w:hint="eastAsia" w:ascii="宋体" w:hAnsi="宋体" w:cs="宋体"/>
                <w:bCs/>
                <w:color w:val="auto"/>
                <w:sz w:val="22"/>
                <w:szCs w:val="22"/>
                <w:highlight w:val="none"/>
              </w:rPr>
              <w:t>签字盖章</w:t>
            </w:r>
          </w:p>
        </w:tc>
        <w:tc>
          <w:tcPr>
            <w:tcW w:w="5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按照招标文件的规定进行签字或盖章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974"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eastAsia="宋体" w:cs="宋体"/>
                <w:color w:val="auto"/>
                <w:sz w:val="22"/>
                <w:szCs w:val="22"/>
                <w:highlight w:val="none"/>
                <w:lang w:eastAsia="zh-CN"/>
              </w:rPr>
            </w:pPr>
            <w:r>
              <w:rPr>
                <w:rFonts w:hint="eastAsia" w:ascii="宋体" w:hAnsi="宋体" w:cs="宋体"/>
                <w:bCs/>
                <w:color w:val="auto"/>
                <w:sz w:val="22"/>
                <w:szCs w:val="22"/>
                <w:highlight w:val="none"/>
                <w:lang w:eastAsia="zh-CN"/>
              </w:rPr>
              <w:t>投标文件格式</w:t>
            </w:r>
          </w:p>
        </w:tc>
        <w:tc>
          <w:tcPr>
            <w:tcW w:w="5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w:t>
            </w:r>
            <w:r>
              <w:rPr>
                <w:rFonts w:hint="eastAsia" w:ascii="宋体" w:hAnsi="宋体" w:cs="宋体"/>
                <w:bCs/>
                <w:color w:val="auto"/>
                <w:sz w:val="22"/>
                <w:szCs w:val="22"/>
                <w:highlight w:val="none"/>
                <w:lang w:eastAsia="zh-CN"/>
              </w:rPr>
              <w:t>投标文件格式</w:t>
            </w:r>
            <w:r>
              <w:rPr>
                <w:rFonts w:hint="eastAsia" w:ascii="宋体" w:hAnsi="宋体" w:cs="宋体"/>
                <w:bCs/>
                <w:color w:val="auto"/>
                <w:sz w:val="22"/>
                <w:szCs w:val="22"/>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974"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采购内容</w:t>
            </w:r>
          </w:p>
        </w:tc>
        <w:tc>
          <w:tcPr>
            <w:tcW w:w="5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74" w:type="dxa"/>
            <w:vMerge w:val="restart"/>
            <w:tcBorders>
              <w:left w:val="single" w:color="auto" w:sz="4" w:space="0"/>
              <w:right w:val="single" w:color="auto" w:sz="4" w:space="0"/>
            </w:tcBorders>
            <w:shd w:val="clear" w:color="auto" w:fill="auto"/>
            <w:vAlign w:val="center"/>
          </w:tcPr>
          <w:p>
            <w:pPr>
              <w:spacing w:line="360" w:lineRule="auto"/>
              <w:jc w:val="center"/>
              <w:rPr>
                <w:rFonts w:ascii="宋体" w:hAnsi="宋体" w:cs="宋体" w:eastAsiaTheme="minorEastAsia"/>
                <w:color w:val="auto"/>
                <w:kern w:val="2"/>
                <w:sz w:val="22"/>
                <w:szCs w:val="22"/>
                <w:highlight w:val="none"/>
                <w:lang w:val="en-US" w:eastAsia="zh-CN" w:bidi="ar-SA"/>
              </w:rPr>
            </w:pPr>
            <w:r>
              <w:rPr>
                <w:rFonts w:hint="eastAsia" w:ascii="宋体" w:hAnsi="宋体" w:cs="宋体"/>
                <w:color w:val="auto"/>
                <w:sz w:val="22"/>
                <w:szCs w:val="22"/>
                <w:highlight w:val="none"/>
              </w:rPr>
              <w:t>2.1.2</w:t>
            </w:r>
          </w:p>
        </w:tc>
        <w:tc>
          <w:tcPr>
            <w:tcW w:w="1060" w:type="dxa"/>
            <w:vMerge w:val="restart"/>
            <w:tcBorders>
              <w:left w:val="single" w:color="auto" w:sz="4" w:space="0"/>
              <w:right w:val="single" w:color="auto" w:sz="4" w:space="0"/>
            </w:tcBorders>
            <w:shd w:val="clear" w:color="auto" w:fill="auto"/>
            <w:vAlign w:val="center"/>
          </w:tcPr>
          <w:p>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lang w:eastAsia="zh-CN"/>
              </w:rPr>
              <w:t>响应</w:t>
            </w:r>
            <w:r>
              <w:rPr>
                <w:rFonts w:hint="eastAsia" w:ascii="宋体" w:hAnsi="宋体" w:cs="宋体"/>
                <w:bCs/>
                <w:color w:val="auto"/>
                <w:sz w:val="22"/>
                <w:szCs w:val="22"/>
                <w:highlight w:val="none"/>
              </w:rPr>
              <w:t>性</w:t>
            </w:r>
          </w:p>
          <w:p>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审查</w:t>
            </w:r>
          </w:p>
          <w:p>
            <w:pPr>
              <w:spacing w:line="360" w:lineRule="auto"/>
              <w:jc w:val="center"/>
              <w:rPr>
                <w:rFonts w:ascii="宋体" w:hAnsi="宋体" w:cs="宋体" w:eastAsiaTheme="minorEastAsia"/>
                <w:color w:val="auto"/>
                <w:kern w:val="2"/>
                <w:sz w:val="22"/>
                <w:szCs w:val="22"/>
                <w:highlight w:val="none"/>
                <w:lang w:val="en-US" w:eastAsia="zh-CN" w:bidi="ar-SA"/>
              </w:rPr>
            </w:pPr>
            <w:r>
              <w:rPr>
                <w:rFonts w:hint="eastAsia" w:ascii="宋体" w:hAnsi="宋体" w:cs="宋体"/>
                <w:bCs/>
                <w:color w:val="auto"/>
                <w:sz w:val="22"/>
                <w:szCs w:val="22"/>
                <w:highlight w:val="none"/>
              </w:rPr>
              <w:t>标准</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lang w:eastAsia="zh-CN"/>
              </w:rPr>
              <w:t>供货</w:t>
            </w:r>
            <w:r>
              <w:rPr>
                <w:rFonts w:hint="eastAsia" w:ascii="宋体" w:hAnsi="宋体" w:cs="宋体"/>
                <w:color w:val="auto"/>
                <w:sz w:val="22"/>
                <w:szCs w:val="22"/>
                <w:highlight w:val="none"/>
                <w:lang w:val="en-US" w:eastAsia="zh-CN"/>
              </w:rPr>
              <w:t>周</w:t>
            </w:r>
            <w:r>
              <w:rPr>
                <w:rFonts w:hint="eastAsia" w:ascii="宋体" w:hAnsi="宋体" w:cs="宋体"/>
                <w:color w:val="auto"/>
                <w:sz w:val="22"/>
                <w:szCs w:val="22"/>
                <w:highlight w:val="none"/>
              </w:rPr>
              <w:t>期</w:t>
            </w:r>
          </w:p>
        </w:tc>
        <w:tc>
          <w:tcPr>
            <w:tcW w:w="5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74"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质保期</w:t>
            </w:r>
          </w:p>
        </w:tc>
        <w:tc>
          <w:tcPr>
            <w:tcW w:w="5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74"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2"/>
                <w:szCs w:val="22"/>
                <w:highlight w:val="none"/>
              </w:rPr>
            </w:pPr>
            <w:r>
              <w:rPr>
                <w:rFonts w:hint="eastAsia" w:asciiTheme="minorEastAsia" w:hAnsiTheme="minorEastAsia" w:eastAsiaTheme="minorEastAsia"/>
                <w:color w:val="auto"/>
                <w:sz w:val="22"/>
                <w:szCs w:val="22"/>
                <w:highlight w:val="none"/>
                <w:lang w:eastAsia="zh-CN"/>
              </w:rPr>
              <w:t>交货地点</w:t>
            </w:r>
          </w:p>
        </w:tc>
        <w:tc>
          <w:tcPr>
            <w:tcW w:w="5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74"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eastAsia="宋体" w:cs="宋体"/>
                <w:color w:val="auto"/>
                <w:kern w:val="2"/>
                <w:sz w:val="22"/>
                <w:szCs w:val="22"/>
                <w:highlight w:val="none"/>
                <w:lang w:val="en-US" w:eastAsia="zh-CN" w:bidi="ar-SA"/>
              </w:rPr>
            </w:pPr>
            <w:r>
              <w:rPr>
                <w:rFonts w:ascii="宋体" w:hAnsi="宋体" w:cs="宋体"/>
                <w:bCs/>
                <w:color w:val="auto"/>
                <w:sz w:val="22"/>
                <w:szCs w:val="22"/>
                <w:highlight w:val="none"/>
              </w:rPr>
              <w:t>质量</w:t>
            </w:r>
            <w:r>
              <w:rPr>
                <w:rFonts w:hint="eastAsia" w:ascii="宋体" w:hAnsi="宋体" w:cs="宋体"/>
                <w:bCs/>
                <w:color w:val="auto"/>
                <w:sz w:val="22"/>
                <w:szCs w:val="22"/>
                <w:highlight w:val="none"/>
              </w:rPr>
              <w:t>要求</w:t>
            </w:r>
          </w:p>
        </w:tc>
        <w:tc>
          <w:tcPr>
            <w:tcW w:w="5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74"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2"/>
                <w:szCs w:val="22"/>
                <w:highlight w:val="none"/>
              </w:rPr>
            </w:pPr>
            <w:r>
              <w:rPr>
                <w:rFonts w:hint="eastAsia" w:ascii="宋体" w:hAnsi="宋体" w:cs="宋体"/>
                <w:bCs/>
                <w:color w:val="auto"/>
                <w:sz w:val="22"/>
                <w:szCs w:val="22"/>
                <w:highlight w:val="none"/>
              </w:rPr>
              <w:t>投标</w:t>
            </w:r>
            <w:r>
              <w:rPr>
                <w:rFonts w:ascii="宋体" w:hAnsi="宋体" w:cs="宋体"/>
                <w:bCs/>
                <w:color w:val="auto"/>
                <w:sz w:val="22"/>
                <w:szCs w:val="22"/>
                <w:highlight w:val="none"/>
              </w:rPr>
              <w:t>有效期</w:t>
            </w:r>
          </w:p>
        </w:tc>
        <w:tc>
          <w:tcPr>
            <w:tcW w:w="5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974"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Calibri" w:eastAsia="宋体" w:cs="Times New Roman"/>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投标报价</w:t>
            </w:r>
          </w:p>
        </w:tc>
        <w:tc>
          <w:tcPr>
            <w:tcW w:w="5542"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宋体" w:hAnsi="Calibri" w:eastAsia="宋体" w:cs="Times New Roman"/>
                <w:color w:val="auto"/>
                <w:kern w:val="2"/>
                <w:sz w:val="22"/>
                <w:szCs w:val="22"/>
                <w:highlight w:val="none"/>
                <w:lang w:val="en-US" w:eastAsia="zh-CN" w:bidi="ar-SA"/>
              </w:rPr>
            </w:pPr>
            <w:r>
              <w:rPr>
                <w:rFonts w:hint="eastAsia" w:ascii="宋体" w:hAnsi="宋体" w:cs="宋体"/>
                <w:bCs/>
                <w:color w:val="auto"/>
                <w:sz w:val="22"/>
                <w:szCs w:val="22"/>
                <w:highlight w:val="none"/>
                <w:lang w:val="en-US" w:eastAsia="zh-CN"/>
              </w:rPr>
              <w:t>只有一个有效投标报价，且单价、总价均不超过最高限价；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cs="宋体"/>
                <w:bCs/>
                <w:color w:val="auto"/>
                <w:sz w:val="22"/>
                <w:szCs w:val="22"/>
                <w:highlight w:val="none"/>
                <w:lang w:val="en-US" w:eastAsia="zh-CN"/>
              </w:rPr>
              <w:t>投标承诺函</w:t>
            </w:r>
          </w:p>
        </w:tc>
        <w:tc>
          <w:tcPr>
            <w:tcW w:w="5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lang w:eastAsia="zh-CN"/>
              </w:rPr>
              <w:t>按照</w:t>
            </w:r>
            <w:r>
              <w:rPr>
                <w:rFonts w:hint="eastAsia" w:ascii="宋体" w:hAnsi="宋体" w:cs="宋体"/>
                <w:bCs/>
                <w:color w:val="auto"/>
                <w:sz w:val="22"/>
                <w:szCs w:val="22"/>
                <w:highlight w:val="none"/>
              </w:rPr>
              <w:t>招标文件</w:t>
            </w:r>
            <w:r>
              <w:rPr>
                <w:rFonts w:hint="eastAsia" w:ascii="宋体" w:hAnsi="宋体" w:cs="宋体"/>
                <w:bCs/>
                <w:color w:val="auto"/>
                <w:sz w:val="22"/>
                <w:szCs w:val="22"/>
                <w:highlight w:val="none"/>
                <w:lang w:eastAsia="zh-CN"/>
              </w:rPr>
              <w:t>要求</w:t>
            </w:r>
            <w:r>
              <w:rPr>
                <w:rFonts w:hint="eastAsia" w:ascii="宋体" w:hAnsi="宋体" w:cs="宋体"/>
                <w:bCs/>
                <w:color w:val="auto"/>
                <w:sz w:val="22"/>
                <w:szCs w:val="22"/>
                <w:highlight w:val="none"/>
              </w:rPr>
              <w:t>的</w:t>
            </w:r>
            <w:r>
              <w:rPr>
                <w:rFonts w:hint="eastAsia" w:ascii="宋体" w:hAnsi="宋体" w:cs="宋体"/>
                <w:bCs/>
                <w:color w:val="auto"/>
                <w:sz w:val="22"/>
                <w:szCs w:val="22"/>
                <w:highlight w:val="none"/>
                <w:lang w:eastAsia="zh-CN"/>
              </w:rPr>
              <w:t>提供投标承诺函</w:t>
            </w:r>
            <w:r>
              <w:rPr>
                <w:rFonts w:hint="eastAsia" w:ascii="宋体" w:hAnsi="宋体" w:cs="宋体"/>
                <w:bCs/>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技术参数及要求</w:t>
            </w:r>
          </w:p>
        </w:tc>
        <w:tc>
          <w:tcPr>
            <w:tcW w:w="5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hint="default"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符合“第三章 采购清单 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974" w:type="dxa"/>
            <w:vMerge w:val="continue"/>
            <w:tcBorders>
              <w:left w:val="single" w:color="auto" w:sz="4" w:space="0"/>
              <w:bottom w:val="single" w:color="auto" w:sz="4" w:space="0"/>
              <w:right w:val="single" w:color="auto" w:sz="4" w:space="0"/>
            </w:tcBorders>
            <w:vAlign w:val="center"/>
          </w:tcPr>
          <w:p>
            <w:pPr>
              <w:rPr>
                <w:rFonts w:ascii="宋体" w:hAnsi="宋体" w:cs="宋体"/>
                <w:color w:val="auto"/>
                <w:sz w:val="22"/>
                <w:szCs w:val="22"/>
                <w:highlight w:val="none"/>
              </w:rPr>
            </w:pPr>
          </w:p>
        </w:tc>
        <w:tc>
          <w:tcPr>
            <w:tcW w:w="1060" w:type="dxa"/>
            <w:vMerge w:val="continue"/>
            <w:tcBorders>
              <w:left w:val="single" w:color="auto" w:sz="4" w:space="0"/>
              <w:bottom w:val="single" w:color="auto" w:sz="4" w:space="0"/>
              <w:right w:val="single" w:color="auto" w:sz="4" w:space="0"/>
            </w:tcBorders>
            <w:vAlign w:val="center"/>
          </w:tcPr>
          <w:p>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其他要求</w:t>
            </w:r>
          </w:p>
        </w:tc>
        <w:tc>
          <w:tcPr>
            <w:tcW w:w="5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hint="default" w:ascii="宋体" w:hAnsi="宋体" w:eastAsia="宋体" w:cs="宋体"/>
                <w:color w:val="auto"/>
                <w:sz w:val="22"/>
                <w:szCs w:val="22"/>
                <w:highlight w:val="none"/>
                <w:lang w:val="en-US" w:eastAsia="zh-CN"/>
              </w:rPr>
            </w:pPr>
            <w:r>
              <w:rPr>
                <w:rFonts w:hint="eastAsia" w:ascii="宋体" w:hAnsi="宋体" w:cs="宋体"/>
                <w:bCs/>
                <w:color w:val="auto"/>
                <w:sz w:val="22"/>
                <w:szCs w:val="22"/>
                <w:highlight w:val="none"/>
                <w:lang w:val="en-US" w:eastAsia="zh-CN"/>
              </w:rPr>
              <w:t>满足招标文件其他要求</w:t>
            </w:r>
          </w:p>
        </w:tc>
      </w:tr>
    </w:tbl>
    <w:p>
      <w:pPr>
        <w:widowControl/>
        <w:jc w:val="center"/>
        <w:rPr>
          <w:rFonts w:hint="eastAsia" w:asciiTheme="minorEastAsia" w:hAnsiTheme="minorEastAsia" w:eastAsiaTheme="minorEastAsia"/>
          <w:b/>
          <w:bCs/>
          <w:color w:val="auto"/>
          <w:kern w:val="0"/>
          <w:sz w:val="28"/>
          <w:szCs w:val="28"/>
          <w:highlight w:val="none"/>
        </w:rPr>
      </w:pPr>
      <w:r>
        <w:rPr>
          <w:rFonts w:hint="eastAsia" w:asciiTheme="minorEastAsia" w:hAnsiTheme="minorEastAsia" w:eastAsiaTheme="minorEastAsia"/>
          <w:b/>
          <w:bCs/>
          <w:color w:val="auto"/>
          <w:kern w:val="0"/>
          <w:sz w:val="28"/>
          <w:szCs w:val="28"/>
          <w:highlight w:val="none"/>
        </w:rPr>
        <w:t>评分标准</w:t>
      </w:r>
    </w:p>
    <w:tbl>
      <w:tblPr>
        <w:tblStyle w:val="21"/>
        <w:tblpPr w:leftFromText="180" w:rightFromText="180" w:vertAnchor="text" w:horzAnchor="page" w:tblpX="1268" w:tblpY="336"/>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362"/>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45" w:type="dxa"/>
            <w:vAlign w:val="center"/>
          </w:tcPr>
          <w:p>
            <w:pPr>
              <w:spacing w:line="288"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条款号</w:t>
            </w:r>
          </w:p>
        </w:tc>
        <w:tc>
          <w:tcPr>
            <w:tcW w:w="1362" w:type="dxa"/>
            <w:vAlign w:val="center"/>
          </w:tcPr>
          <w:p>
            <w:pPr>
              <w:spacing w:line="288" w:lineRule="auto"/>
              <w:rPr>
                <w:rFonts w:ascii="宋体" w:hAnsi="宋体" w:cs="宋体"/>
                <w:b/>
                <w:color w:val="auto"/>
                <w:sz w:val="22"/>
                <w:szCs w:val="22"/>
                <w:highlight w:val="none"/>
              </w:rPr>
            </w:pPr>
            <w:r>
              <w:rPr>
                <w:rFonts w:hint="eastAsia" w:ascii="宋体" w:hAnsi="宋体" w:cs="宋体"/>
                <w:b/>
                <w:color w:val="auto"/>
                <w:sz w:val="22"/>
                <w:szCs w:val="22"/>
                <w:highlight w:val="none"/>
              </w:rPr>
              <w:t>评分因素</w:t>
            </w:r>
          </w:p>
        </w:tc>
        <w:tc>
          <w:tcPr>
            <w:tcW w:w="7011" w:type="dxa"/>
            <w:vAlign w:val="center"/>
          </w:tcPr>
          <w:p>
            <w:pPr>
              <w:spacing w:line="288"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45" w:type="dxa"/>
            <w:vAlign w:val="center"/>
          </w:tcPr>
          <w:p>
            <w:pPr>
              <w:spacing w:line="288" w:lineRule="auto"/>
              <w:jc w:val="center"/>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2.2</w:t>
            </w:r>
          </w:p>
        </w:tc>
        <w:tc>
          <w:tcPr>
            <w:tcW w:w="1362" w:type="dxa"/>
            <w:vAlign w:val="center"/>
          </w:tcPr>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b/>
                <w:color w:val="auto"/>
                <w:sz w:val="22"/>
                <w:szCs w:val="22"/>
                <w:highlight w:val="none"/>
              </w:rPr>
            </w:pPr>
            <w:r>
              <w:rPr>
                <w:rFonts w:hint="eastAsia" w:ascii="宋体" w:hAnsi="宋体" w:eastAsia="宋体" w:cs="宋体"/>
                <w:bCs/>
                <w:color w:val="auto"/>
                <w:kern w:val="2"/>
                <w:sz w:val="24"/>
                <w:szCs w:val="24"/>
                <w:highlight w:val="none"/>
              </w:rPr>
              <w:t>分值构成（总分100分）</w:t>
            </w:r>
          </w:p>
        </w:tc>
        <w:tc>
          <w:tcPr>
            <w:tcW w:w="7011" w:type="dxa"/>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报价得分：30分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综合</w:t>
            </w:r>
            <w:r>
              <w:rPr>
                <w:rFonts w:hint="eastAsia" w:ascii="宋体" w:hAnsi="宋体" w:eastAsia="宋体" w:cs="宋体"/>
                <w:bCs/>
                <w:color w:val="auto"/>
                <w:kern w:val="2"/>
                <w:sz w:val="24"/>
                <w:szCs w:val="24"/>
                <w:highlight w:val="none"/>
              </w:rPr>
              <w:t>标评审：</w:t>
            </w:r>
            <w:r>
              <w:rPr>
                <w:rFonts w:hint="eastAsia" w:ascii="宋体" w:hAnsi="宋体" w:eastAsia="宋体" w:cs="宋体"/>
                <w:bCs/>
                <w:color w:val="auto"/>
                <w:kern w:val="2"/>
                <w:sz w:val="24"/>
                <w:szCs w:val="24"/>
                <w:highlight w:val="none"/>
                <w:lang w:val="en-US" w:eastAsia="zh-CN"/>
              </w:rPr>
              <w:t>30</w:t>
            </w:r>
            <w:r>
              <w:rPr>
                <w:rFonts w:hint="eastAsia" w:ascii="宋体" w:hAnsi="宋体" w:eastAsia="宋体" w:cs="宋体"/>
                <w:bCs/>
                <w:color w:val="auto"/>
                <w:kern w:val="2"/>
                <w:sz w:val="24"/>
                <w:szCs w:val="24"/>
                <w:highlight w:val="none"/>
              </w:rPr>
              <w:t>分</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b/>
                <w:color w:val="auto"/>
                <w:sz w:val="22"/>
                <w:szCs w:val="22"/>
                <w:highlight w:val="none"/>
              </w:rPr>
            </w:pPr>
            <w:r>
              <w:rPr>
                <w:rFonts w:hint="eastAsia" w:ascii="宋体" w:hAnsi="宋体" w:eastAsia="宋体" w:cs="宋体"/>
                <w:bCs/>
                <w:color w:val="auto"/>
                <w:kern w:val="2"/>
                <w:sz w:val="24"/>
                <w:szCs w:val="24"/>
                <w:highlight w:val="none"/>
              </w:rPr>
              <w:t>技术标评审：</w:t>
            </w:r>
            <w:r>
              <w:rPr>
                <w:rFonts w:hint="eastAsia" w:ascii="宋体" w:hAnsi="宋体" w:eastAsia="宋体" w:cs="宋体"/>
                <w:bCs/>
                <w:color w:val="auto"/>
                <w:kern w:val="2"/>
                <w:sz w:val="24"/>
                <w:szCs w:val="24"/>
                <w:highlight w:val="none"/>
                <w:lang w:val="en-US" w:eastAsia="zh-CN"/>
              </w:rPr>
              <w:t>40</w:t>
            </w:r>
            <w:r>
              <w:rPr>
                <w:rFonts w:hint="eastAsia" w:ascii="宋体" w:hAnsi="宋体" w:eastAsia="宋体" w:cs="宋体"/>
                <w:bCs/>
                <w:color w:val="auto"/>
                <w:kern w:val="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07" w:type="dxa"/>
            <w:gridSpan w:val="2"/>
            <w:vAlign w:val="center"/>
          </w:tcPr>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招标采购预算</w:t>
            </w:r>
          </w:p>
        </w:tc>
        <w:tc>
          <w:tcPr>
            <w:tcW w:w="7011" w:type="dxa"/>
            <w:vAlign w:val="center"/>
          </w:tcPr>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本项目设招标采购预算，</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的投标总报价超出采购预算的采购人不予接受且按无效标处理。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07" w:type="dxa"/>
            <w:gridSpan w:val="2"/>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评标基准值计算</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方法</w:t>
            </w:r>
          </w:p>
        </w:tc>
        <w:tc>
          <w:tcPr>
            <w:tcW w:w="7011" w:type="dxa"/>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1、低于采购预算且通过初步评审的有效</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报价为有效报价。</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2、评标基准价=满足招标文件通过资格性和形式性审查且投标价格最低的投标报价</w:t>
            </w:r>
            <w:r>
              <w:rPr>
                <w:rFonts w:hint="eastAsia" w:ascii="宋体" w:hAnsi="宋体" w:eastAsia="宋体" w:cs="宋体"/>
                <w:bCs/>
                <w:color w:val="auto"/>
                <w:kern w:val="2"/>
                <w:sz w:val="24"/>
                <w:szCs w:val="24"/>
                <w:highlight w:val="none"/>
                <w:lang w:val="en-US" w:eastAsia="zh-CN"/>
              </w:rPr>
              <w:t>(明显低于成本除外)</w:t>
            </w:r>
            <w:r>
              <w:rPr>
                <w:rFonts w:hint="eastAsia" w:ascii="宋体" w:hAnsi="宋体" w:eastAsia="宋体" w:cs="宋体"/>
                <w:bCs/>
                <w:color w:val="auto"/>
                <w:kern w:val="2"/>
                <w:sz w:val="24"/>
                <w:szCs w:val="24"/>
                <w:highlight w:val="none"/>
              </w:rPr>
              <w:t>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45" w:type="dxa"/>
            <w:vAlign w:val="center"/>
          </w:tcPr>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评审项</w:t>
            </w:r>
          </w:p>
        </w:tc>
        <w:tc>
          <w:tcPr>
            <w:tcW w:w="1362" w:type="dxa"/>
            <w:vAlign w:val="center"/>
          </w:tcPr>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编列内容</w:t>
            </w:r>
          </w:p>
        </w:tc>
        <w:tc>
          <w:tcPr>
            <w:tcW w:w="7011" w:type="dxa"/>
            <w:vAlign w:val="center"/>
          </w:tcPr>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5" w:type="dxa"/>
            <w:vAlign w:val="center"/>
          </w:tcPr>
          <w:p>
            <w:pPr>
              <w:widowControl/>
              <w:wordWrap/>
              <w:adjustRightInd w:val="0"/>
              <w:snapToGrid w:val="0"/>
              <w:spacing w:before="0" w:beforeLines="0" w:beforeAutospacing="0" w:afterAutospacing="0" w:line="360" w:lineRule="auto"/>
              <w:ind w:left="0" w:leftChars="0" w:right="0" w:rightChars="0"/>
              <w:jc w:val="center"/>
              <w:textAlignment w:val="auto"/>
              <w:rPr>
                <w:rFonts w:hint="eastAsia" w:ascii="宋体" w:hAnsi="宋体" w:cs="宋体"/>
                <w:color w:val="auto"/>
                <w:sz w:val="22"/>
                <w:szCs w:val="22"/>
                <w:highlight w:val="none"/>
              </w:rPr>
            </w:pPr>
            <w:r>
              <w:rPr>
                <w:rFonts w:hint="eastAsia" w:ascii="宋体" w:hAnsi="宋体" w:eastAsia="宋体" w:cs="宋体"/>
                <w:color w:val="auto"/>
                <w:kern w:val="2"/>
                <w:sz w:val="24"/>
                <w:szCs w:val="24"/>
                <w:highlight w:val="none"/>
              </w:rPr>
              <w:t>投标报价</w:t>
            </w:r>
          </w:p>
        </w:tc>
        <w:tc>
          <w:tcPr>
            <w:tcW w:w="1362" w:type="dxa"/>
            <w:vAlign w:val="center"/>
          </w:tcPr>
          <w:p>
            <w:pPr>
              <w:widowControl/>
              <w:wordWrap/>
              <w:adjustRightInd w:val="0"/>
              <w:snapToGrid w:val="0"/>
              <w:spacing w:before="0" w:beforeLines="0" w:beforeAutospacing="0" w:afterAutospacing="0" w:line="360" w:lineRule="auto"/>
              <w:ind w:left="0" w:leftChars="0" w:right="0" w:rightChars="0"/>
              <w:jc w:val="center"/>
              <w:textAlignment w:val="auto"/>
              <w:rPr>
                <w:rFonts w:ascii="宋体" w:hAnsi="宋体" w:cs="宋体"/>
                <w:color w:val="auto"/>
                <w:sz w:val="22"/>
                <w:szCs w:val="22"/>
                <w:highlight w:val="none"/>
              </w:rPr>
            </w:pPr>
            <w:r>
              <w:rPr>
                <w:rFonts w:hint="eastAsia" w:ascii="宋体" w:hAnsi="宋体" w:eastAsia="宋体" w:cs="宋体"/>
                <w:color w:val="auto"/>
                <w:kern w:val="2"/>
                <w:sz w:val="24"/>
                <w:szCs w:val="24"/>
                <w:highlight w:val="none"/>
              </w:rPr>
              <w:t>投标报价（30分）</w:t>
            </w:r>
          </w:p>
        </w:tc>
        <w:tc>
          <w:tcPr>
            <w:tcW w:w="7011" w:type="dxa"/>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1、价格分采用低价优先法计算，即满足招标文件通过资格性和形式性审查且投标价格最低的投标报价为评标基准价，其价格得分为满分30分。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2、其他</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的价格分统一按照下列公式计算：</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投标报价得分=(评标基准价／投标报价)×30</w:t>
            </w:r>
          </w:p>
          <w:p>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3、价格扣除：1.投标供应商为中小微企业的（监狱企业/残疾人福利性企业视同小型、微型企业），对所投标的小型和微型企业制造的产品的价格给予</w:t>
            </w:r>
            <w:r>
              <w:rPr>
                <w:rFonts w:hint="eastAsia" w:ascii="宋体" w:hAnsi="宋体" w:eastAsia="宋体" w:cs="宋体"/>
                <w:bCs/>
                <w:color w:val="auto"/>
                <w:kern w:val="2"/>
                <w:sz w:val="24"/>
                <w:szCs w:val="24"/>
                <w:highlight w:val="none"/>
                <w:lang w:val="en-US" w:eastAsia="zh-CN"/>
              </w:rPr>
              <w:t>20</w:t>
            </w:r>
            <w:r>
              <w:rPr>
                <w:rFonts w:hint="eastAsia" w:ascii="宋体" w:hAnsi="宋体" w:eastAsia="宋体" w:cs="宋体"/>
                <w:bCs/>
                <w:color w:val="auto"/>
                <w:kern w:val="2"/>
                <w:sz w:val="24"/>
                <w:szCs w:val="24"/>
                <w:highlight w:val="none"/>
              </w:rPr>
              <w:t>%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投标供应商为大型企业的不适用本款规定。</w:t>
            </w:r>
          </w:p>
          <w:p>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4、根据财政部司法部《关于政府采购支持监狱企业发展有关问题的通知》（财库〔2014〕68号）规定，本项目对监狱企业作为投标供应商所提供的本企业生产的产品的价格给予</w:t>
            </w:r>
            <w:r>
              <w:rPr>
                <w:rFonts w:hint="eastAsia" w:ascii="宋体" w:hAnsi="宋体" w:eastAsia="宋体" w:cs="宋体"/>
                <w:bCs/>
                <w:color w:val="auto"/>
                <w:kern w:val="2"/>
                <w:sz w:val="24"/>
                <w:szCs w:val="24"/>
                <w:highlight w:val="none"/>
                <w:lang w:val="en-US" w:eastAsia="zh-CN"/>
              </w:rPr>
              <w:t>20</w:t>
            </w:r>
            <w:r>
              <w:rPr>
                <w:rFonts w:hint="eastAsia" w:ascii="宋体" w:hAnsi="宋体" w:eastAsia="宋体" w:cs="宋体"/>
                <w:bCs/>
                <w:color w:val="auto"/>
                <w:kern w:val="2"/>
                <w:sz w:val="24"/>
                <w:szCs w:val="24"/>
                <w:highlight w:val="none"/>
              </w:rPr>
              <w:t>%的扣除。监狱企业，应当提供由省级以上监狱管理局、戒毒管理局（含新疆生产建设兵团）出具的属于监狱企业的证明文件。</w:t>
            </w:r>
          </w:p>
          <w:p>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5、参加政府采购活动的残疾人福利性单位应当提供《残疾人福利性单位声明函》，未填写残疾人福利性单位声明函的在开标过程中不予认可。</w:t>
            </w:r>
          </w:p>
          <w:p>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6、同一投标供应商，中小微企业产品和监狱企业产品价格扣除优惠只享受一次，不得重复享受。</w:t>
            </w:r>
          </w:p>
          <w:p>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例：所投中小微企业产品报价=所投中小微企业产品报价合计×（1-</w:t>
            </w:r>
            <w:r>
              <w:rPr>
                <w:rFonts w:hint="eastAsia" w:ascii="宋体" w:hAnsi="宋体" w:eastAsia="宋体" w:cs="宋体"/>
                <w:bCs/>
                <w:color w:val="auto"/>
                <w:kern w:val="2"/>
                <w:sz w:val="24"/>
                <w:szCs w:val="24"/>
                <w:highlight w:val="none"/>
                <w:lang w:val="en-US" w:eastAsia="zh-CN"/>
              </w:rPr>
              <w:t>20</w:t>
            </w:r>
            <w:r>
              <w:rPr>
                <w:rFonts w:hint="eastAsia" w:ascii="宋体" w:hAnsi="宋体" w:eastAsia="宋体" w:cs="宋体"/>
                <w:bCs/>
                <w:color w:val="auto"/>
                <w:kern w:val="2"/>
                <w:sz w:val="24"/>
                <w:szCs w:val="24"/>
                <w:highlight w:val="none"/>
              </w:rPr>
              <w:t>%）</w:t>
            </w:r>
          </w:p>
          <w:p>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注：价格分计算保留小数点后二位。在评标过程中，评标委员会发现</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的报价明显低于成本价时或明显低于其他通过初步审查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的报价，有可能影响产品质量或者不能诚信履约的，评标委员会可向该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 xml:space="preserve">提出询问， </w:t>
            </w:r>
          </w:p>
          <w:p>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cs="宋体"/>
                <w:color w:val="auto"/>
                <w:sz w:val="22"/>
                <w:szCs w:val="22"/>
                <w:highlight w:val="none"/>
                <w:lang w:eastAsia="zh-CN"/>
              </w:rPr>
            </w:pPr>
            <w:r>
              <w:rPr>
                <w:rFonts w:hint="eastAsia" w:ascii="宋体" w:hAnsi="宋体" w:eastAsia="宋体" w:cs="宋体"/>
                <w:bCs/>
                <w:color w:val="auto"/>
                <w:kern w:val="2"/>
                <w:sz w:val="24"/>
                <w:szCs w:val="24"/>
                <w:highlight w:val="none"/>
              </w:rPr>
              <w:t>要求该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作出书面说明并提供相关证明材料。</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不能合理说明及不能提供相关证明材料的，评标委员会认定该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以低于成本价恶意竞标，其投标作废标处理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145" w:type="dxa"/>
            <w:vMerge w:val="restart"/>
            <w:vAlign w:val="center"/>
          </w:tcPr>
          <w:p>
            <w:pPr>
              <w:widowControl/>
              <w:spacing w:before="0" w:beforeLines="0" w:beforeAutospacing="0" w:afterAutospacing="0" w:line="360" w:lineRule="auto"/>
              <w:ind w:left="0" w:right="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综合部分</w:t>
            </w:r>
          </w:p>
          <w:p>
            <w:pPr>
              <w:widowControl/>
              <w:spacing w:before="0" w:beforeLines="0" w:beforeAutospacing="0" w:afterAutospacing="0" w:line="360" w:lineRule="auto"/>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评分标准</w:t>
            </w:r>
          </w:p>
          <w:p>
            <w:pPr>
              <w:widowControl/>
              <w:spacing w:before="0" w:beforeLines="0" w:beforeAutospacing="0" w:afterAutospacing="0" w:line="360" w:lineRule="auto"/>
              <w:ind w:left="0" w:leftChars="0" w:right="0" w:rightChars="0"/>
              <w:jc w:val="left"/>
              <w:rPr>
                <w:rFonts w:hint="eastAsia" w:ascii="宋体" w:hAnsi="宋体" w:cs="宋体"/>
                <w:color w:val="auto"/>
                <w:kern w:val="0"/>
                <w:sz w:val="22"/>
                <w:szCs w:val="22"/>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分）</w:t>
            </w:r>
          </w:p>
        </w:tc>
        <w:tc>
          <w:tcPr>
            <w:tcW w:w="1362" w:type="dxa"/>
            <w:vAlign w:val="center"/>
          </w:tcPr>
          <w:p>
            <w:pPr>
              <w:widowControl w:val="0"/>
              <w:wordWrap/>
              <w:adjustRightInd w:val="0"/>
              <w:snapToGrid w:val="0"/>
              <w:spacing w:before="0" w:beforeLines="0" w:beforeAutospacing="0" w:after="0" w:afterLines="0" w:afterAutospacing="0" w:line="360" w:lineRule="auto"/>
              <w:ind w:left="0" w:right="0"/>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业绩</w:t>
            </w:r>
          </w:p>
          <w:p>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ascii="宋体" w:hAnsi="宋体" w:eastAsia="宋体" w:cs="宋体"/>
                <w:color w:val="auto"/>
                <w:kern w:val="0"/>
                <w:sz w:val="22"/>
                <w:szCs w:val="22"/>
                <w:highlight w:val="none"/>
                <w:lang w:val="en-US" w:eastAsia="zh-CN" w:bidi="ar-SA"/>
              </w:rPr>
            </w:pP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9</w:t>
            </w:r>
            <w:r>
              <w:rPr>
                <w:rFonts w:hint="eastAsia" w:ascii="宋体" w:hAnsi="宋体" w:eastAsia="宋体" w:cs="宋体"/>
                <w:bCs/>
                <w:color w:val="auto"/>
                <w:kern w:val="2"/>
                <w:sz w:val="24"/>
                <w:szCs w:val="24"/>
                <w:highlight w:val="none"/>
              </w:rPr>
              <w:t>分）</w:t>
            </w:r>
          </w:p>
        </w:tc>
        <w:tc>
          <w:tcPr>
            <w:tcW w:w="7011" w:type="dxa"/>
            <w:vAlign w:val="center"/>
          </w:tcPr>
          <w:p>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投标供应商202</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lang w:eastAsia="zh-CN"/>
              </w:rPr>
              <w:t>年1月1日以来</w:t>
            </w:r>
            <w:r>
              <w:rPr>
                <w:rFonts w:hint="eastAsia" w:ascii="宋体" w:hAnsi="宋体" w:eastAsia="宋体" w:cs="宋体"/>
                <w:bCs/>
                <w:color w:val="auto"/>
                <w:kern w:val="2"/>
                <w:sz w:val="24"/>
                <w:szCs w:val="24"/>
                <w:highlight w:val="none"/>
              </w:rPr>
              <w:t>的类似业绩，提供一份得</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分，最高得</w:t>
            </w:r>
            <w:r>
              <w:rPr>
                <w:rFonts w:hint="eastAsia" w:ascii="宋体" w:hAnsi="宋体" w:eastAsia="宋体" w:cs="宋体"/>
                <w:bCs/>
                <w:color w:val="auto"/>
                <w:kern w:val="2"/>
                <w:sz w:val="24"/>
                <w:szCs w:val="24"/>
                <w:highlight w:val="none"/>
                <w:lang w:val="en-US" w:eastAsia="zh-CN"/>
              </w:rPr>
              <w:t>9</w:t>
            </w:r>
            <w:r>
              <w:rPr>
                <w:rFonts w:hint="eastAsia" w:ascii="宋体" w:hAnsi="宋体" w:eastAsia="宋体" w:cs="宋体"/>
                <w:bCs/>
                <w:color w:val="auto"/>
                <w:kern w:val="2"/>
                <w:sz w:val="24"/>
                <w:szCs w:val="24"/>
                <w:highlight w:val="none"/>
              </w:rPr>
              <w:t>分。缺项得0分</w:t>
            </w:r>
            <w:r>
              <w:rPr>
                <w:rFonts w:hint="eastAsia" w:ascii="宋体" w:hAnsi="宋体" w:eastAsia="宋体" w:cs="宋体"/>
                <w:bCs/>
                <w:color w:val="auto"/>
                <w:kern w:val="2"/>
                <w:sz w:val="24"/>
                <w:szCs w:val="24"/>
                <w:highlight w:val="none"/>
                <w:lang w:eastAsia="zh-CN"/>
              </w:rPr>
              <w:t>。</w:t>
            </w:r>
          </w:p>
          <w:p>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ascii="宋体" w:hAnsi="宋体" w:eastAsia="宋体" w:cs="宋体"/>
                <w:color w:val="auto"/>
                <w:kern w:val="0"/>
                <w:sz w:val="22"/>
                <w:szCs w:val="22"/>
                <w:highlight w:val="none"/>
                <w:lang w:val="en-US" w:eastAsia="zh-CN" w:bidi="ar-SA"/>
              </w:rPr>
            </w:pPr>
            <w:r>
              <w:rPr>
                <w:rFonts w:hint="eastAsia" w:ascii="宋体" w:hAnsi="宋体" w:eastAsia="宋体" w:cs="宋体"/>
                <w:bCs/>
                <w:color w:val="auto"/>
                <w:kern w:val="2"/>
                <w:sz w:val="24"/>
                <w:szCs w:val="24"/>
                <w:highlight w:val="none"/>
              </w:rPr>
              <w:t>以投标文件中附的合同协议书扫描件为准</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日期以合同协议书签订日期为准</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1145" w:type="dxa"/>
            <w:vMerge w:val="continue"/>
            <w:vAlign w:val="center"/>
          </w:tcPr>
          <w:p>
            <w:pPr>
              <w:widowControl/>
              <w:spacing w:before="0" w:beforeLines="0" w:beforeAutospacing="0" w:afterAutospacing="0" w:line="360" w:lineRule="auto"/>
              <w:ind w:left="0" w:leftChars="0" w:right="0" w:rightChars="0"/>
              <w:jc w:val="left"/>
              <w:rPr>
                <w:rFonts w:hint="eastAsia" w:ascii="宋体" w:hAnsi="宋体" w:cs="宋体"/>
                <w:color w:val="auto"/>
                <w:sz w:val="22"/>
                <w:szCs w:val="22"/>
                <w:highlight w:val="none"/>
              </w:rPr>
            </w:pPr>
          </w:p>
        </w:tc>
        <w:tc>
          <w:tcPr>
            <w:tcW w:w="1362" w:type="dxa"/>
            <w:vMerge w:val="restart"/>
            <w:vAlign w:val="center"/>
          </w:tcPr>
          <w:p>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售后服务</w:t>
            </w:r>
          </w:p>
          <w:p>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bidi="ar-SA"/>
              </w:rPr>
              <w:t>（15分）</w:t>
            </w:r>
          </w:p>
        </w:tc>
        <w:tc>
          <w:tcPr>
            <w:tcW w:w="7011" w:type="dxa"/>
            <w:vAlign w:val="center"/>
          </w:tcPr>
          <w:p>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售后服务方案(包含服务内容、服务计划、服务队伍、解决问题时间、保障措施、服务信誉等)的完整性、可靠性以及服务承诺的合理性、可行性等进行综合评价（0-10分）</w:t>
            </w:r>
          </w:p>
          <w:p>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售后服务方案非常合理成熟、可靠、完善，服务承诺内容非常齐全，可控性、可行性强，得10分；</w:t>
            </w:r>
          </w:p>
          <w:p>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售后服务方案基本合理成熟，服务承诺内容基本合理、可行性基本合理，得7分；</w:t>
            </w:r>
          </w:p>
          <w:p>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售后服务方案一般、服务承诺内容一般、可行性一般，得3分；</w:t>
            </w:r>
          </w:p>
          <w:p>
            <w:pPr>
              <w:widowControl w:val="0"/>
              <w:wordWrap/>
              <w:adjustRightInd w:val="0"/>
              <w:snapToGrid w:val="0"/>
              <w:spacing w:before="0" w:beforeAutospacing="0" w:after="0" w:afterAutospacing="0" w:line="360" w:lineRule="auto"/>
              <w:ind w:left="0" w:leftChars="0" w:right="0" w:rightChars="0"/>
              <w:jc w:val="both"/>
              <w:textAlignment w:val="auto"/>
              <w:rPr>
                <w:rFonts w:hint="default"/>
                <w:color w:val="auto"/>
                <w:highlight w:val="none"/>
                <w:lang w:val="en-US" w:eastAsia="zh-CN"/>
              </w:rPr>
            </w:pPr>
            <w:r>
              <w:rPr>
                <w:rFonts w:hint="default" w:ascii="宋体" w:hAnsi="宋体" w:eastAsia="宋体" w:cs="宋体"/>
                <w:bCs/>
                <w:color w:val="auto"/>
                <w:kern w:val="2"/>
                <w:sz w:val="24"/>
                <w:szCs w:val="24"/>
                <w:highlight w:val="none"/>
                <w:lang w:val="en-US" w:eastAsia="zh-CN"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5" w:type="dxa"/>
            <w:vMerge w:val="continue"/>
            <w:vAlign w:val="center"/>
          </w:tcPr>
          <w:p>
            <w:pPr>
              <w:widowControl/>
              <w:spacing w:before="0" w:beforeLines="0" w:beforeAutospacing="0" w:afterAutospacing="0" w:line="360" w:lineRule="auto"/>
              <w:ind w:left="0" w:leftChars="0" w:right="0" w:rightChars="0"/>
              <w:jc w:val="left"/>
              <w:rPr>
                <w:rFonts w:hint="eastAsia" w:ascii="宋体" w:hAnsi="宋体" w:cs="宋体"/>
                <w:color w:val="auto"/>
                <w:sz w:val="22"/>
                <w:szCs w:val="22"/>
                <w:highlight w:val="none"/>
              </w:rPr>
            </w:pPr>
          </w:p>
        </w:tc>
        <w:tc>
          <w:tcPr>
            <w:tcW w:w="1362" w:type="dxa"/>
            <w:vMerge w:val="continue"/>
            <w:vAlign w:val="center"/>
          </w:tcPr>
          <w:p>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color w:val="auto"/>
                <w:sz w:val="22"/>
                <w:szCs w:val="22"/>
                <w:highlight w:val="none"/>
              </w:rPr>
            </w:pPr>
          </w:p>
        </w:tc>
        <w:tc>
          <w:tcPr>
            <w:tcW w:w="7011" w:type="dxa"/>
            <w:vAlign w:val="center"/>
          </w:tcPr>
          <w:p>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后期指导服务方案（0-5分）</w:t>
            </w:r>
          </w:p>
          <w:p>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供应商提供方案科学、合理、针对性强的得 5 分；</w:t>
            </w:r>
          </w:p>
          <w:p>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供应商提供方案比较科学、合理，比较完善、针对性比较强的得 3 分；</w:t>
            </w:r>
          </w:p>
          <w:p>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供应商提供方案一般的得 1 分。</w:t>
            </w:r>
          </w:p>
          <w:p>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color w:val="auto"/>
                <w:sz w:val="22"/>
                <w:szCs w:val="22"/>
                <w:highlight w:val="none"/>
                <w:lang w:val="en-US" w:eastAsia="zh-CN"/>
              </w:rPr>
            </w:pPr>
            <w:r>
              <w:rPr>
                <w:rFonts w:hint="default" w:ascii="宋体" w:hAnsi="宋体" w:eastAsia="宋体" w:cs="宋体"/>
                <w:bCs/>
                <w:color w:val="auto"/>
                <w:kern w:val="2"/>
                <w:sz w:val="24"/>
                <w:szCs w:val="24"/>
                <w:highlight w:val="none"/>
                <w:lang w:val="en-US" w:eastAsia="zh-CN"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5" w:type="dxa"/>
            <w:vMerge w:val="continue"/>
            <w:vAlign w:val="center"/>
          </w:tcPr>
          <w:p>
            <w:pPr>
              <w:widowControl/>
              <w:spacing w:before="0" w:beforeLines="0" w:beforeAutospacing="0" w:afterAutospacing="0" w:line="360" w:lineRule="auto"/>
              <w:ind w:left="0" w:leftChars="0" w:right="0" w:rightChars="0"/>
              <w:jc w:val="center"/>
              <w:rPr>
                <w:rFonts w:hint="eastAsia" w:ascii="宋体" w:hAnsi="宋体" w:cs="宋体"/>
                <w:color w:val="auto"/>
                <w:sz w:val="22"/>
                <w:szCs w:val="22"/>
                <w:highlight w:val="none"/>
              </w:rPr>
            </w:pPr>
          </w:p>
        </w:tc>
        <w:tc>
          <w:tcPr>
            <w:tcW w:w="1362" w:type="dxa"/>
            <w:shd w:val="clear" w:color="auto" w:fill="auto"/>
            <w:vAlign w:val="center"/>
          </w:tcPr>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优惠承诺</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eastAsiaTheme="minorEastAsia"/>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 xml:space="preserve">（6分）                  </w:t>
            </w:r>
          </w:p>
        </w:tc>
        <w:tc>
          <w:tcPr>
            <w:tcW w:w="7011" w:type="dxa"/>
            <w:shd w:val="clear" w:color="auto" w:fill="auto"/>
            <w:vAlign w:val="center"/>
          </w:tcPr>
          <w:p>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供应商提供的优惠承诺符合项目特点，全面、具体、详细、切实对采购人有利的得6分；</w:t>
            </w:r>
          </w:p>
          <w:p>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供应商提供的优惠承诺较全面、较具体、针对性较强的得3分；</w:t>
            </w:r>
          </w:p>
          <w:p>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供应商提供的优惠承诺承诺不全面、不具体或者针对性不强的得2分；</w:t>
            </w:r>
          </w:p>
          <w:p>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eastAsiaTheme="minorEastAsia"/>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45" w:type="dxa"/>
            <w:vMerge w:val="restart"/>
            <w:vAlign w:val="center"/>
          </w:tcPr>
          <w:p>
            <w:pPr>
              <w:widowControl w:val="0"/>
              <w:wordWrap/>
              <w:adjustRightInd w:val="0"/>
              <w:snapToGrid w:val="0"/>
              <w:spacing w:before="0" w:beforeLines="0" w:beforeAutospacing="0" w:after="0" w:afterLines="0" w:afterAutospacing="0" w:line="360" w:lineRule="auto"/>
              <w:ind w:left="0" w:right="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技术部分</w:t>
            </w:r>
          </w:p>
          <w:p>
            <w:pPr>
              <w:widowControl w:val="0"/>
              <w:wordWrap/>
              <w:adjustRightInd w:val="0"/>
              <w:snapToGrid w:val="0"/>
              <w:spacing w:before="0" w:beforeLines="0" w:beforeAutospacing="0" w:after="0" w:afterLines="0" w:afterAutospacing="0" w:line="360" w:lineRule="auto"/>
              <w:ind w:left="0" w:right="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评分标准</w:t>
            </w:r>
          </w:p>
          <w:p>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ascii="宋体" w:hAnsi="宋体" w:cs="宋体"/>
                <w:color w:val="auto"/>
                <w:kern w:val="0"/>
                <w:sz w:val="22"/>
                <w:szCs w:val="22"/>
                <w:highlight w:val="none"/>
                <w:lang w:val="en-US" w:eastAsia="zh-CN"/>
              </w:rPr>
            </w:pPr>
            <w:r>
              <w:rPr>
                <w:rFonts w:hint="eastAsia" w:ascii="宋体" w:hAnsi="宋体" w:eastAsia="宋体" w:cs="宋体"/>
                <w:bCs/>
                <w:color w:val="auto"/>
                <w:kern w:val="2"/>
                <w:sz w:val="24"/>
                <w:szCs w:val="24"/>
                <w:highlight w:val="none"/>
                <w:lang w:val="en-US" w:eastAsia="zh-CN"/>
              </w:rPr>
              <w:t>（40分）</w:t>
            </w:r>
          </w:p>
        </w:tc>
        <w:tc>
          <w:tcPr>
            <w:tcW w:w="1362" w:type="dxa"/>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实施方案</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（20分）</w:t>
            </w:r>
          </w:p>
        </w:tc>
        <w:tc>
          <w:tcPr>
            <w:tcW w:w="7011" w:type="dxa"/>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根据采购人需求，针对项目实际情况，供应商制定详细的项目实施方案（内容至少包含项目的供货计划、供货措施，运输计划、运输安全保障方案等内容。）</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（1）供货计划（0-5分）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供货计划详细可行，满足本采购需求，得5分；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供货计划较为详细可行，满足采购需求，得3分；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供货计划一般，基本满足采购需求，得1分；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供货措施（0-5分）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供货措施科学、完整，满足本采购需求，得5分；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供货措施较科学、较完整，满足采购需求，得3分；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供货措施一般，基本满足采购需求，得1分；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运输计划（0-5分）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运输计划详细可行，满足本采购需求，得5分；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运输计划较为详细可行，满足采购需求，得3分；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运输计划一般，基本满足采购需求，得1分；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（4）运输安全保障方案（0-5分）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运输安全保障方案科学、完整，满足本采购需求，得5分；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运输安全保障方案较科学、较完整，满足采购需求，得3分；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运输安全保障方案一般，基本满足采购需求，得1分；</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45" w:type="dxa"/>
            <w:vMerge w:val="continue"/>
            <w:vAlign w:val="center"/>
          </w:tcPr>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color w:val="auto"/>
                <w:sz w:val="22"/>
                <w:szCs w:val="22"/>
                <w:highlight w:val="none"/>
              </w:rPr>
            </w:pPr>
          </w:p>
        </w:tc>
        <w:tc>
          <w:tcPr>
            <w:tcW w:w="1362" w:type="dxa"/>
            <w:vAlign w:val="center"/>
          </w:tcPr>
          <w:p>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需求理解</w:t>
            </w:r>
          </w:p>
          <w:p>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hint="eastAsia" w:ascii="宋体" w:hAnsi="宋体" w:cs="宋体"/>
                <w:b w:val="0"/>
                <w:bCs w:val="0"/>
                <w:color w:val="auto"/>
                <w:sz w:val="22"/>
                <w:szCs w:val="22"/>
                <w:highlight w:val="none"/>
              </w:rPr>
            </w:pPr>
            <w:r>
              <w:rPr>
                <w:rFonts w:hint="eastAsia" w:ascii="宋体" w:hAnsi="宋体" w:eastAsia="宋体" w:cs="宋体"/>
                <w:bCs/>
                <w:color w:val="auto"/>
                <w:kern w:val="2"/>
                <w:sz w:val="24"/>
                <w:szCs w:val="24"/>
                <w:highlight w:val="none"/>
                <w:lang w:val="en-US" w:eastAsia="zh-CN" w:bidi="ar-SA"/>
              </w:rPr>
              <w:t>（5分）</w:t>
            </w:r>
          </w:p>
        </w:tc>
        <w:tc>
          <w:tcPr>
            <w:tcW w:w="7011" w:type="dxa"/>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供应商对本项目采购需求的理解、重点、难点的分析、合理化建议准确到位得5分；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供应商对本项目采购需求的理解、重点、难点的分析、合理化建议基本准确、基本到位得3分；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供应商对本项目采购需求的理解、重点、难点的分析、合理化建议一般得1分；</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color w:val="auto"/>
                <w:spacing w:val="-4"/>
                <w:sz w:val="22"/>
                <w:szCs w:val="22"/>
                <w:highlight w:val="none"/>
                <w:lang w:val="en-US" w:eastAsia="zh-CN"/>
              </w:rPr>
            </w:pPr>
            <w:r>
              <w:rPr>
                <w:rFonts w:hint="eastAsia" w:ascii="宋体" w:hAnsi="宋体" w:eastAsia="宋体" w:cs="宋体"/>
                <w:bCs/>
                <w:color w:val="auto"/>
                <w:kern w:val="2"/>
                <w:sz w:val="24"/>
                <w:szCs w:val="24"/>
                <w:highlight w:val="none"/>
                <w:lang w:val="en-US" w:eastAsia="zh-CN"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45" w:type="dxa"/>
            <w:vMerge w:val="continue"/>
            <w:vAlign w:val="center"/>
          </w:tcPr>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highlight w:val="none"/>
              </w:rPr>
            </w:pPr>
          </w:p>
        </w:tc>
        <w:tc>
          <w:tcPr>
            <w:tcW w:w="1362" w:type="dxa"/>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供货周期保证措施</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（5分）</w:t>
            </w:r>
          </w:p>
        </w:tc>
        <w:tc>
          <w:tcPr>
            <w:tcW w:w="7011" w:type="dxa"/>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内容清晰、详实，措施科学合理且有针对性、可行性强的得5分；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内容清晰完整、措施合理较可行的得3分；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内容完整，措施基本合理、基本可行的得1分；</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5" w:type="dxa"/>
            <w:vMerge w:val="continue"/>
            <w:vAlign w:val="center"/>
          </w:tcPr>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highlight w:val="none"/>
              </w:rPr>
            </w:pPr>
          </w:p>
        </w:tc>
        <w:tc>
          <w:tcPr>
            <w:tcW w:w="1362" w:type="dxa"/>
            <w:vAlign w:val="center"/>
          </w:tcPr>
          <w:p>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质量保证体系及风险控制措施（5分）</w:t>
            </w:r>
          </w:p>
        </w:tc>
        <w:tc>
          <w:tcPr>
            <w:tcW w:w="7011" w:type="dxa"/>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质量保证体系及风险控制措施科学、严谨，完全符合项目特点的得5分；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质量保证体系及风险控制措施较科学、完整，满足项目需求的得3分；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质量保证体系及风险控制措施基本满足项目需求的得1分。</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Times New Roman" w:hAnsi="Times New Roman" w:eastAsia="宋体" w:cs="Times New Roman"/>
                <w:color w:val="auto"/>
                <w:kern w:val="2"/>
                <w:sz w:val="21"/>
                <w:highlight w:val="none"/>
                <w:lang w:val="en-US" w:eastAsia="zh-CN" w:bidi="ar-SA"/>
              </w:rPr>
            </w:pPr>
            <w:r>
              <w:rPr>
                <w:rFonts w:hint="eastAsia" w:ascii="宋体" w:hAnsi="宋体" w:eastAsia="宋体" w:cs="宋体"/>
                <w:bCs/>
                <w:color w:val="auto"/>
                <w:kern w:val="2"/>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45" w:type="dxa"/>
            <w:vAlign w:val="center"/>
          </w:tcPr>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highlight w:val="none"/>
              </w:rPr>
            </w:pPr>
          </w:p>
        </w:tc>
        <w:tc>
          <w:tcPr>
            <w:tcW w:w="1362" w:type="dxa"/>
            <w:vAlign w:val="center"/>
          </w:tcPr>
          <w:p>
            <w:pPr>
              <w:widowControl w:val="0"/>
              <w:wordWrap/>
              <w:adjustRightInd w:val="0"/>
              <w:snapToGrid w:val="0"/>
              <w:spacing w:before="0" w:beforeLines="0" w:beforeAutospacing="0" w:after="0" w:afterLines="0" w:afterAutospacing="0" w:line="360" w:lineRule="auto"/>
              <w:ind w:left="0" w:right="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应急方案</w:t>
            </w:r>
          </w:p>
          <w:p>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bCs/>
                <w:color w:val="auto"/>
                <w:kern w:val="2"/>
                <w:sz w:val="24"/>
                <w:szCs w:val="24"/>
                <w:highlight w:val="none"/>
                <w:lang w:val="en-US" w:eastAsia="zh-CN"/>
              </w:rPr>
              <w:t>（5分）</w:t>
            </w:r>
          </w:p>
        </w:tc>
        <w:tc>
          <w:tcPr>
            <w:tcW w:w="7011" w:type="dxa"/>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评标委员会根据供应商提供的预防措施、应急方案的合理性、完善性及快速响应等方面综合打分（0-5分）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内容全面切实可行、服务明晰的得5分；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内容较全面、基本可行、针对性一般的得3分；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内容不完整，描述简略得1分；</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518" w:type="dxa"/>
            <w:gridSpan w:val="3"/>
            <w:vAlign w:val="center"/>
          </w:tcPr>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投标人综合得分=商务标得分＋技术标得分＋投标报价得分。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评标委员会完成对技术标、商务标和投标报价得分的汇总后取平均值作为该投标人的最终得分。</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本办法计算过程中分值按四舍五入保留两位小数，结果按四舍五入保留两位小数。</w:t>
            </w:r>
          </w:p>
          <w:p>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注：1.评审中资格审查、评审打分以投标文件中原件扫描件为准且必须内容齐全、真实有效、清晰可辨，复印件不予认可。投标文件及主体信息库的内容真实性由供应商自行承担。因供应商上传原因导致资格审查不合格或应得分项而未得分等情况的，由供应商自行承担责任。</w:t>
            </w:r>
          </w:p>
          <w:p>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b w:val="0"/>
                <w:bCs w:val="0"/>
                <w:color w:val="auto"/>
                <w:sz w:val="22"/>
                <w:szCs w:val="22"/>
                <w:highlight w:val="none"/>
              </w:rPr>
            </w:pPr>
            <w:r>
              <w:rPr>
                <w:rFonts w:hint="eastAsia" w:ascii="宋体" w:hAnsi="宋体" w:eastAsia="宋体" w:cs="宋体"/>
                <w:bCs/>
                <w:color w:val="auto"/>
                <w:kern w:val="2"/>
                <w:sz w:val="22"/>
                <w:szCs w:val="22"/>
                <w:highlight w:val="none"/>
                <w:lang w:val="en-US" w:eastAsia="zh-CN"/>
              </w:rPr>
              <w:t>2.评标开始后，不再接受任何补充材料。</w:t>
            </w:r>
          </w:p>
        </w:tc>
      </w:tr>
    </w:tbl>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本项目评标方法采用综合评分法。</w:t>
      </w:r>
    </w:p>
    <w:p>
      <w:pPr>
        <w:keepNext w:val="0"/>
        <w:keepLines w:val="0"/>
        <w:pageBreakBefore w:val="0"/>
        <w:widowControl w:val="0"/>
        <w:kinsoku/>
        <w:wordWrap/>
        <w:overflowPunct/>
        <w:topLinePunct w:val="0"/>
        <w:autoSpaceDE w:val="0"/>
        <w:autoSpaceDN w:val="0"/>
        <w:bidi w:val="0"/>
        <w:adjustRightInd/>
        <w:snapToGrid/>
        <w:spacing w:before="50" w:line="360" w:lineRule="auto"/>
        <w:ind w:right="97" w:firstLine="480" w:firstLineChars="200"/>
        <w:textAlignment w:val="auto"/>
        <w:rPr>
          <w:rFonts w:hint="eastAsia" w:ascii="宋体" w:hAnsi="宋体" w:eastAsia="宋体" w:cs="宋体"/>
          <w:color w:val="auto"/>
          <w:spacing w:val="-4"/>
          <w:sz w:val="24"/>
          <w:szCs w:val="24"/>
          <w:highlight w:val="none"/>
        </w:rPr>
      </w:pPr>
      <w:r>
        <w:rPr>
          <w:rFonts w:hint="eastAsia" w:ascii="宋体" w:hAnsi="宋体" w:cs="宋体"/>
          <w:color w:val="auto"/>
          <w:sz w:val="24"/>
          <w:szCs w:val="24"/>
          <w:highlight w:val="none"/>
        </w:rPr>
        <w:t>评标委员会按照《中华人民共和国政府采购法》和《评标委员会和评标方法暂行规定》，结合本项目具体情况，</w:t>
      </w:r>
      <w:r>
        <w:rPr>
          <w:rFonts w:hint="eastAsia" w:ascii="宋体" w:hAnsi="宋体" w:cs="宋体"/>
          <w:color w:val="auto"/>
          <w:sz w:val="24"/>
          <w:szCs w:val="24"/>
          <w:highlight w:val="none"/>
          <w:lang w:val="en-US" w:eastAsia="zh-CN"/>
        </w:rPr>
        <w:t>按照本章</w:t>
      </w:r>
      <w:r>
        <w:rPr>
          <w:rFonts w:hint="eastAsia" w:ascii="宋体" w:hAnsi="宋体" w:cs="宋体"/>
          <w:color w:val="auto"/>
          <w:sz w:val="24"/>
          <w:szCs w:val="24"/>
          <w:highlight w:val="none"/>
        </w:rPr>
        <w:t>评分标准打分：第一部分：报价评审；第二部分：技术标评审；第三部分：</w:t>
      </w:r>
      <w:r>
        <w:rPr>
          <w:rFonts w:hint="eastAsia" w:ascii="宋体" w:hAnsi="宋体" w:cs="宋体"/>
          <w:color w:val="auto"/>
          <w:sz w:val="24"/>
          <w:szCs w:val="24"/>
          <w:highlight w:val="none"/>
          <w:lang w:val="en-US" w:eastAsia="zh-CN"/>
        </w:rPr>
        <w:t>综合</w:t>
      </w:r>
      <w:r>
        <w:rPr>
          <w:rFonts w:hint="eastAsia" w:ascii="宋体" w:hAnsi="宋体" w:cs="宋体"/>
          <w:color w:val="auto"/>
          <w:sz w:val="24"/>
          <w:szCs w:val="24"/>
          <w:highlight w:val="none"/>
        </w:rPr>
        <w:t>标评审</w:t>
      </w:r>
      <w:r>
        <w:rPr>
          <w:rFonts w:hint="eastAsia" w:ascii="宋体" w:hAnsi="宋体" w:eastAsia="宋体" w:cs="宋体"/>
          <w:color w:val="auto"/>
          <w:spacing w:val="-4"/>
          <w:sz w:val="24"/>
          <w:szCs w:val="24"/>
          <w:highlight w:val="none"/>
        </w:rPr>
        <w:t>。</w:t>
      </w:r>
    </w:p>
    <w:p>
      <w:pPr>
        <w:spacing w:line="440" w:lineRule="exact"/>
        <w:ind w:firstLine="424" w:firstLineChars="177"/>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最终得分=报价得分+技术标评审得分+</w:t>
      </w:r>
      <w:r>
        <w:rPr>
          <w:rFonts w:hint="eastAsia" w:ascii="宋体" w:hAnsi="宋体" w:cs="宋体"/>
          <w:color w:val="auto"/>
          <w:sz w:val="24"/>
          <w:szCs w:val="24"/>
          <w:highlight w:val="none"/>
          <w:lang w:val="en-US" w:eastAsia="zh-CN"/>
        </w:rPr>
        <w:t>综合</w:t>
      </w:r>
      <w:r>
        <w:rPr>
          <w:rFonts w:hint="eastAsia" w:ascii="宋体" w:hAnsi="宋体" w:cs="宋体"/>
          <w:color w:val="auto"/>
          <w:sz w:val="24"/>
          <w:szCs w:val="24"/>
          <w:highlight w:val="none"/>
        </w:rPr>
        <w:t>标评审得分。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5.计分办法</w:t>
      </w:r>
    </w:p>
    <w:p>
      <w:pPr>
        <w:autoSpaceDE w:val="0"/>
        <w:autoSpaceDN w:val="0"/>
        <w:adjustRightInd w:val="0"/>
        <w:spacing w:line="440" w:lineRule="exact"/>
        <w:ind w:firstLine="464" w:firstLineChars="200"/>
        <w:rPr>
          <w:rFonts w:ascii="宋体" w:hAnsi="宋体" w:cs="宋体"/>
          <w:color w:val="auto"/>
          <w:sz w:val="24"/>
          <w:szCs w:val="24"/>
          <w:highlight w:val="none"/>
        </w:rPr>
      </w:pPr>
      <w:r>
        <w:rPr>
          <w:rFonts w:hint="eastAsia" w:ascii="宋体" w:hAnsi="宋体" w:eastAsia="宋体" w:cs="宋体"/>
          <w:color w:val="auto"/>
          <w:spacing w:val="-4"/>
          <w:sz w:val="24"/>
          <w:szCs w:val="24"/>
          <w:highlight w:val="none"/>
        </w:rPr>
        <w:t>计分过程中按四舍五入的法则，取至小数点后2位，</w:t>
      </w:r>
      <w:r>
        <w:rPr>
          <w:rFonts w:hint="eastAsia" w:ascii="宋体" w:hAnsi="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的最终得分为所有评委打分的算术平均值，最终结果取至小数点后2位。评标委员会将按</w:t>
      </w:r>
      <w:r>
        <w:rPr>
          <w:rFonts w:hint="eastAsia" w:ascii="宋体" w:hAnsi="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得分高低排序向采购人推荐</w:t>
      </w:r>
      <w:r>
        <w:rPr>
          <w:rFonts w:hint="eastAsia" w:ascii="宋体" w:hAnsi="宋体" w:cs="宋体"/>
          <w:color w:val="auto"/>
          <w:spacing w:val="-4"/>
          <w:sz w:val="24"/>
          <w:szCs w:val="24"/>
          <w:highlight w:val="none"/>
          <w:lang w:val="en-US" w:eastAsia="zh-CN"/>
        </w:rPr>
        <w:t>3名</w:t>
      </w:r>
      <w:r>
        <w:rPr>
          <w:rFonts w:hint="eastAsia" w:ascii="宋体" w:hAnsi="宋体" w:eastAsia="宋体" w:cs="宋体"/>
          <w:color w:val="auto"/>
          <w:spacing w:val="-4"/>
          <w:sz w:val="24"/>
          <w:szCs w:val="24"/>
          <w:highlight w:val="none"/>
        </w:rPr>
        <w:t>中标候选人</w:t>
      </w:r>
      <w:r>
        <w:rPr>
          <w:rFonts w:hint="eastAsia" w:ascii="宋体" w:hAnsi="宋体" w:cs="宋体"/>
          <w:color w:val="auto"/>
          <w:sz w:val="24"/>
          <w:szCs w:val="24"/>
          <w:highlight w:val="none"/>
        </w:rPr>
        <w:t>，并向采购人提供书面评标报告。</w:t>
      </w:r>
    </w:p>
    <w:p>
      <w:pPr>
        <w:pStyle w:val="19"/>
        <w:rPr>
          <w:rFonts w:hint="eastAsia"/>
          <w:color w:val="auto"/>
          <w:sz w:val="24"/>
          <w:szCs w:val="24"/>
          <w:highlight w:val="none"/>
          <w:lang w:eastAsia="zh-CN"/>
        </w:rPr>
      </w:pPr>
    </w:p>
    <w:p>
      <w:pPr>
        <w:widowControl/>
        <w:jc w:val="both"/>
        <w:outlineLvl w:val="0"/>
        <w:rPr>
          <w:rFonts w:hint="eastAsia" w:asciiTheme="minorEastAsia" w:hAnsiTheme="minorEastAsia" w:eastAsiaTheme="minorEastAsia"/>
          <w:b/>
          <w:bCs/>
          <w:color w:val="auto"/>
          <w:kern w:val="0"/>
          <w:sz w:val="44"/>
          <w:szCs w:val="44"/>
          <w:highlight w:val="none"/>
        </w:rPr>
      </w:pPr>
    </w:p>
    <w:p>
      <w:pPr>
        <w:rPr>
          <w:rFonts w:hint="eastAsia" w:asciiTheme="minorEastAsia" w:hAnsiTheme="minorEastAsia" w:eastAsiaTheme="minorEastAsia"/>
          <w:b/>
          <w:bCs/>
          <w:color w:val="auto"/>
          <w:kern w:val="0"/>
          <w:sz w:val="44"/>
          <w:szCs w:val="44"/>
          <w:highlight w:val="none"/>
        </w:rPr>
      </w:pPr>
      <w:r>
        <w:rPr>
          <w:rFonts w:hint="eastAsia" w:asciiTheme="minorEastAsia" w:hAnsiTheme="minorEastAsia" w:eastAsiaTheme="minorEastAsia"/>
          <w:b/>
          <w:bCs/>
          <w:color w:val="auto"/>
          <w:kern w:val="0"/>
          <w:sz w:val="44"/>
          <w:szCs w:val="44"/>
          <w:highlight w:val="none"/>
        </w:rPr>
        <w:br w:type="page"/>
      </w:r>
    </w:p>
    <w:p>
      <w:pPr>
        <w:widowControl/>
        <w:jc w:val="center"/>
        <w:outlineLvl w:val="0"/>
        <w:rPr>
          <w:rFonts w:asciiTheme="minorEastAsia" w:hAnsiTheme="minorEastAsia" w:eastAsiaTheme="minorEastAsia"/>
          <w:b/>
          <w:bCs/>
          <w:color w:val="auto"/>
          <w:kern w:val="0"/>
          <w:sz w:val="36"/>
          <w:szCs w:val="36"/>
          <w:highlight w:val="none"/>
        </w:rPr>
      </w:pPr>
      <w:bookmarkStart w:id="38" w:name="_Toc9463"/>
      <w:bookmarkStart w:id="39" w:name="_Toc6245"/>
      <w:bookmarkStart w:id="40" w:name="_Toc1175"/>
      <w:bookmarkStart w:id="41" w:name="_Toc30419"/>
      <w:r>
        <w:rPr>
          <w:rFonts w:hint="eastAsia" w:asciiTheme="minorEastAsia" w:hAnsiTheme="minorEastAsia" w:eastAsiaTheme="minorEastAsia"/>
          <w:b/>
          <w:bCs/>
          <w:color w:val="auto"/>
          <w:kern w:val="0"/>
          <w:sz w:val="36"/>
          <w:szCs w:val="36"/>
          <w:highlight w:val="none"/>
        </w:rPr>
        <w:t xml:space="preserve">第五章 </w:t>
      </w:r>
      <w:bookmarkStart w:id="42" w:name="政府采购合同"/>
      <w:r>
        <w:rPr>
          <w:rFonts w:hint="eastAsia" w:asciiTheme="minorEastAsia" w:hAnsiTheme="minorEastAsia" w:eastAsiaTheme="minorEastAsia"/>
          <w:b/>
          <w:bCs/>
          <w:color w:val="auto"/>
          <w:kern w:val="0"/>
          <w:sz w:val="36"/>
          <w:szCs w:val="36"/>
          <w:highlight w:val="none"/>
        </w:rPr>
        <w:t>合同</w:t>
      </w:r>
      <w:bookmarkEnd w:id="42"/>
      <w:r>
        <w:rPr>
          <w:rFonts w:hint="eastAsia" w:asciiTheme="minorEastAsia" w:hAnsiTheme="minorEastAsia" w:eastAsiaTheme="minorEastAsia"/>
          <w:b/>
          <w:bCs/>
          <w:color w:val="auto"/>
          <w:kern w:val="0"/>
          <w:sz w:val="36"/>
          <w:szCs w:val="36"/>
          <w:highlight w:val="none"/>
        </w:rPr>
        <w:t>条款及格式</w:t>
      </w:r>
      <w:bookmarkEnd w:id="38"/>
      <w:bookmarkEnd w:id="39"/>
      <w:bookmarkEnd w:id="40"/>
      <w:bookmarkEnd w:id="41"/>
    </w:p>
    <w:p>
      <w:pPr>
        <w:widowControl/>
        <w:spacing w:line="360" w:lineRule="auto"/>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（样本、仅供参考）</w:t>
      </w:r>
    </w:p>
    <w:p>
      <w:pPr>
        <w:widowControl/>
        <w:spacing w:line="520" w:lineRule="atLeast"/>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w:t>
      </w:r>
      <w:r>
        <w:rPr>
          <w:rFonts w:hint="eastAsia" w:asciiTheme="minorEastAsia" w:hAnsiTheme="minorEastAsia" w:eastAsiaTheme="minorEastAsia"/>
          <w:color w:val="auto"/>
          <w:kern w:val="0"/>
          <w:sz w:val="24"/>
          <w:szCs w:val="24"/>
          <w:highlight w:val="none"/>
        </w:rPr>
        <w:t>采购人可根据采购项目的实际情况增减条款和内容</w:t>
      </w:r>
      <w:r>
        <w:rPr>
          <w:rFonts w:hint="eastAsia" w:asciiTheme="minorEastAsia" w:hAnsiTheme="minorEastAsia" w:eastAsiaTheme="minorEastAsia"/>
          <w:b/>
          <w:bCs/>
          <w:color w:val="auto"/>
          <w:kern w:val="0"/>
          <w:sz w:val="24"/>
          <w:szCs w:val="24"/>
          <w:highlight w:val="none"/>
        </w:rPr>
        <w:t>）</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甲方：</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（采购人）</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（中标供应商）</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甲、乙双方根据《中华人民共和国采购法》、《中华人民共和国民法典》等法律法规的规定，按照</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项目名称）的中标结果签订本合同。</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1.合同内容</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 项目名称：</w:t>
      </w:r>
      <w:r>
        <w:rPr>
          <w:rFonts w:hint="eastAsia" w:asciiTheme="minorEastAsia" w:hAnsiTheme="minorEastAsia" w:eastAsiaTheme="minorEastAsia"/>
          <w:color w:val="auto"/>
          <w:kern w:val="0"/>
          <w:sz w:val="24"/>
          <w:szCs w:val="24"/>
          <w:highlight w:val="none"/>
          <w:u w:val="single"/>
        </w:rPr>
        <w:t xml:space="preserve">          </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 型号规格：</w:t>
      </w:r>
      <w:r>
        <w:rPr>
          <w:rFonts w:hint="eastAsia" w:asciiTheme="minorEastAsia" w:hAnsiTheme="minorEastAsia" w:eastAsiaTheme="minorEastAsia"/>
          <w:color w:val="auto"/>
          <w:kern w:val="0"/>
          <w:sz w:val="24"/>
          <w:szCs w:val="24"/>
          <w:highlight w:val="none"/>
          <w:u w:val="single"/>
        </w:rPr>
        <w:t xml:space="preserve">          </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 技术参数：</w:t>
      </w:r>
      <w:r>
        <w:rPr>
          <w:rFonts w:hint="eastAsia" w:asciiTheme="minorEastAsia" w:hAnsiTheme="minorEastAsia" w:eastAsiaTheme="minorEastAsia"/>
          <w:color w:val="auto"/>
          <w:kern w:val="0"/>
          <w:sz w:val="24"/>
          <w:szCs w:val="24"/>
          <w:highlight w:val="none"/>
          <w:u w:val="single"/>
        </w:rPr>
        <w:t xml:space="preserve">          </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1.4 数量（单位）：</w:t>
      </w:r>
      <w:r>
        <w:rPr>
          <w:rFonts w:hint="eastAsia" w:asciiTheme="minorEastAsia" w:hAnsiTheme="minorEastAsia" w:eastAsiaTheme="minorEastAsia"/>
          <w:color w:val="auto"/>
          <w:kern w:val="0"/>
          <w:sz w:val="24"/>
          <w:szCs w:val="24"/>
          <w:highlight w:val="none"/>
          <w:u w:val="single"/>
        </w:rPr>
        <w:t xml:space="preserve">          </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2.合同金额</w:t>
      </w:r>
    </w:p>
    <w:p>
      <w:pPr>
        <w:widowControl/>
        <w:spacing w:line="520" w:lineRule="atLeast"/>
        <w:ind w:firstLine="480"/>
        <w:jc w:val="left"/>
        <w:rPr>
          <w:rFonts w:hint="eastAsia" w:cs="Times New Roman" w:asciiTheme="minorEastAsia" w:hAnsiTheme="minorEastAsia" w:eastAsiaTheme="minorEastAsia"/>
          <w:color w:val="auto"/>
          <w:kern w:val="0"/>
          <w:sz w:val="24"/>
          <w:szCs w:val="24"/>
          <w:highlight w:val="none"/>
          <w:lang w:eastAsia="zh-CN"/>
        </w:rPr>
      </w:pPr>
      <w:r>
        <w:rPr>
          <w:rFonts w:hint="eastAsia" w:cs="Times New Roman" w:asciiTheme="minorEastAsia" w:hAnsiTheme="minorEastAsia" w:eastAsiaTheme="minorEastAsia"/>
          <w:color w:val="auto"/>
          <w:kern w:val="0"/>
          <w:sz w:val="24"/>
          <w:szCs w:val="24"/>
          <w:highlight w:val="none"/>
        </w:rPr>
        <w:t>本合同金额为人民币（大写）：</w:t>
      </w:r>
      <w:r>
        <w:rPr>
          <w:rFonts w:hint="eastAsia" w:asciiTheme="minorEastAsia" w:hAnsiTheme="minorEastAsia" w:eastAsiaTheme="minorEastAsia"/>
          <w:color w:val="auto"/>
          <w:kern w:val="0"/>
          <w:sz w:val="24"/>
          <w:szCs w:val="24"/>
          <w:highlight w:val="none"/>
          <w:u w:val="single"/>
        </w:rPr>
        <w:t xml:space="preserve">          </w:t>
      </w:r>
      <w:r>
        <w:rPr>
          <w:rFonts w:hint="eastAsia" w:cs="Times New Roman" w:asciiTheme="minorEastAsia" w:hAnsiTheme="minorEastAsia" w:eastAsiaTheme="minorEastAsia"/>
          <w:color w:val="auto"/>
          <w:kern w:val="0"/>
          <w:sz w:val="24"/>
          <w:szCs w:val="24"/>
          <w:highlight w:val="none"/>
        </w:rPr>
        <w:t>（¥</w:t>
      </w:r>
      <w:r>
        <w:rPr>
          <w:rFonts w:hint="eastAsia" w:asciiTheme="minorEastAsia" w:hAnsiTheme="minorEastAsia" w:eastAsiaTheme="minorEastAsia"/>
          <w:color w:val="auto"/>
          <w:kern w:val="0"/>
          <w:sz w:val="24"/>
          <w:szCs w:val="24"/>
          <w:highlight w:val="none"/>
          <w:u w:val="single"/>
        </w:rPr>
        <w:t xml:space="preserve">          </w:t>
      </w:r>
      <w:r>
        <w:rPr>
          <w:rFonts w:hint="eastAsia" w:cs="Times New Roman" w:asciiTheme="minorEastAsia" w:hAnsiTheme="minorEastAsia" w:eastAsiaTheme="minorEastAsia"/>
          <w:color w:val="auto"/>
          <w:kern w:val="0"/>
          <w:sz w:val="24"/>
          <w:szCs w:val="24"/>
          <w:highlight w:val="none"/>
        </w:rPr>
        <w:t>元）</w:t>
      </w:r>
      <w:r>
        <w:rPr>
          <w:rFonts w:hint="eastAsia" w:cs="Times New Roman" w:asciiTheme="minorEastAsia" w:hAnsiTheme="minorEastAsia" w:eastAsiaTheme="minorEastAsia"/>
          <w:color w:val="auto"/>
          <w:kern w:val="0"/>
          <w:sz w:val="24"/>
          <w:szCs w:val="24"/>
          <w:highlight w:val="none"/>
          <w:lang w:eastAsia="zh-CN"/>
        </w:rPr>
        <w:t>。</w:t>
      </w:r>
    </w:p>
    <w:p>
      <w:pPr>
        <w:widowControl/>
        <w:spacing w:line="520" w:lineRule="atLeast"/>
        <w:jc w:val="left"/>
        <w:rPr>
          <w:rFonts w:hint="eastAsia" w:cs="Times New Roman" w:asciiTheme="minorEastAsia" w:hAnsiTheme="minorEastAsia" w:eastAsiaTheme="minorEastAsia"/>
          <w:b/>
          <w:bCs/>
          <w:color w:val="auto"/>
          <w:kern w:val="0"/>
          <w:sz w:val="24"/>
          <w:szCs w:val="24"/>
          <w:highlight w:val="none"/>
        </w:rPr>
      </w:pPr>
      <w:r>
        <w:rPr>
          <w:rFonts w:hint="eastAsia" w:cs="Times New Roman" w:asciiTheme="minorEastAsia" w:hAnsiTheme="minorEastAsia" w:eastAsiaTheme="minorEastAsia"/>
          <w:b/>
          <w:bCs/>
          <w:color w:val="auto"/>
          <w:kern w:val="0"/>
          <w:sz w:val="24"/>
          <w:szCs w:val="24"/>
          <w:highlight w:val="none"/>
        </w:rPr>
        <w:t>3.技术资料</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3.1乙方按招标文件规定的时间向甲方提供使用货物的有关技术资料。</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3.2 没有甲方事先书面同意，乙方不得将由甲方提供的有关合同或任何合同条文、规格、计划、样品或资料提供给与履行本合同无关的任何其他人。</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4.知识产权</w:t>
      </w:r>
    </w:p>
    <w:p>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乙方保证所提供的货物或其任何一部分均不会侵犯任何第三方的知识产权。</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5.产权担保</w:t>
      </w:r>
    </w:p>
    <w:p>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乙方保证所交付的货物的所有权完全属于乙方且无任何抵押、查封等产权瑕疵。</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6.质量保证金</w:t>
      </w:r>
    </w:p>
    <w:p>
      <w:pPr>
        <w:widowControl/>
        <w:spacing w:line="520" w:lineRule="atLeast"/>
        <w:ind w:firstLine="240" w:firstLineChars="100"/>
        <w:jc w:val="left"/>
        <w:rPr>
          <w:rFonts w:hint="eastAsia" w:asciiTheme="minorEastAsia" w:hAnsiTheme="minorEastAsia" w:eastAsiaTheme="minorEastAsia"/>
          <w:color w:val="auto"/>
          <w:kern w:val="0"/>
          <w:sz w:val="24"/>
          <w:szCs w:val="24"/>
          <w:highlight w:val="none"/>
          <w:lang w:val="en-US" w:eastAsia="zh-CN"/>
        </w:rPr>
      </w:pPr>
      <w:r>
        <w:rPr>
          <w:rFonts w:hint="eastAsia" w:asciiTheme="minorEastAsia" w:hAnsiTheme="minorEastAsia" w:eastAsiaTheme="minorEastAsia"/>
          <w:color w:val="auto"/>
          <w:kern w:val="0"/>
          <w:sz w:val="24"/>
          <w:szCs w:val="24"/>
          <w:highlight w:val="none"/>
          <w:lang w:val="en-US" w:eastAsia="zh-CN"/>
        </w:rPr>
        <w:t>本项目不要求。</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7.转包或分包</w:t>
      </w:r>
    </w:p>
    <w:p>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7.1本合同范围的货物，由乙方直接供应，不得转让他人供应。</w:t>
      </w:r>
    </w:p>
    <w:p>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7.2 除非得到甲方的书面同意，乙方不得部分分包给他人供应。</w:t>
      </w:r>
    </w:p>
    <w:p>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7.3如有转让和未经甲方同意的分包行为，甲方有权给予终止合同。</w:t>
      </w:r>
    </w:p>
    <w:p>
      <w:pPr>
        <w:widowControl/>
        <w:spacing w:line="520" w:lineRule="atLeast"/>
        <w:jc w:val="left"/>
        <w:rPr>
          <w:rFonts w:hint="eastAsia" w:asciiTheme="minorEastAsia" w:hAnsiTheme="minorEastAsia" w:eastAsiaTheme="minorEastAsia"/>
          <w:color w:val="auto"/>
          <w:kern w:val="0"/>
          <w:sz w:val="24"/>
          <w:szCs w:val="24"/>
          <w:highlight w:val="none"/>
          <w:lang w:eastAsia="zh-CN"/>
        </w:rPr>
      </w:pPr>
      <w:r>
        <w:rPr>
          <w:rFonts w:hint="eastAsia" w:asciiTheme="minorEastAsia" w:hAnsiTheme="minorEastAsia" w:eastAsiaTheme="minorEastAsia"/>
          <w:b/>
          <w:bCs/>
          <w:color w:val="auto"/>
          <w:kern w:val="0"/>
          <w:sz w:val="24"/>
          <w:szCs w:val="24"/>
          <w:highlight w:val="none"/>
        </w:rPr>
        <w:t>8.交货期、交货方式及</w:t>
      </w:r>
      <w:r>
        <w:rPr>
          <w:rFonts w:hint="eastAsia" w:asciiTheme="minorEastAsia" w:hAnsiTheme="minorEastAsia" w:eastAsiaTheme="minorEastAsia"/>
          <w:b/>
          <w:bCs/>
          <w:color w:val="auto"/>
          <w:kern w:val="0"/>
          <w:sz w:val="24"/>
          <w:szCs w:val="24"/>
          <w:highlight w:val="none"/>
          <w:lang w:eastAsia="zh-CN"/>
        </w:rPr>
        <w:t>交货地点</w:t>
      </w:r>
    </w:p>
    <w:p>
      <w:pPr>
        <w:widowControl/>
        <w:spacing w:line="520" w:lineRule="atLeast"/>
        <w:ind w:firstLine="480" w:firstLineChars="20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8.1 交货期：</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p>
    <w:p>
      <w:pPr>
        <w:widowControl/>
        <w:spacing w:line="520" w:lineRule="atLeast"/>
        <w:ind w:firstLine="480" w:firstLineChars="20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8.2 交货方式：</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p>
    <w:p>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8.3 </w:t>
      </w:r>
      <w:r>
        <w:rPr>
          <w:rFonts w:hint="eastAsia" w:asciiTheme="minorEastAsia" w:hAnsiTheme="minorEastAsia" w:eastAsiaTheme="minorEastAsia"/>
          <w:color w:val="auto"/>
          <w:kern w:val="0"/>
          <w:sz w:val="24"/>
          <w:szCs w:val="24"/>
          <w:highlight w:val="none"/>
          <w:lang w:eastAsia="zh-CN"/>
        </w:rPr>
        <w:t>交货地点</w:t>
      </w:r>
      <w:r>
        <w:rPr>
          <w:rFonts w:hint="eastAsia" w:asciiTheme="minorEastAsia" w:hAnsiTheme="minorEastAsia" w:eastAsiaTheme="minorEastAsia"/>
          <w:color w:val="auto"/>
          <w:kern w:val="0"/>
          <w:sz w:val="24"/>
          <w:szCs w:val="24"/>
          <w:highlight w:val="none"/>
        </w:rPr>
        <w:t>：</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rPr>
        <w:t xml:space="preserve"> </w:t>
      </w:r>
    </w:p>
    <w:p>
      <w:pPr>
        <w:widowControl/>
        <w:spacing w:line="520" w:lineRule="atLeast"/>
        <w:jc w:val="left"/>
        <w:rPr>
          <w:rFonts w:hint="eastAsia" w:asciiTheme="minorEastAsia" w:hAnsiTheme="minorEastAsia" w:eastAsiaTheme="minorEastAsia"/>
          <w:color w:val="auto"/>
          <w:kern w:val="0"/>
          <w:sz w:val="24"/>
          <w:szCs w:val="24"/>
          <w:highlight w:val="none"/>
          <w:u w:val="single"/>
          <w:lang w:eastAsia="zh-CN"/>
        </w:rPr>
      </w:pPr>
      <w:r>
        <w:rPr>
          <w:rFonts w:hint="eastAsia" w:asciiTheme="minorEastAsia" w:hAnsiTheme="minorEastAsia" w:eastAsiaTheme="minorEastAsia"/>
          <w:b/>
          <w:bCs/>
          <w:color w:val="auto"/>
          <w:kern w:val="0"/>
          <w:sz w:val="24"/>
          <w:szCs w:val="24"/>
          <w:highlight w:val="none"/>
        </w:rPr>
        <w:t>9.货款支付：</w:t>
      </w:r>
      <w:r>
        <w:rPr>
          <w:rFonts w:hint="eastAsia" w:asciiTheme="minorEastAsia" w:hAnsiTheme="minorEastAsia" w:eastAsia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eastAsia="zh-CN"/>
        </w:rPr>
        <w:t>。</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10.税费</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本合同执行中相关的一切税费均由乙方负担。</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11.货物包装、发运及运输</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11.1 乙方在货物发运前对其进行满足运输距离、防潮、防震、防锈和防破损装卸等要求包装，以保证货物安全运达甲方指定地点。</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11.2 使用说明书、质量检验证明书、随配附件和工具以及清单一并附于货物内。</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11.3 乙方在货物发运手续办理完毕后24小时内或货到甲方48小时前通知甲方，以准备接货。</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11.4 货物在交付甲方前发生的风险均由乙方负责。</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11.5 货物在规定的交付期限内由乙方送达甲方指定的地点视为交付，乙方同时需通知甲方货物已送达。</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12.质量保证及售后服务</w:t>
      </w:r>
    </w:p>
    <w:p>
      <w:pPr>
        <w:keepNext w:val="0"/>
        <w:keepLines w:val="0"/>
        <w:pageBreakBefore w:val="0"/>
        <w:widowControl w:val="0"/>
        <w:kinsoku/>
        <w:wordWrap/>
        <w:overflowPunct/>
        <w:topLinePunct w:val="0"/>
        <w:autoSpaceDE/>
        <w:autoSpaceDN/>
        <w:bidi w:val="0"/>
        <w:adjustRightInd/>
        <w:snapToGrid/>
        <w:spacing w:line="520" w:lineRule="atLeast"/>
        <w:ind w:firstLine="482"/>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12.1 乙方提供的货物是全新、未使用过的，并完全符合强制性的国家技术质量规范和招标文件规定的质量、规格、性能和技术规范等的要求。</w:t>
      </w:r>
    </w:p>
    <w:p>
      <w:pPr>
        <w:keepNext w:val="0"/>
        <w:keepLines w:val="0"/>
        <w:pageBreakBefore w:val="0"/>
        <w:widowControl w:val="0"/>
        <w:kinsoku/>
        <w:wordWrap/>
        <w:overflowPunct/>
        <w:topLinePunct w:val="0"/>
        <w:autoSpaceDE/>
        <w:autoSpaceDN/>
        <w:bidi w:val="0"/>
        <w:adjustRightInd/>
        <w:snapToGrid/>
        <w:spacing w:line="520" w:lineRule="atLeast"/>
        <w:ind w:firstLine="482"/>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12.2 乙方提供的货物经正确安装、正常运转和保养，在其使用寿命期内须具有符合质量要求和产品说明书的性能。在货物质量保证期之内，乙方须对由于设计、工艺或材料的缺陷而发生的任何不足或故障负责。</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Theme="minorEastAsia" w:hAnsiTheme="minorEastAsia" w:eastAsiaTheme="minorEastAsia"/>
          <w:color w:val="auto"/>
          <w:kern w:val="0"/>
          <w:sz w:val="24"/>
          <w:szCs w:val="24"/>
          <w:highlight w:val="none"/>
          <w:u w:val="single"/>
        </w:rPr>
        <w:t>7</w:t>
      </w:r>
      <w:r>
        <w:rPr>
          <w:rFonts w:hint="eastAsia" w:asciiTheme="minorEastAsia" w:hAnsiTheme="minorEastAsia" w:eastAsiaTheme="minorEastAsia"/>
          <w:color w:val="auto"/>
          <w:kern w:val="0"/>
          <w:sz w:val="24"/>
          <w:szCs w:val="24"/>
          <w:highlight w:val="none"/>
        </w:rPr>
        <w:t>日内应免费维修或更换有缺陷的货物或部件。如果乙方在收到通知后</w:t>
      </w:r>
      <w:r>
        <w:rPr>
          <w:rFonts w:hint="eastAsia" w:asciiTheme="minorEastAsia" w:hAnsiTheme="minorEastAsia" w:eastAsiaTheme="minorEastAsia"/>
          <w:color w:val="auto"/>
          <w:kern w:val="0"/>
          <w:sz w:val="24"/>
          <w:szCs w:val="24"/>
          <w:highlight w:val="none"/>
          <w:u w:val="single"/>
        </w:rPr>
        <w:t>7</w:t>
      </w:r>
      <w:r>
        <w:rPr>
          <w:rFonts w:hint="eastAsia" w:asciiTheme="minorEastAsia" w:hAnsiTheme="minorEastAsia" w:eastAsiaTheme="minorEastAsia"/>
          <w:color w:val="auto"/>
          <w:kern w:val="0"/>
          <w:sz w:val="24"/>
          <w:szCs w:val="24"/>
          <w:highlight w:val="none"/>
        </w:rPr>
        <w:t>日内没有弥补缺陷，甲方可采取必要的补救措施，但由此引发的风险和费用将由乙方承担。</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12.4合同项下货物的质量保证期为自货物通过最终验收起个月，在保修期内，因人为因素出现故障外，乙方对货物出现的质量及安全问题负责处理解决并承担一切费用。</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12.5合同项下货物免费保修期为质量保证期满后个月，因人为因素出现的故障不在免费保修范围内。对超过保修期的货物终生维修，维修时只收部件成本费。</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12.6在使用过程中发生故障，乙方在接到甲方通知后在小时内到达甲方现场，小时内解除故障。</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13.调试和验收</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13.1乙方交货前对产品作出全面检查和对验收文件进行整理，并列出清单，作为甲方收货验收和使用的技术条件依据，检验的结果应随货物交甲方。</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13.2货物运抵现场后，甲方依据招标文件上的技术规格要求和国家有关质量标准在3个工作日内组织初步验收，并制作验收备忘录，签署验收意见。初步验收不合格的不予签收。</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13.3 甲方对乙方提供的货物在使用前进行调试时，乙方负责安装并培训甲方的使用操作人员，并协助甲方一起调试，直到符合技术要求，甲方才做最终验收并签署验收意见。</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13.4 对大型或技术复杂的货物，甲方应邀请国家认可的专业检测机构参与初步验收及最终验收，并由其出具质量检测报告。</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13.5 验收时乙方必须在现场，验收完毕后作出验收结果报告。验收费用由乙方负责。</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14.索赔</w:t>
      </w:r>
    </w:p>
    <w:p>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 在根据合同第12条和第13条规定的检验期和质量保证期内，如果乙方对甲方提出的索赔负有责任，乙方应按照甲方同意的下列一种或多种方式解决索赔事宜：</w:t>
      </w:r>
    </w:p>
    <w:p>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14.2.2 根据货物低劣程度、损坏程度以及甲方所遭受损失的数额，经双方商定降低货物的价格，或由有权的部门评估，以降低后的价格或评估价格为准。</w:t>
      </w:r>
    </w:p>
    <w:p>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pPr>
        <w:keepNext w:val="0"/>
        <w:keepLines w:val="0"/>
        <w:pageBreakBefore w:val="0"/>
        <w:widowControl w:val="0"/>
        <w:kinsoku/>
        <w:wordWrap/>
        <w:overflowPunct/>
        <w:topLinePunct w:val="0"/>
        <w:autoSpaceDE/>
        <w:autoSpaceDN/>
        <w:bidi w:val="0"/>
        <w:adjustRightInd/>
        <w:snapToGrid/>
        <w:spacing w:line="520" w:lineRule="atLeast"/>
        <w:ind w:firstLine="36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pPr>
        <w:keepNext w:val="0"/>
        <w:keepLines w:val="0"/>
        <w:pageBreakBefore w:val="0"/>
        <w:widowControl w:val="0"/>
        <w:kinsoku/>
        <w:wordWrap/>
        <w:overflowPunct/>
        <w:topLinePunct w:val="0"/>
        <w:autoSpaceDE/>
        <w:autoSpaceDN/>
        <w:bidi w:val="0"/>
        <w:adjustRightInd/>
        <w:snapToGrid/>
        <w:spacing w:line="520" w:lineRule="atLeast"/>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15.违约责任</w:t>
      </w:r>
    </w:p>
    <w:p>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15.1 甲方无正当理由拒收货物的，甲方向乙方偿付拒收货款总值的百分之五违约金。</w:t>
      </w:r>
    </w:p>
    <w:p>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15.2 甲方无故逾期验收和办理货款支付手续的,甲方按逾期付款总额每日万分之五向乙方支付违约金。</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16.不可抗力事件处理</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17.合同纠纷处理</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因本合同或与本合同有关的一切事项发生争议，由双方友好协商解决。协商不成的，任何一方均可选择以下方式解决：</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17.1 向合同签订地人民法院提起诉讼。</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18.违约解除合同</w:t>
      </w:r>
    </w:p>
    <w:p>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18.1在乙方违约的情况下，甲方可向乙方发出书面通知，部分或全部终止合同，同时保留向对方追诉的权利。</w:t>
      </w:r>
    </w:p>
    <w:p>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18.1.1 乙方未能在合同规定的限期或甲方同意延长的限期内提供全部或部分货物，按合同第15.3的规定可以解除合同的。</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18.1.2 乙方有转让和未经甲方同意的分包行为，按合同第7.3的规定可以解除合同的。</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18.1.3 乙方未能履行合同规定的其它主要义务的。</w:t>
      </w:r>
    </w:p>
    <w:p>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18.1.4 在本合同履行过程中有腐败和欺诈行为的。</w:t>
      </w:r>
    </w:p>
    <w:p>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19.其他约定</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19.1 本采购项目的招标文件、中标供应商的投标文件以及相关的澄清确认函（如果有的话）均为本合同不可分割的一部分，与本合同具有同等法律效力。</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19.2 本合同未尽事宜，双方另行补充。</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19.3本合同正本一式份，具有同等法律效力，甲、乙双方各执两份。</w:t>
      </w:r>
    </w:p>
    <w:p>
      <w:pPr>
        <w:widowControl/>
        <w:spacing w:line="520" w:lineRule="atLeast"/>
        <w:ind w:firstLine="48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19.4 签定地点：</w:t>
      </w:r>
      <w:r>
        <w:rPr>
          <w:rFonts w:hint="eastAsia" w:asciiTheme="minorEastAsia" w:hAnsiTheme="minorEastAsia" w:eastAsiaTheme="minorEastAsia"/>
          <w:color w:val="auto"/>
          <w:kern w:val="0"/>
          <w:sz w:val="24"/>
          <w:szCs w:val="24"/>
          <w:highlight w:val="none"/>
          <w:u w:val="single"/>
          <w:lang w:val="en-US" w:eastAsia="zh-CN"/>
        </w:rPr>
        <w:t xml:space="preserve">         。</w:t>
      </w:r>
    </w:p>
    <w:p>
      <w:pPr>
        <w:widowControl/>
        <w:spacing w:line="520" w:lineRule="atLeast"/>
        <w:ind w:firstLine="480"/>
        <w:jc w:val="left"/>
        <w:rPr>
          <w:rFonts w:hint="eastAsia" w:asciiTheme="minorEastAsia" w:hAnsiTheme="minorEastAsia" w:eastAsiaTheme="minorEastAsia"/>
          <w:color w:val="auto"/>
          <w:kern w:val="0"/>
          <w:sz w:val="24"/>
          <w:szCs w:val="24"/>
          <w:highlight w:val="none"/>
        </w:rPr>
      </w:pPr>
    </w:p>
    <w:p>
      <w:pPr>
        <w:widowControl/>
        <w:spacing w:line="520" w:lineRule="atLeast"/>
        <w:ind w:firstLine="480"/>
        <w:jc w:val="left"/>
        <w:rPr>
          <w:rFonts w:hint="eastAsia" w:asciiTheme="minorEastAsia" w:hAnsiTheme="minorEastAsia" w:eastAsiaTheme="minorEastAsia"/>
          <w:color w:val="auto"/>
          <w:kern w:val="0"/>
          <w:sz w:val="24"/>
          <w:szCs w:val="24"/>
          <w:highlight w:val="none"/>
        </w:rPr>
      </w:pP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 方：                          乙 方：</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单位地址：                       单位地址：</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法定代表人：                     法定代表人：</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委托代理人：                     委托代理人：</w:t>
      </w:r>
    </w:p>
    <w:p>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电 话：                          电 话：</w:t>
      </w:r>
    </w:p>
    <w:p>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（监督管理部门）</w:t>
      </w:r>
    </w:p>
    <w:p>
      <w:pPr>
        <w:widowControl/>
        <w:spacing w:line="520" w:lineRule="atLeast"/>
        <w:ind w:firstLine="4200" w:firstLineChars="175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签订日期： </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 xml:space="preserve">年 </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月</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 xml:space="preserve"> 日</w:t>
      </w:r>
    </w:p>
    <w:p>
      <w:pPr>
        <w:widowControl/>
        <w:rPr>
          <w:rFonts w:asciiTheme="minorEastAsia" w:hAnsiTheme="minorEastAsia" w:eastAsiaTheme="minorEastAsia"/>
          <w:b/>
          <w:bCs/>
          <w:color w:val="auto"/>
          <w:kern w:val="0"/>
          <w:sz w:val="24"/>
          <w:szCs w:val="24"/>
          <w:highlight w:val="none"/>
        </w:rPr>
      </w:pPr>
    </w:p>
    <w:p>
      <w:pPr>
        <w:widowControl/>
        <w:jc w:val="center"/>
        <w:rPr>
          <w:rFonts w:asciiTheme="minorEastAsia" w:hAnsiTheme="minorEastAsia" w:eastAsiaTheme="minorEastAsia"/>
          <w:b/>
          <w:bCs/>
          <w:color w:val="auto"/>
          <w:kern w:val="0"/>
          <w:sz w:val="24"/>
          <w:szCs w:val="24"/>
          <w:highlight w:val="none"/>
        </w:rPr>
      </w:pPr>
    </w:p>
    <w:p>
      <w:pPr>
        <w:widowControl/>
        <w:jc w:val="center"/>
        <w:rPr>
          <w:rFonts w:asciiTheme="minorEastAsia" w:hAnsiTheme="minorEastAsia" w:eastAsiaTheme="minorEastAsia"/>
          <w:b/>
          <w:bCs/>
          <w:color w:val="auto"/>
          <w:kern w:val="0"/>
          <w:sz w:val="24"/>
          <w:szCs w:val="24"/>
          <w:highlight w:val="none"/>
        </w:rPr>
      </w:pPr>
    </w:p>
    <w:p>
      <w:pPr>
        <w:widowControl/>
        <w:jc w:val="center"/>
        <w:rPr>
          <w:rFonts w:asciiTheme="minorEastAsia" w:hAnsiTheme="minorEastAsia" w:eastAsiaTheme="minorEastAsia"/>
          <w:b/>
          <w:bCs/>
          <w:color w:val="auto"/>
          <w:kern w:val="0"/>
          <w:sz w:val="44"/>
          <w:szCs w:val="44"/>
          <w:highlight w:val="none"/>
        </w:rPr>
      </w:pPr>
    </w:p>
    <w:p>
      <w:pPr>
        <w:pStyle w:val="25"/>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pPr>
        <w:pStyle w:val="25"/>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pPr>
        <w:pStyle w:val="25"/>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pPr>
        <w:pStyle w:val="25"/>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pPr>
        <w:pStyle w:val="25"/>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pPr>
        <w:pStyle w:val="25"/>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pPr>
        <w:pStyle w:val="25"/>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pPr>
        <w:pStyle w:val="25"/>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pPr>
        <w:pStyle w:val="25"/>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pPr>
        <w:pStyle w:val="25"/>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pPr>
        <w:pStyle w:val="25"/>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pPr>
        <w:pStyle w:val="25"/>
        <w:numPr>
          <w:ilvl w:val="0"/>
          <w:numId w:val="0"/>
        </w:numPr>
        <w:ind w:firstLine="0" w:firstLineChars="0"/>
        <w:jc w:val="center"/>
        <w:rPr>
          <w:rFonts w:hint="eastAsia" w:ascii="宋体" w:hAnsi="宋体" w:eastAsia="宋体"/>
          <w:b/>
          <w:color w:val="auto"/>
          <w:sz w:val="36"/>
          <w:szCs w:val="36"/>
          <w:highlight w:val="none"/>
          <w:lang w:val="en-US" w:eastAsia="zh-CN"/>
        </w:rPr>
      </w:pPr>
    </w:p>
    <w:p>
      <w:pPr>
        <w:pStyle w:val="25"/>
        <w:numPr>
          <w:ilvl w:val="0"/>
          <w:numId w:val="0"/>
        </w:numPr>
        <w:ind w:firstLine="0" w:firstLineChars="0"/>
        <w:jc w:val="center"/>
        <w:rPr>
          <w:rFonts w:hint="eastAsia" w:ascii="宋体" w:hAnsi="宋体" w:eastAsia="宋体"/>
          <w:b/>
          <w:color w:val="auto"/>
          <w:sz w:val="36"/>
          <w:szCs w:val="36"/>
          <w:highlight w:val="none"/>
          <w:lang w:val="en-US" w:eastAsia="zh-CN"/>
        </w:rPr>
      </w:pPr>
    </w:p>
    <w:p>
      <w:pPr>
        <w:pStyle w:val="25"/>
        <w:numPr>
          <w:ilvl w:val="0"/>
          <w:numId w:val="0"/>
        </w:numPr>
        <w:ind w:firstLine="0" w:firstLineChars="0"/>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lang w:val="en-US" w:eastAsia="zh-CN"/>
        </w:rPr>
        <w:t>第六章</w:t>
      </w:r>
      <w:r>
        <w:rPr>
          <w:rFonts w:ascii="宋体" w:hAnsi="宋体" w:eastAsia="宋体"/>
          <w:b/>
          <w:color w:val="auto"/>
          <w:sz w:val="36"/>
          <w:szCs w:val="36"/>
          <w:highlight w:val="none"/>
        </w:rPr>
        <w:t xml:space="preserve">  投标文件格式</w:t>
      </w:r>
    </w:p>
    <w:p>
      <w:pPr>
        <w:spacing w:line="360" w:lineRule="auto"/>
        <w:ind w:right="-483" w:rightChars="-230"/>
        <w:rPr>
          <w:rFonts w:hint="eastAsia" w:ascii="宋体" w:hAnsi="宋体" w:eastAsia="宋体"/>
          <w:color w:val="auto"/>
          <w:sz w:val="28"/>
          <w:szCs w:val="28"/>
          <w:highlight w:val="none"/>
        </w:rPr>
      </w:pPr>
      <w:bookmarkStart w:id="43" w:name="_Toc171073042"/>
      <w:bookmarkStart w:id="44" w:name="_Toc223432387"/>
      <w:bookmarkStart w:id="45" w:name="_Toc171073207"/>
      <w:bookmarkStart w:id="46" w:name="_Toc169921407"/>
    </w:p>
    <w:p>
      <w:pPr>
        <w:spacing w:line="360" w:lineRule="auto"/>
        <w:ind w:right="-483" w:rightChars="-230"/>
        <w:rPr>
          <w:rFonts w:hint="eastAsia" w:ascii="宋体" w:hAnsi="宋体" w:eastAsia="宋体"/>
          <w:color w:val="auto"/>
          <w:sz w:val="28"/>
          <w:szCs w:val="28"/>
          <w:highlight w:val="none"/>
        </w:rPr>
      </w:pPr>
    </w:p>
    <w:p>
      <w:pPr>
        <w:spacing w:line="360" w:lineRule="auto"/>
        <w:ind w:right="-483" w:rightChars="-230" w:firstLine="3360" w:firstLineChars="1200"/>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 xml:space="preserve">项目名称  </w:t>
      </w:r>
      <w:r>
        <w:rPr>
          <w:rFonts w:hint="eastAsia" w:ascii="宋体" w:hAnsi="宋体" w:eastAsia="宋体"/>
          <w:color w:val="auto"/>
          <w:sz w:val="28"/>
          <w:szCs w:val="28"/>
          <w:highlight w:val="none"/>
          <w:lang w:eastAsia="zh-CN"/>
        </w:rPr>
        <w:t>：</w:t>
      </w:r>
    </w:p>
    <w:p>
      <w:pPr>
        <w:spacing w:line="360" w:lineRule="auto"/>
        <w:ind w:right="-483" w:rightChars="-230" w:firstLine="3360" w:firstLineChars="1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项目编号</w:t>
      </w:r>
      <w:r>
        <w:rPr>
          <w:rFonts w:hint="eastAsia" w:ascii="宋体" w:hAnsi="宋体" w:eastAsia="宋体"/>
          <w:color w:val="auto"/>
          <w:sz w:val="28"/>
          <w:szCs w:val="28"/>
          <w:highlight w:val="none"/>
          <w:lang w:val="en-US" w:eastAsia="zh-CN"/>
        </w:rPr>
        <w:t xml:space="preserve">  ：</w:t>
      </w:r>
    </w:p>
    <w:p>
      <w:pPr>
        <w:spacing w:line="360" w:lineRule="auto"/>
        <w:ind w:right="-483" w:rightChars="-230" w:firstLine="3373" w:firstLineChars="600"/>
        <w:jc w:val="both"/>
        <w:rPr>
          <w:rFonts w:hint="eastAsia" w:ascii="宋体" w:hAnsi="宋体" w:eastAsia="宋体"/>
          <w:b/>
          <w:bCs/>
          <w:color w:val="auto"/>
          <w:sz w:val="56"/>
          <w:szCs w:val="56"/>
          <w:highlight w:val="none"/>
        </w:rPr>
      </w:pPr>
    </w:p>
    <w:p>
      <w:pPr>
        <w:spacing w:line="360" w:lineRule="auto"/>
        <w:ind w:right="-483" w:rightChars="-230" w:firstLine="3373" w:firstLineChars="600"/>
        <w:jc w:val="both"/>
        <w:rPr>
          <w:b/>
          <w:bCs/>
          <w:color w:val="auto"/>
          <w:sz w:val="56"/>
          <w:szCs w:val="56"/>
          <w:highlight w:val="none"/>
        </w:rPr>
      </w:pPr>
      <w:r>
        <w:rPr>
          <w:rFonts w:hint="eastAsia" w:ascii="宋体" w:hAnsi="宋体" w:eastAsia="宋体"/>
          <w:b/>
          <w:bCs/>
          <w:color w:val="auto"/>
          <w:sz w:val="56"/>
          <w:szCs w:val="56"/>
          <w:highlight w:val="none"/>
        </w:rPr>
        <w:t>投 标 文 件</w:t>
      </w:r>
    </w:p>
    <w:p>
      <w:pPr>
        <w:spacing w:line="360" w:lineRule="auto"/>
        <w:ind w:left="-283" w:leftChars="-135" w:right="-483" w:rightChars="-230" w:firstLine="4620" w:firstLineChars="1650"/>
        <w:rPr>
          <w:rFonts w:ascii="宋体" w:hAnsi="宋体" w:eastAsia="宋体"/>
          <w:color w:val="auto"/>
          <w:sz w:val="28"/>
          <w:szCs w:val="28"/>
          <w:highlight w:val="none"/>
        </w:rPr>
      </w:pPr>
    </w:p>
    <w:bookmarkEnd w:id="43"/>
    <w:bookmarkEnd w:id="44"/>
    <w:bookmarkEnd w:id="45"/>
    <w:bookmarkEnd w:id="46"/>
    <w:p>
      <w:pPr>
        <w:spacing w:line="660" w:lineRule="auto"/>
        <w:rPr>
          <w:rFonts w:ascii="宋体" w:hAnsi="宋体" w:eastAsia="宋体"/>
          <w:color w:val="auto"/>
          <w:sz w:val="28"/>
          <w:szCs w:val="28"/>
          <w:highlight w:val="none"/>
        </w:rPr>
      </w:pPr>
    </w:p>
    <w:p>
      <w:pPr>
        <w:spacing w:line="480" w:lineRule="auto"/>
        <w:ind w:left="735" w:leftChars="350" w:firstLine="1089" w:firstLineChars="389"/>
        <w:rPr>
          <w:rFonts w:hint="eastAsia" w:ascii="宋体" w:hAnsi="宋体" w:eastAsia="宋体"/>
          <w:color w:val="auto"/>
          <w:sz w:val="28"/>
          <w:szCs w:val="28"/>
          <w:highlight w:val="none"/>
        </w:rPr>
      </w:pPr>
    </w:p>
    <w:p>
      <w:pPr>
        <w:spacing w:line="480" w:lineRule="auto"/>
        <w:ind w:left="735" w:leftChars="350" w:firstLine="1089" w:firstLineChars="389"/>
        <w:rPr>
          <w:rFonts w:hint="eastAsia" w:ascii="宋体" w:hAnsi="宋体" w:eastAsia="宋体"/>
          <w:color w:val="auto"/>
          <w:sz w:val="28"/>
          <w:szCs w:val="28"/>
          <w:highlight w:val="none"/>
        </w:rPr>
      </w:pPr>
    </w:p>
    <w:p>
      <w:pPr>
        <w:spacing w:line="480" w:lineRule="auto"/>
        <w:ind w:left="735" w:leftChars="350" w:firstLine="1089" w:firstLineChars="389"/>
        <w:rPr>
          <w:rFonts w:hint="eastAsia" w:ascii="宋体" w:hAnsi="宋体" w:eastAsia="宋体"/>
          <w:color w:val="auto"/>
          <w:sz w:val="28"/>
          <w:szCs w:val="28"/>
          <w:highlight w:val="none"/>
        </w:rPr>
      </w:pPr>
    </w:p>
    <w:p>
      <w:pPr>
        <w:spacing w:line="480" w:lineRule="auto"/>
        <w:ind w:left="735" w:leftChars="350" w:firstLine="1089" w:firstLineChars="389"/>
        <w:rPr>
          <w:rFonts w:hint="eastAsia" w:ascii="宋体" w:hAnsi="宋体" w:eastAsia="宋体"/>
          <w:color w:val="auto"/>
          <w:sz w:val="28"/>
          <w:szCs w:val="28"/>
          <w:highlight w:val="none"/>
        </w:rPr>
      </w:pPr>
    </w:p>
    <w:p>
      <w:pPr>
        <w:spacing w:line="480" w:lineRule="auto"/>
        <w:ind w:left="735" w:leftChars="350" w:firstLine="1089" w:firstLineChars="389"/>
        <w:rPr>
          <w:rFonts w:ascii="宋体" w:hAnsi="宋体" w:eastAsia="宋体"/>
          <w:color w:val="auto"/>
          <w:sz w:val="28"/>
          <w:szCs w:val="28"/>
          <w:highlight w:val="none"/>
        </w:rPr>
      </w:pPr>
      <w:r>
        <w:rPr>
          <w:rFonts w:hint="eastAsia" w:ascii="宋体" w:hAnsi="宋体" w:eastAsia="宋体"/>
          <w:color w:val="auto"/>
          <w:sz w:val="28"/>
          <w:szCs w:val="28"/>
          <w:highlight w:val="none"/>
        </w:rPr>
        <w:t>供应商：</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pPr>
        <w:spacing w:line="480" w:lineRule="auto"/>
        <w:ind w:left="735" w:leftChars="350" w:firstLine="1089" w:firstLineChars="389"/>
        <w:rPr>
          <w:rFonts w:ascii="宋体" w:hAnsi="宋体" w:eastAsia="宋体"/>
          <w:color w:val="auto"/>
          <w:sz w:val="28"/>
          <w:szCs w:val="28"/>
          <w:highlight w:val="none"/>
        </w:rPr>
      </w:pPr>
      <w:r>
        <w:rPr>
          <w:rFonts w:hint="eastAsia" w:ascii="宋体" w:hAnsi="宋体" w:eastAsia="宋体"/>
          <w:color w:val="auto"/>
          <w:sz w:val="28"/>
          <w:szCs w:val="28"/>
          <w:highlight w:val="none"/>
        </w:rPr>
        <w:t>法定代表人/委托代理人：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pPr>
        <w:ind w:firstLine="2060" w:firstLineChars="736"/>
        <w:rPr>
          <w:rFonts w:ascii="宋体" w:hAnsi="宋体" w:eastAsia="宋体"/>
          <w:color w:val="auto"/>
          <w:sz w:val="28"/>
          <w:szCs w:val="28"/>
          <w:highlight w:val="none"/>
        </w:rPr>
      </w:pPr>
      <w:r>
        <w:rPr>
          <w:rFonts w:hint="eastAsia" w:ascii="宋体" w:hAnsi="宋体" w:eastAsia="宋体"/>
          <w:color w:val="auto"/>
          <w:sz w:val="28"/>
          <w:szCs w:val="28"/>
          <w:highlight w:val="none"/>
        </w:rPr>
        <w:t>日期：年 月 日</w:t>
      </w:r>
      <w:bookmarkStart w:id="47" w:name="_Toc171073043"/>
      <w:bookmarkStart w:id="48" w:name="_Toc171073208"/>
      <w:bookmarkStart w:id="49" w:name="_Toc223432388"/>
    </w:p>
    <w:bookmarkEnd w:id="47"/>
    <w:bookmarkEnd w:id="48"/>
    <w:bookmarkEnd w:id="49"/>
    <w:p>
      <w:pPr>
        <w:rPr>
          <w:rFonts w:ascii="宋体" w:hAnsi="宋体" w:eastAsia="宋体"/>
          <w:b/>
          <w:color w:val="auto"/>
          <w:sz w:val="28"/>
          <w:szCs w:val="28"/>
          <w:highlight w:val="none"/>
        </w:rPr>
      </w:pPr>
    </w:p>
    <w:p>
      <w:pPr>
        <w:rPr>
          <w:rFonts w:ascii="宋体" w:hAnsi="宋体" w:eastAsia="宋体"/>
          <w:b/>
          <w:color w:val="auto"/>
          <w:sz w:val="28"/>
          <w:szCs w:val="28"/>
          <w:highlight w:val="none"/>
        </w:rPr>
      </w:pPr>
    </w:p>
    <w:p>
      <w:pPr>
        <w:rPr>
          <w:rFonts w:ascii="宋体" w:hAnsi="宋体" w:eastAsia="宋体"/>
          <w:b/>
          <w:color w:val="auto"/>
          <w:sz w:val="28"/>
          <w:szCs w:val="28"/>
          <w:highlight w:val="none"/>
        </w:rPr>
      </w:pPr>
    </w:p>
    <w:p>
      <w:pPr>
        <w:rPr>
          <w:rFonts w:ascii="宋体" w:hAnsi="宋体" w:eastAsia="宋体"/>
          <w:b/>
          <w:color w:val="auto"/>
          <w:sz w:val="28"/>
          <w:szCs w:val="28"/>
          <w:highlight w:val="none"/>
        </w:rPr>
      </w:pPr>
    </w:p>
    <w:p>
      <w:pPr>
        <w:tabs>
          <w:tab w:val="left" w:pos="0"/>
        </w:tabs>
        <w:spacing w:line="480" w:lineRule="auto"/>
        <w:jc w:val="both"/>
        <w:rPr>
          <w:rFonts w:hint="eastAsia" w:ascii="宋体" w:hAnsi="宋体" w:eastAsia="宋体"/>
          <w:color w:val="auto"/>
          <w:sz w:val="28"/>
          <w:szCs w:val="28"/>
          <w:highlight w:val="none"/>
        </w:rPr>
      </w:pPr>
    </w:p>
    <w:p>
      <w:pPr>
        <w:tabs>
          <w:tab w:val="left" w:pos="0"/>
        </w:tabs>
        <w:spacing w:line="480" w:lineRule="auto"/>
        <w:ind w:left="1622" w:firstLine="2520" w:firstLineChars="900"/>
        <w:jc w:val="both"/>
        <w:rPr>
          <w:rFonts w:ascii="宋体" w:hAnsi="宋体" w:eastAsia="宋体"/>
          <w:color w:val="auto"/>
          <w:sz w:val="28"/>
          <w:szCs w:val="28"/>
          <w:highlight w:val="none"/>
        </w:rPr>
      </w:pPr>
      <w:r>
        <w:rPr>
          <w:rFonts w:hint="eastAsia" w:ascii="宋体" w:hAnsi="宋体" w:eastAsia="宋体"/>
          <w:color w:val="auto"/>
          <w:sz w:val="28"/>
          <w:szCs w:val="28"/>
          <w:highlight w:val="none"/>
        </w:rPr>
        <w:t>目  录</w:t>
      </w: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一、投标函</w:t>
      </w: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二、开标一览表</w:t>
      </w: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三、参数一览表</w:t>
      </w: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四、法定代表人身份证明及授权委托书</w:t>
      </w: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五、投标承诺函</w:t>
      </w: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六、供应商基本情况表</w:t>
      </w: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七、营业执照、税务登记证书等相关</w:t>
      </w:r>
      <w:r>
        <w:rPr>
          <w:rFonts w:hint="eastAsia" w:ascii="宋体" w:hAnsi="宋体" w:eastAsia="宋体"/>
          <w:color w:val="auto"/>
          <w:sz w:val="28"/>
          <w:szCs w:val="28"/>
          <w:highlight w:val="none"/>
          <w:lang w:eastAsia="zh-CN"/>
        </w:rPr>
        <w:t>资料</w:t>
      </w: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八、承担过的类似业绩(如有)</w:t>
      </w: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九、其他</w:t>
      </w:r>
      <w:r>
        <w:rPr>
          <w:rFonts w:hint="eastAsia" w:ascii="宋体" w:hAnsi="宋体" w:eastAsia="宋体"/>
          <w:color w:val="auto"/>
          <w:sz w:val="28"/>
          <w:szCs w:val="28"/>
          <w:highlight w:val="none"/>
          <w:lang w:eastAsia="zh-CN"/>
        </w:rPr>
        <w:t>资料</w:t>
      </w: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pPr>
        <w:widowControl/>
        <w:tabs>
          <w:tab w:val="left" w:pos="0"/>
        </w:tabs>
        <w:wordWrap/>
        <w:adjustRightInd w:val="0"/>
        <w:snapToGrid w:val="0"/>
        <w:spacing w:before="0" w:beforeLines="0" w:after="0" w:afterLines="0" w:line="360" w:lineRule="auto"/>
        <w:ind w:right="0" w:firstLine="4176" w:firstLineChars="1300"/>
        <w:jc w:val="left"/>
        <w:textAlignment w:val="auto"/>
        <w:outlineLvl w:val="9"/>
        <w:rPr>
          <w:rFonts w:ascii="宋体" w:hAnsi="宋体"/>
          <w:b/>
          <w:bCs w:val="0"/>
          <w:color w:val="auto"/>
          <w:sz w:val="32"/>
          <w:szCs w:val="32"/>
          <w:highlight w:val="none"/>
        </w:rPr>
      </w:pPr>
      <w:r>
        <w:rPr>
          <w:rFonts w:ascii="宋体" w:hAnsi="宋体"/>
          <w:b/>
          <w:bCs w:val="0"/>
          <w:color w:val="auto"/>
          <w:sz w:val="32"/>
          <w:szCs w:val="32"/>
          <w:highlight w:val="none"/>
        </w:rPr>
        <w:t>一、投标函</w:t>
      </w:r>
    </w:p>
    <w:p>
      <w:pPr>
        <w:widowControl/>
        <w:wordWrap/>
        <w:adjustRightInd w:val="0"/>
        <w:snapToGrid w:val="0"/>
        <w:spacing w:after="0" w:afterLines="0" w:line="480" w:lineRule="exact"/>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致</w:t>
      </w:r>
      <w:r>
        <w:rPr>
          <w:rFonts w:hint="eastAsia" w:ascii="宋体" w:hAnsi="宋体" w:eastAsia="宋体"/>
          <w:color w:val="auto"/>
          <w:sz w:val="24"/>
          <w:szCs w:val="24"/>
          <w:highlight w:val="none"/>
          <w:u w:val="single"/>
        </w:rPr>
        <w:t>（采购人 ）</w:t>
      </w:r>
      <w:r>
        <w:rPr>
          <w:rFonts w:hint="eastAsia" w:ascii="宋体" w:hAnsi="宋体" w:eastAsia="宋体"/>
          <w:color w:val="auto"/>
          <w:sz w:val="24"/>
          <w:szCs w:val="24"/>
          <w:highlight w:val="none"/>
        </w:rPr>
        <w:t>：</w:t>
      </w:r>
    </w:p>
    <w:p>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根据已收到贵方的</w:t>
      </w:r>
      <w:r>
        <w:rPr>
          <w:rFonts w:hint="eastAsia" w:ascii="宋体" w:hAnsi="宋体" w:eastAsia="宋体"/>
          <w:color w:val="auto"/>
          <w:sz w:val="24"/>
          <w:szCs w:val="24"/>
          <w:highlight w:val="none"/>
          <w:u w:val="single"/>
        </w:rPr>
        <w:t>（项目名称）（项目编号）</w:t>
      </w:r>
      <w:r>
        <w:rPr>
          <w:rFonts w:hint="eastAsia" w:ascii="宋体" w:hAnsi="宋体" w:eastAsia="宋体"/>
          <w:color w:val="auto"/>
          <w:sz w:val="24"/>
          <w:szCs w:val="24"/>
          <w:highlight w:val="none"/>
        </w:rPr>
        <w:t>的招标文件，遵照《中华人民共和国政府采购法》等有关规定，我单位经考察现场和研究上述招标文件的投标须知、合同条款、技术参数及其它有关文件后，我方愿以人民币</w:t>
      </w:r>
      <w:r>
        <w:rPr>
          <w:rFonts w:hint="eastAsia" w:ascii="宋体" w:hAnsi="宋体" w:eastAsia="宋体"/>
          <w:color w:val="auto"/>
          <w:sz w:val="24"/>
          <w:szCs w:val="24"/>
          <w:highlight w:val="none"/>
          <w:u w:val="single"/>
        </w:rPr>
        <w:t xml:space="preserve">（大写）          （小写：       </w:t>
      </w:r>
      <w:r>
        <w:rPr>
          <w:rFonts w:hint="eastAsia" w:ascii="宋体" w:hAnsi="宋体" w:eastAsia="宋体"/>
          <w:color w:val="auto"/>
          <w:sz w:val="24"/>
          <w:szCs w:val="24"/>
          <w:highlight w:val="none"/>
        </w:rPr>
        <w:t>元）的投标报价承包上述项目的采购</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为该项目提供相应的</w:t>
      </w:r>
      <w:r>
        <w:rPr>
          <w:rFonts w:hint="eastAsia" w:ascii="宋体" w:hAnsi="宋体" w:eastAsia="宋体"/>
          <w:color w:val="auto"/>
          <w:sz w:val="24"/>
          <w:szCs w:val="24"/>
          <w:highlight w:val="none"/>
          <w:lang w:eastAsia="zh-CN"/>
        </w:rPr>
        <w:t>采购</w:t>
      </w:r>
      <w:r>
        <w:rPr>
          <w:rFonts w:hint="eastAsia" w:ascii="宋体" w:hAnsi="宋体" w:eastAsia="宋体"/>
          <w:color w:val="auto"/>
          <w:sz w:val="24"/>
          <w:szCs w:val="24"/>
          <w:highlight w:val="none"/>
        </w:rPr>
        <w:t>服务；</w:t>
      </w:r>
      <w:r>
        <w:rPr>
          <w:rFonts w:hint="eastAsia" w:ascii="宋体" w:hAnsi="宋体" w:eastAsia="宋体"/>
          <w:color w:val="auto"/>
          <w:sz w:val="24"/>
          <w:szCs w:val="24"/>
          <w:highlight w:val="none"/>
          <w:lang w:eastAsia="zh-CN"/>
        </w:rPr>
        <w:t>供货周期</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；质量要求：</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；质保期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 xml:space="preserve">投标有效期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我方承认投标函附表是我方投标函的组成部分。</w:t>
      </w:r>
    </w:p>
    <w:p>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如我方中标，我方承诺在收到中标通知书后，在中标通知书规定的期限内，根据招标文件、我方的投标文件及有关澄清承诺书的要求，与采购人订立书面合同，并按照合同约定承担完成合同的责任和义务。</w:t>
      </w:r>
    </w:p>
    <w:p>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我方同意自本项目招标文件中规定的投标有效期内有效，并承诺在投标有效期内不修改、撤销投标文件。</w:t>
      </w:r>
    </w:p>
    <w:p>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我方在此声明，所递交的投标文件及有关资料内容完整、真实和准确。</w:t>
      </w:r>
    </w:p>
    <w:p>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我们愿按《中华人民共和国合同法》履行自己的全部责任。</w:t>
      </w:r>
    </w:p>
    <w:p>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投标报价含货物、软件、标准附件、备品备件、专用工具、图纸资料、技术服务，包装、仓储、运输、装卸、保险、税金，货到就位以及安装、调试、培训、保修等一切费用。</w:t>
      </w:r>
    </w:p>
    <w:p>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我们承诺，我方愿承担后期市场风险等其他一切因素影响。</w:t>
      </w:r>
    </w:p>
    <w:p>
      <w:pPr>
        <w:spacing w:after="0" w:afterLines="0" w:line="480" w:lineRule="exact"/>
        <w:jc w:val="both"/>
        <w:outlineLvl w:val="0"/>
        <w:rPr>
          <w:rFonts w:hint="eastAsia" w:ascii="宋体" w:hAnsi="宋体" w:eastAsia="宋体"/>
          <w:color w:val="auto"/>
          <w:sz w:val="28"/>
          <w:szCs w:val="28"/>
          <w:highlight w:val="none"/>
        </w:rPr>
      </w:pPr>
    </w:p>
    <w:p>
      <w:pPr>
        <w:spacing w:after="0" w:afterLines="0" w:line="480" w:lineRule="exact"/>
        <w:jc w:val="both"/>
        <w:outlineLvl w:val="0"/>
        <w:rPr>
          <w:rFonts w:ascii="宋体" w:hAnsi="宋体" w:eastAsia="宋体"/>
          <w:color w:val="auto"/>
          <w:sz w:val="28"/>
          <w:szCs w:val="28"/>
          <w:highlight w:val="none"/>
        </w:rPr>
      </w:pPr>
      <w:r>
        <w:rPr>
          <w:rFonts w:hint="eastAsia" w:ascii="宋体" w:hAnsi="宋体" w:eastAsia="宋体"/>
          <w:color w:val="auto"/>
          <w:sz w:val="28"/>
          <w:szCs w:val="28"/>
          <w:highlight w:val="none"/>
        </w:rPr>
        <w:t>供应商(签章)：</w:t>
      </w:r>
    </w:p>
    <w:p>
      <w:pPr>
        <w:spacing w:after="0" w:afterLines="0" w:line="480" w:lineRule="exact"/>
        <w:jc w:val="both"/>
        <w:outlineLvl w:val="0"/>
        <w:rPr>
          <w:rFonts w:ascii="宋体" w:hAnsi="宋体" w:eastAsia="宋体"/>
          <w:color w:val="auto"/>
          <w:sz w:val="28"/>
          <w:szCs w:val="28"/>
          <w:highlight w:val="none"/>
        </w:rPr>
      </w:pPr>
      <w:r>
        <w:rPr>
          <w:rFonts w:hint="eastAsia" w:ascii="宋体" w:hAnsi="宋体" w:eastAsia="宋体"/>
          <w:color w:val="auto"/>
          <w:sz w:val="28"/>
          <w:szCs w:val="28"/>
          <w:highlight w:val="none"/>
        </w:rPr>
        <w:t>法定代表人(签章)：</w:t>
      </w:r>
    </w:p>
    <w:p>
      <w:pPr>
        <w:spacing w:after="0" w:afterLines="0" w:line="480" w:lineRule="exact"/>
        <w:jc w:val="left"/>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日期： 年 月 日</w:t>
      </w:r>
    </w:p>
    <w:p>
      <w:pPr>
        <w:pStyle w:val="19"/>
        <w:tabs>
          <w:tab w:val="left" w:pos="720"/>
        </w:tabs>
        <w:rPr>
          <w:rFonts w:hint="eastAsia"/>
          <w:color w:val="auto"/>
          <w:highlight w:val="none"/>
        </w:rPr>
      </w:pPr>
    </w:p>
    <w:p>
      <w:pPr>
        <w:spacing w:after="0" w:afterLines="0" w:line="480" w:lineRule="exact"/>
        <w:jc w:val="center"/>
        <w:outlineLvl w:val="0"/>
        <w:rPr>
          <w:rFonts w:ascii="宋体" w:hAnsi="宋体" w:eastAsia="宋体"/>
          <w:b/>
          <w:bCs/>
          <w:color w:val="auto"/>
          <w:sz w:val="28"/>
          <w:szCs w:val="28"/>
          <w:highlight w:val="none"/>
        </w:rPr>
      </w:pPr>
      <w:r>
        <w:rPr>
          <w:rFonts w:ascii="宋体" w:hAnsi="宋体" w:eastAsia="宋体"/>
          <w:color w:val="auto"/>
          <w:sz w:val="28"/>
          <w:szCs w:val="28"/>
          <w:highlight w:val="none"/>
        </w:rPr>
        <w:br w:type="page"/>
      </w:r>
      <w:r>
        <w:rPr>
          <w:rFonts w:hint="eastAsia" w:ascii="宋体" w:hAnsi="宋体" w:eastAsia="宋体"/>
          <w:b/>
          <w:bCs/>
          <w:color w:val="auto"/>
          <w:sz w:val="28"/>
          <w:szCs w:val="28"/>
          <w:highlight w:val="none"/>
        </w:rPr>
        <w:t>二、开标一览表</w:t>
      </w:r>
    </w:p>
    <w:tbl>
      <w:tblPr>
        <w:tblStyle w:val="21"/>
        <w:tblpPr w:leftFromText="180" w:rightFromText="180" w:vertAnchor="text" w:horzAnchor="page" w:tblpX="1725" w:tblpY="4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377"/>
        <w:gridCol w:w="1785"/>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项目名称</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供应商地址</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统一信用代码</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投标报价</w:t>
            </w:r>
            <w:r>
              <w:rPr>
                <w:rFonts w:hint="eastAsia" w:ascii="宋体" w:hAnsi="宋体" w:eastAsia="宋体" w:cs="宋体"/>
                <w:color w:val="auto"/>
                <w:kern w:val="2"/>
                <w:sz w:val="24"/>
                <w:szCs w:val="24"/>
                <w:highlight w:val="none"/>
                <w:lang w:eastAsia="zh-CN"/>
              </w:rPr>
              <w:t>（元）</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大写：</w:t>
            </w:r>
          </w:p>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法定代表人姓名</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项目负责人姓名</w:t>
            </w:r>
          </w:p>
        </w:tc>
        <w:tc>
          <w:tcPr>
            <w:tcW w:w="2377"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c>
          <w:tcPr>
            <w:tcW w:w="178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联系方式</w:t>
            </w:r>
          </w:p>
        </w:tc>
        <w:tc>
          <w:tcPr>
            <w:tcW w:w="19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lang w:eastAsia="zh-CN"/>
              </w:rPr>
              <w:t>供货周期</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质保期</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交货地点</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投标内容</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投标有效期</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其 他</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 注</w:t>
            </w:r>
          </w:p>
        </w:tc>
        <w:tc>
          <w:tcPr>
            <w:tcW w:w="6118"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bl>
    <w:p>
      <w:pPr>
        <w:pStyle w:val="18"/>
        <w:ind w:left="0" w:leftChars="0" w:firstLine="0" w:firstLineChars="0"/>
        <w:rPr>
          <w:color w:val="auto"/>
          <w:highlight w:val="none"/>
        </w:rPr>
      </w:pPr>
    </w:p>
    <w:p>
      <w:pPr>
        <w:widowControl/>
        <w:wordWrap/>
        <w:adjustRightInd w:val="0"/>
        <w:snapToGrid w:val="0"/>
        <w:spacing w:after="0" w:afterLines="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注1：上述日期均以日历天为单位，包括法定节假日。</w:t>
      </w:r>
    </w:p>
    <w:p>
      <w:pPr>
        <w:autoSpaceDE w:val="0"/>
        <w:autoSpaceDN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2、以上数量为一年使用估算量，最终结算价=供应商一年实际供货量*中标单价。</w:t>
      </w:r>
    </w:p>
    <w:p>
      <w:pPr>
        <w:autoSpaceDE w:val="0"/>
        <w:autoSpaceDN w:val="0"/>
        <w:spacing w:line="360" w:lineRule="auto"/>
        <w:ind w:firstLine="240" w:firstLineChars="1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lang w:val="en-US" w:eastAsia="zh-CN"/>
        </w:rPr>
        <w:t>3、以上报价均包含货物费、运输费、税费、售后服务及相关伴随服务等与项目相关的所有费用。</w:t>
      </w:r>
      <w:r>
        <w:rPr>
          <w:rFonts w:hint="eastAsia" w:ascii="宋体" w:hAnsi="宋体" w:eastAsia="宋体" w:cs="宋体"/>
          <w:color w:val="auto"/>
          <w:sz w:val="28"/>
          <w:szCs w:val="28"/>
          <w:highlight w:val="none"/>
        </w:rPr>
        <w:t xml:space="preserve">             </w:t>
      </w:r>
    </w:p>
    <w:p>
      <w:pPr>
        <w:autoSpaceDE w:val="0"/>
        <w:autoSpaceDN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olor w:val="auto"/>
          <w:sz w:val="28"/>
          <w:szCs w:val="28"/>
          <w:highlight w:val="none"/>
        </w:rPr>
        <w:t>签章</w:t>
      </w:r>
      <w:r>
        <w:rPr>
          <w:rFonts w:hint="eastAsia" w:ascii="宋体" w:hAnsi="宋体" w:eastAsia="宋体" w:cs="宋体"/>
          <w:color w:val="auto"/>
          <w:sz w:val="28"/>
          <w:szCs w:val="28"/>
          <w:highlight w:val="none"/>
        </w:rPr>
        <w:t>）</w:t>
      </w:r>
    </w:p>
    <w:p>
      <w:pPr>
        <w:autoSpaceDE w:val="0"/>
        <w:autoSpaceDN w:val="0"/>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olor w:val="auto"/>
          <w:sz w:val="28"/>
          <w:szCs w:val="28"/>
          <w:highlight w:val="none"/>
        </w:rPr>
        <w:t>签章</w:t>
      </w:r>
      <w:r>
        <w:rPr>
          <w:rFonts w:hint="eastAsia" w:ascii="宋体" w:hAnsi="宋体" w:eastAsia="宋体" w:cs="宋体"/>
          <w:color w:val="auto"/>
          <w:sz w:val="28"/>
          <w:szCs w:val="28"/>
          <w:highlight w:val="none"/>
        </w:rPr>
        <w:t>）</w:t>
      </w:r>
    </w:p>
    <w:p>
      <w:pPr>
        <w:autoSpaceDE w:val="0"/>
        <w:autoSpaceDN w:val="0"/>
        <w:spacing w:line="360" w:lineRule="auto"/>
        <w:rPr>
          <w:rFonts w:ascii="宋体" w:hAnsi="宋体"/>
          <w:color w:val="auto"/>
          <w:sz w:val="28"/>
          <w:szCs w:val="28"/>
          <w:highlight w:val="none"/>
        </w:rPr>
      </w:pPr>
      <w:r>
        <w:rPr>
          <w:rFonts w:hint="eastAsia" w:ascii="宋体" w:hAnsi="宋体" w:eastAsia="宋体" w:cs="宋体"/>
          <w:color w:val="auto"/>
          <w:sz w:val="28"/>
          <w:szCs w:val="28"/>
          <w:highlight w:val="none"/>
        </w:rPr>
        <w:t xml:space="preserve">               日期：</w:t>
      </w:r>
    </w:p>
    <w:p>
      <w:pPr>
        <w:spacing w:line="480" w:lineRule="auto"/>
        <w:jc w:val="center"/>
        <w:outlineLvl w:val="0"/>
        <w:rPr>
          <w:rFonts w:hint="eastAsia" w:ascii="宋体" w:hAnsi="宋体" w:eastAsia="宋体"/>
          <w:b/>
          <w:bCs/>
          <w:color w:val="auto"/>
          <w:sz w:val="28"/>
          <w:szCs w:val="28"/>
          <w:highlight w:val="none"/>
        </w:rPr>
      </w:pPr>
    </w:p>
    <w:p>
      <w:pPr>
        <w:spacing w:line="480" w:lineRule="auto"/>
        <w:jc w:val="both"/>
        <w:outlineLvl w:val="0"/>
        <w:rPr>
          <w:rFonts w:hint="eastAsia" w:ascii="宋体" w:hAnsi="宋体" w:eastAsia="宋体"/>
          <w:b/>
          <w:bCs/>
          <w:color w:val="auto"/>
          <w:sz w:val="28"/>
          <w:szCs w:val="28"/>
          <w:highlight w:val="none"/>
        </w:rPr>
      </w:pPr>
    </w:p>
    <w:p>
      <w:pPr>
        <w:spacing w:line="480" w:lineRule="auto"/>
        <w:jc w:val="center"/>
        <w:outlineLvl w:val="0"/>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三、参数一览表</w:t>
      </w:r>
    </w:p>
    <w:p>
      <w:pPr>
        <w:spacing w:line="480" w:lineRule="auto"/>
        <w:jc w:val="center"/>
        <w:outlineLvl w:val="0"/>
        <w:rPr>
          <w:rFonts w:ascii="宋体" w:hAnsi="宋体" w:eastAsia="宋体" w:cs="宋体"/>
          <w:color w:val="auto"/>
          <w:sz w:val="28"/>
          <w:szCs w:val="28"/>
          <w:highlight w:val="none"/>
        </w:rPr>
      </w:pPr>
      <w:r>
        <w:rPr>
          <w:rFonts w:hint="eastAsia" w:ascii="宋体" w:hAnsi="宋体" w:eastAsia="宋体"/>
          <w:b/>
          <w:bCs/>
          <w:color w:val="auto"/>
          <w:sz w:val="28"/>
          <w:szCs w:val="28"/>
          <w:highlight w:val="none"/>
        </w:rPr>
        <w:t>（一）投标货物分项一览表</w:t>
      </w:r>
    </w:p>
    <w:tbl>
      <w:tblPr>
        <w:tblStyle w:val="21"/>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50"/>
        <w:gridCol w:w="1395"/>
        <w:gridCol w:w="975"/>
        <w:gridCol w:w="885"/>
        <w:gridCol w:w="885"/>
        <w:gridCol w:w="1447"/>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6" w:type="dxa"/>
            <w:gridSpan w:val="2"/>
            <w:noWrap w:val="0"/>
            <w:vAlign w:val="center"/>
          </w:tcPr>
          <w:p>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813" w:type="dxa"/>
            <w:gridSpan w:val="6"/>
            <w:noWrap w:val="0"/>
            <w:vAlign w:val="top"/>
          </w:tcPr>
          <w:p>
            <w:pPr>
              <w:widowControl/>
              <w:spacing w:before="0" w:beforeAutospacing="0" w:afterAutospacing="0"/>
              <w:ind w:left="0" w:right="0"/>
              <w:jc w:val="center"/>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6" w:type="dxa"/>
            <w:gridSpan w:val="2"/>
            <w:noWrap w:val="0"/>
            <w:vAlign w:val="center"/>
          </w:tcPr>
          <w:p>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c>
        <w:tc>
          <w:tcPr>
            <w:tcW w:w="6813" w:type="dxa"/>
            <w:gridSpan w:val="6"/>
            <w:noWrap w:val="0"/>
            <w:vAlign w:val="top"/>
          </w:tcPr>
          <w:p>
            <w:pPr>
              <w:widowControl/>
              <w:spacing w:before="0" w:beforeAutospacing="0" w:afterAutospacing="0"/>
              <w:ind w:left="0" w:right="0"/>
              <w:jc w:val="center"/>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76" w:type="dxa"/>
            <w:noWrap w:val="0"/>
            <w:vAlign w:val="center"/>
          </w:tcPr>
          <w:p>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350" w:type="dxa"/>
            <w:noWrap w:val="0"/>
            <w:vAlign w:val="center"/>
          </w:tcPr>
          <w:p>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物品</w:t>
            </w:r>
            <w:r>
              <w:rPr>
                <w:rFonts w:hint="eastAsia" w:ascii="宋体" w:hAnsi="宋体" w:eastAsia="宋体" w:cs="宋体"/>
                <w:color w:val="auto"/>
                <w:kern w:val="2"/>
                <w:sz w:val="24"/>
                <w:szCs w:val="24"/>
                <w:highlight w:val="none"/>
              </w:rPr>
              <w:t>名称</w:t>
            </w:r>
          </w:p>
        </w:tc>
        <w:tc>
          <w:tcPr>
            <w:tcW w:w="1395" w:type="dxa"/>
            <w:noWrap w:val="0"/>
            <w:vAlign w:val="center"/>
          </w:tcPr>
          <w:p>
            <w:pPr>
              <w:widowControl/>
              <w:spacing w:before="0" w:beforeAutospacing="0" w:afterAutospacing="0"/>
              <w:ind w:left="0" w:right="0" w:firstLine="120" w:firstLineChars="5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数量</w:t>
            </w:r>
          </w:p>
        </w:tc>
        <w:tc>
          <w:tcPr>
            <w:tcW w:w="975" w:type="dxa"/>
            <w:noWrap w:val="0"/>
            <w:vAlign w:val="center"/>
          </w:tcPr>
          <w:p>
            <w:pPr>
              <w:widowControl/>
              <w:spacing w:before="0" w:beforeAutospacing="0" w:afterAutospacing="0"/>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规格</w:t>
            </w:r>
          </w:p>
        </w:tc>
        <w:tc>
          <w:tcPr>
            <w:tcW w:w="885" w:type="dxa"/>
            <w:noWrap w:val="0"/>
            <w:vAlign w:val="center"/>
          </w:tcPr>
          <w:p>
            <w:pPr>
              <w:widowControl/>
              <w:spacing w:before="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单价</w:t>
            </w:r>
          </w:p>
        </w:tc>
        <w:tc>
          <w:tcPr>
            <w:tcW w:w="885" w:type="dxa"/>
            <w:noWrap w:val="0"/>
            <w:vAlign w:val="center"/>
          </w:tcPr>
          <w:p>
            <w:pPr>
              <w:widowControl/>
              <w:spacing w:before="0" w:beforeAutospacing="0" w:afterAutospacing="0"/>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总价</w:t>
            </w:r>
          </w:p>
        </w:tc>
        <w:tc>
          <w:tcPr>
            <w:tcW w:w="1447" w:type="dxa"/>
            <w:noWrap w:val="0"/>
            <w:vAlign w:val="center"/>
          </w:tcPr>
          <w:p>
            <w:pPr>
              <w:numPr>
                <w:ilvl w:val="0"/>
                <w:numId w:val="0"/>
              </w:numPr>
              <w:ind w:left="0" w:leftChars="0" w:firstLine="0" w:firstLineChars="0"/>
              <w:jc w:val="center"/>
              <w:rPr>
                <w:rFonts w:hint="eastAsia" w:ascii="宋体" w:hAnsi="宋体" w:eastAsia="宋体" w:cs="宋体"/>
                <w:color w:val="auto"/>
                <w:kern w:val="2"/>
                <w:sz w:val="24"/>
                <w:szCs w:val="24"/>
                <w:highlight w:val="none"/>
              </w:rPr>
            </w:pPr>
            <w:r>
              <w:rPr>
                <w:rFonts w:hint="eastAsia"/>
                <w:color w:val="auto"/>
                <w:sz w:val="22"/>
                <w:szCs w:val="28"/>
                <w:highlight w:val="none"/>
                <w:vertAlign w:val="baseline"/>
                <w:lang w:val="en-US" w:eastAsia="zh-CN"/>
              </w:rPr>
              <w:t>技术参数执行标准及要求</w:t>
            </w:r>
          </w:p>
        </w:tc>
        <w:tc>
          <w:tcPr>
            <w:tcW w:w="1226" w:type="dxa"/>
            <w:noWrap w:val="0"/>
            <w:vAlign w:val="center"/>
          </w:tcPr>
          <w:p>
            <w:pPr>
              <w:widowControl/>
              <w:spacing w:before="0" w:beforeAutospacing="0" w:afterAutospacing="0"/>
              <w:ind w:right="0"/>
              <w:jc w:val="both"/>
              <w:rPr>
                <w:rFonts w:ascii="宋体" w:hAnsi="宋体" w:eastAsia="宋体" w:cs="宋体"/>
                <w:color w:val="auto"/>
                <w:kern w:val="2"/>
                <w:sz w:val="24"/>
                <w:szCs w:val="24"/>
                <w:highlight w:val="none"/>
              </w:rPr>
            </w:pPr>
            <w:r>
              <w:rPr>
                <w:rFonts w:hint="eastAsia"/>
                <w:color w:val="auto"/>
                <w:sz w:val="22"/>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1447" w:type="dxa"/>
            <w:noWrap w:val="0"/>
            <w:vAlign w:val="center"/>
          </w:tcPr>
          <w:p>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122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7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bl>
    <w:p>
      <w:pPr>
        <w:widowControl/>
        <w:wordWrap/>
        <w:autoSpaceDE w:val="0"/>
        <w:autoSpaceDN w:val="0"/>
        <w:adjustRightInd w:val="0"/>
        <w:snapToGrid w:val="0"/>
        <w:spacing w:after="0" w:afterLine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widowControl/>
        <w:wordWrap/>
        <w:autoSpaceDE w:val="0"/>
        <w:autoSpaceDN w:val="0"/>
        <w:adjustRightInd w:val="0"/>
        <w:snapToGrid w:val="0"/>
        <w:spacing w:after="0" w:afterLine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注：此表可延续，请各供应商对各种类型的物品单价进行详细填报，此报价只供采购人参考使用，不作为中标价。</w:t>
      </w:r>
    </w:p>
    <w:p>
      <w:pPr>
        <w:autoSpaceDE w:val="0"/>
        <w:autoSpaceDN w:val="0"/>
        <w:spacing w:line="360" w:lineRule="auto"/>
        <w:ind w:left="-178" w:leftChars="-8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签章</w:t>
      </w:r>
      <w:r>
        <w:rPr>
          <w:rFonts w:hint="eastAsia" w:ascii="宋体" w:hAnsi="宋体" w:eastAsia="宋体" w:cs="宋体"/>
          <w:color w:val="auto"/>
          <w:sz w:val="24"/>
          <w:szCs w:val="24"/>
          <w:highlight w:val="none"/>
        </w:rPr>
        <w:t>）</w:t>
      </w:r>
    </w:p>
    <w:p>
      <w:pPr>
        <w:autoSpaceDE w:val="0"/>
        <w:autoSpaceDN w:val="0"/>
        <w:spacing w:line="360" w:lineRule="auto"/>
        <w:ind w:firstLine="1440" w:firstLineChars="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签章</w:t>
      </w:r>
      <w:r>
        <w:rPr>
          <w:rFonts w:hint="eastAsia" w:ascii="宋体" w:hAnsi="宋体" w:eastAsia="宋体" w:cs="宋体"/>
          <w:color w:val="auto"/>
          <w:sz w:val="24"/>
          <w:szCs w:val="24"/>
          <w:highlight w:val="none"/>
        </w:rPr>
        <w:t>）</w:t>
      </w:r>
    </w:p>
    <w:p>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bookmarkStart w:id="50" w:name="_Toc402538861"/>
      <w:bookmarkStart w:id="51" w:name="_Toc360999032"/>
      <w:bookmarkStart w:id="52" w:name="_Toc380136447"/>
      <w:bookmarkStart w:id="53" w:name="_Toc440880273"/>
      <w:bookmarkStart w:id="54" w:name="_Toc402538048"/>
      <w:bookmarkStart w:id="55" w:name="_Toc402538242"/>
    </w:p>
    <w:p>
      <w:pPr>
        <w:pStyle w:val="26"/>
        <w:ind w:left="0" w:leftChars="0" w:firstLine="0" w:firstLineChars="0"/>
        <w:rPr>
          <w:rFonts w:ascii="宋体" w:hAnsi="宋体" w:cs="宋体"/>
          <w:color w:val="auto"/>
          <w:sz w:val="28"/>
          <w:szCs w:val="28"/>
          <w:highlight w:val="none"/>
        </w:rPr>
      </w:pPr>
    </w:p>
    <w:p>
      <w:pPr>
        <w:autoSpaceDE w:val="0"/>
        <w:autoSpaceDN w:val="0"/>
        <w:jc w:val="both"/>
        <w:rPr>
          <w:rFonts w:ascii="宋体" w:hAnsi="宋体" w:eastAsia="宋体" w:cs="宋体"/>
          <w:color w:val="auto"/>
          <w:sz w:val="28"/>
          <w:szCs w:val="28"/>
          <w:highlight w:val="none"/>
        </w:rPr>
      </w:pPr>
    </w:p>
    <w:p>
      <w:pPr>
        <w:autoSpaceDE w:val="0"/>
        <w:autoSpaceDN w:val="0"/>
        <w:jc w:val="center"/>
        <w:rPr>
          <w:rFonts w:ascii="宋体" w:hAnsi="宋体" w:eastAsia="宋体" w:cs="宋体"/>
          <w:color w:val="auto"/>
          <w:sz w:val="28"/>
          <w:szCs w:val="28"/>
          <w:highlight w:val="none"/>
        </w:rPr>
      </w:pPr>
    </w:p>
    <w:p>
      <w:pPr>
        <w:jc w:val="center"/>
        <w:rPr>
          <w:rFonts w:hint="eastAsia" w:ascii="宋体" w:hAnsi="宋体" w:eastAsia="宋体"/>
          <w:b/>
          <w:bCs/>
          <w:color w:val="auto"/>
          <w:sz w:val="28"/>
          <w:szCs w:val="28"/>
          <w:highlight w:val="none"/>
          <w:lang w:eastAsia="zh-CN"/>
        </w:rPr>
      </w:pPr>
    </w:p>
    <w:p>
      <w:pPr>
        <w:jc w:val="center"/>
        <w:rPr>
          <w:rFonts w:hint="eastAsia" w:ascii="宋体" w:hAnsi="宋体" w:eastAsia="宋体"/>
          <w:b/>
          <w:bCs/>
          <w:color w:val="auto"/>
          <w:sz w:val="28"/>
          <w:szCs w:val="28"/>
          <w:highlight w:val="none"/>
          <w:lang w:eastAsia="zh-CN"/>
        </w:rPr>
      </w:pPr>
    </w:p>
    <w:p>
      <w:pPr>
        <w:autoSpaceDE w:val="0"/>
        <w:autoSpaceDN w:val="0"/>
        <w:jc w:val="center"/>
        <w:rPr>
          <w:rFonts w:hint="eastAsia" w:ascii="宋体" w:hAnsi="宋体" w:eastAsia="宋体" w:cs="宋体"/>
          <w:b/>
          <w:bCs/>
          <w:color w:val="auto"/>
          <w:sz w:val="28"/>
          <w:szCs w:val="28"/>
          <w:highlight w:val="none"/>
        </w:rPr>
      </w:pPr>
    </w:p>
    <w:p>
      <w:pPr>
        <w:pStyle w:val="7"/>
        <w:rPr>
          <w:rFonts w:hint="eastAsia"/>
          <w:color w:val="auto"/>
          <w:highlight w:val="none"/>
        </w:rPr>
      </w:pPr>
    </w:p>
    <w:p>
      <w:pPr>
        <w:autoSpaceDE w:val="0"/>
        <w:autoSpaceDN w:val="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）技术要求响应与偏差表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1936"/>
        <w:gridCol w:w="2204"/>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pPr>
              <w:spacing w:line="400" w:lineRule="exact"/>
              <w:ind w:left="-141"/>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980" w:type="dxa"/>
            <w:tcBorders>
              <w:top w:val="double" w:color="auto" w:sz="4" w:space="0"/>
            </w:tcBorders>
            <w:noWrap w:val="0"/>
            <w:vAlign w:val="center"/>
          </w:tcPr>
          <w:p>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投标产品</w:t>
            </w:r>
          </w:p>
        </w:tc>
        <w:tc>
          <w:tcPr>
            <w:tcW w:w="1936" w:type="dxa"/>
            <w:tcBorders>
              <w:top w:val="double" w:color="auto" w:sz="4" w:space="0"/>
            </w:tcBorders>
            <w:noWrap w:val="0"/>
            <w:vAlign w:val="center"/>
          </w:tcPr>
          <w:p>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招标文件要求</w:t>
            </w:r>
          </w:p>
        </w:tc>
        <w:tc>
          <w:tcPr>
            <w:tcW w:w="2204" w:type="dxa"/>
            <w:tcBorders>
              <w:top w:val="double" w:color="auto" w:sz="4" w:space="0"/>
            </w:tcBorders>
            <w:noWrap w:val="0"/>
            <w:vAlign w:val="center"/>
          </w:tcPr>
          <w:p>
            <w:pPr>
              <w:widowControl/>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投标文件响应</w:t>
            </w:r>
          </w:p>
        </w:tc>
        <w:tc>
          <w:tcPr>
            <w:tcW w:w="2222" w:type="dxa"/>
            <w:tcBorders>
              <w:top w:val="double" w:color="auto" w:sz="4" w:space="0"/>
              <w:right w:val="double" w:color="auto" w:sz="4" w:space="0"/>
            </w:tcBorders>
            <w:noWrap w:val="0"/>
            <w:vAlign w:val="center"/>
          </w:tcPr>
          <w:p>
            <w:pPr>
              <w:widowControl/>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pPr>
              <w:spacing w:line="400" w:lineRule="exact"/>
              <w:jc w:val="center"/>
              <w:rPr>
                <w:rFonts w:ascii="宋体" w:hAnsi="宋体" w:cs="宋体"/>
                <w:bCs/>
                <w:color w:val="auto"/>
                <w:szCs w:val="21"/>
                <w:highlight w:val="none"/>
              </w:rPr>
            </w:pPr>
          </w:p>
        </w:tc>
        <w:tc>
          <w:tcPr>
            <w:tcW w:w="1980" w:type="dxa"/>
            <w:noWrap w:val="0"/>
            <w:vAlign w:val="center"/>
          </w:tcPr>
          <w:p>
            <w:pPr>
              <w:spacing w:line="400" w:lineRule="exact"/>
              <w:jc w:val="center"/>
              <w:rPr>
                <w:rFonts w:ascii="宋体" w:hAnsi="宋体" w:cs="宋体"/>
                <w:bCs/>
                <w:color w:val="auto"/>
                <w:szCs w:val="21"/>
                <w:highlight w:val="none"/>
              </w:rPr>
            </w:pPr>
          </w:p>
        </w:tc>
        <w:tc>
          <w:tcPr>
            <w:tcW w:w="1936" w:type="dxa"/>
            <w:noWrap w:val="0"/>
            <w:vAlign w:val="center"/>
          </w:tcPr>
          <w:p>
            <w:pPr>
              <w:spacing w:line="400" w:lineRule="exact"/>
              <w:jc w:val="center"/>
              <w:rPr>
                <w:rFonts w:ascii="宋体" w:hAnsi="宋体" w:cs="宋体"/>
                <w:bCs/>
                <w:color w:val="auto"/>
                <w:szCs w:val="21"/>
                <w:highlight w:val="none"/>
              </w:rPr>
            </w:pPr>
          </w:p>
        </w:tc>
        <w:tc>
          <w:tcPr>
            <w:tcW w:w="2204" w:type="dxa"/>
            <w:noWrap w:val="0"/>
            <w:vAlign w:val="center"/>
          </w:tcPr>
          <w:p>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pPr>
              <w:spacing w:line="40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pPr>
              <w:spacing w:line="400" w:lineRule="exact"/>
              <w:jc w:val="center"/>
              <w:rPr>
                <w:rFonts w:ascii="宋体" w:hAnsi="宋体" w:cs="宋体"/>
                <w:bCs/>
                <w:color w:val="auto"/>
                <w:szCs w:val="21"/>
                <w:highlight w:val="none"/>
              </w:rPr>
            </w:pPr>
          </w:p>
        </w:tc>
        <w:tc>
          <w:tcPr>
            <w:tcW w:w="1980" w:type="dxa"/>
            <w:noWrap w:val="0"/>
            <w:vAlign w:val="center"/>
          </w:tcPr>
          <w:p>
            <w:pPr>
              <w:spacing w:line="400" w:lineRule="exact"/>
              <w:jc w:val="center"/>
              <w:rPr>
                <w:rFonts w:ascii="宋体" w:hAnsi="宋体" w:cs="宋体"/>
                <w:bCs/>
                <w:color w:val="auto"/>
                <w:szCs w:val="21"/>
                <w:highlight w:val="none"/>
              </w:rPr>
            </w:pPr>
          </w:p>
        </w:tc>
        <w:tc>
          <w:tcPr>
            <w:tcW w:w="1936" w:type="dxa"/>
            <w:noWrap w:val="0"/>
            <w:vAlign w:val="center"/>
          </w:tcPr>
          <w:p>
            <w:pPr>
              <w:spacing w:line="400" w:lineRule="exact"/>
              <w:jc w:val="center"/>
              <w:rPr>
                <w:rFonts w:ascii="宋体" w:hAnsi="宋体" w:cs="宋体"/>
                <w:bCs/>
                <w:color w:val="auto"/>
                <w:szCs w:val="21"/>
                <w:highlight w:val="none"/>
              </w:rPr>
            </w:pPr>
          </w:p>
        </w:tc>
        <w:tc>
          <w:tcPr>
            <w:tcW w:w="2204" w:type="dxa"/>
            <w:noWrap w:val="0"/>
            <w:vAlign w:val="center"/>
          </w:tcPr>
          <w:p>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pPr>
              <w:spacing w:line="40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pPr>
              <w:spacing w:line="400" w:lineRule="exact"/>
              <w:jc w:val="center"/>
              <w:rPr>
                <w:rFonts w:ascii="宋体" w:hAnsi="宋体" w:cs="宋体"/>
                <w:bCs/>
                <w:color w:val="auto"/>
                <w:szCs w:val="21"/>
                <w:highlight w:val="none"/>
              </w:rPr>
            </w:pPr>
          </w:p>
        </w:tc>
        <w:tc>
          <w:tcPr>
            <w:tcW w:w="1980" w:type="dxa"/>
            <w:noWrap w:val="0"/>
            <w:vAlign w:val="center"/>
          </w:tcPr>
          <w:p>
            <w:pPr>
              <w:spacing w:line="400" w:lineRule="exact"/>
              <w:jc w:val="center"/>
              <w:rPr>
                <w:rFonts w:ascii="宋体" w:hAnsi="宋体" w:cs="宋体"/>
                <w:bCs/>
                <w:color w:val="auto"/>
                <w:szCs w:val="21"/>
                <w:highlight w:val="none"/>
              </w:rPr>
            </w:pPr>
          </w:p>
        </w:tc>
        <w:tc>
          <w:tcPr>
            <w:tcW w:w="1936" w:type="dxa"/>
            <w:noWrap w:val="0"/>
            <w:vAlign w:val="center"/>
          </w:tcPr>
          <w:p>
            <w:pPr>
              <w:spacing w:line="400" w:lineRule="exact"/>
              <w:jc w:val="center"/>
              <w:rPr>
                <w:rFonts w:ascii="宋体" w:hAnsi="宋体" w:cs="宋体"/>
                <w:bCs/>
                <w:color w:val="auto"/>
                <w:szCs w:val="21"/>
                <w:highlight w:val="none"/>
              </w:rPr>
            </w:pPr>
          </w:p>
        </w:tc>
        <w:tc>
          <w:tcPr>
            <w:tcW w:w="2204" w:type="dxa"/>
            <w:noWrap w:val="0"/>
            <w:vAlign w:val="center"/>
          </w:tcPr>
          <w:p>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pPr>
              <w:spacing w:line="40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pPr>
              <w:spacing w:line="400" w:lineRule="exact"/>
              <w:jc w:val="center"/>
              <w:rPr>
                <w:rFonts w:ascii="宋体" w:hAnsi="宋体" w:cs="宋体"/>
                <w:bCs/>
                <w:color w:val="auto"/>
                <w:szCs w:val="21"/>
                <w:highlight w:val="none"/>
              </w:rPr>
            </w:pPr>
          </w:p>
        </w:tc>
        <w:tc>
          <w:tcPr>
            <w:tcW w:w="1980" w:type="dxa"/>
            <w:noWrap w:val="0"/>
            <w:vAlign w:val="center"/>
          </w:tcPr>
          <w:p>
            <w:pPr>
              <w:spacing w:line="400" w:lineRule="exact"/>
              <w:jc w:val="center"/>
              <w:rPr>
                <w:rFonts w:ascii="宋体" w:hAnsi="宋体" w:cs="宋体"/>
                <w:bCs/>
                <w:color w:val="auto"/>
                <w:szCs w:val="21"/>
                <w:highlight w:val="none"/>
              </w:rPr>
            </w:pPr>
          </w:p>
        </w:tc>
        <w:tc>
          <w:tcPr>
            <w:tcW w:w="1936" w:type="dxa"/>
            <w:noWrap w:val="0"/>
            <w:vAlign w:val="center"/>
          </w:tcPr>
          <w:p>
            <w:pPr>
              <w:spacing w:line="400" w:lineRule="exact"/>
              <w:jc w:val="center"/>
              <w:rPr>
                <w:rFonts w:ascii="宋体" w:hAnsi="宋体" w:cs="宋体"/>
                <w:bCs/>
                <w:color w:val="auto"/>
                <w:szCs w:val="21"/>
                <w:highlight w:val="none"/>
              </w:rPr>
            </w:pPr>
          </w:p>
        </w:tc>
        <w:tc>
          <w:tcPr>
            <w:tcW w:w="2204" w:type="dxa"/>
            <w:noWrap w:val="0"/>
            <w:vAlign w:val="center"/>
          </w:tcPr>
          <w:p>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pPr>
              <w:spacing w:line="40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pPr>
              <w:spacing w:line="400" w:lineRule="exact"/>
              <w:jc w:val="center"/>
              <w:rPr>
                <w:rFonts w:ascii="宋体" w:hAnsi="宋体" w:cs="宋体"/>
                <w:bCs/>
                <w:color w:val="auto"/>
                <w:szCs w:val="21"/>
                <w:highlight w:val="none"/>
              </w:rPr>
            </w:pPr>
          </w:p>
        </w:tc>
        <w:tc>
          <w:tcPr>
            <w:tcW w:w="1980" w:type="dxa"/>
            <w:noWrap w:val="0"/>
            <w:vAlign w:val="center"/>
          </w:tcPr>
          <w:p>
            <w:pPr>
              <w:spacing w:line="400" w:lineRule="exact"/>
              <w:jc w:val="center"/>
              <w:rPr>
                <w:rFonts w:ascii="宋体" w:hAnsi="宋体" w:cs="宋体"/>
                <w:bCs/>
                <w:color w:val="auto"/>
                <w:szCs w:val="21"/>
                <w:highlight w:val="none"/>
              </w:rPr>
            </w:pPr>
          </w:p>
        </w:tc>
        <w:tc>
          <w:tcPr>
            <w:tcW w:w="1936" w:type="dxa"/>
            <w:noWrap w:val="0"/>
            <w:vAlign w:val="center"/>
          </w:tcPr>
          <w:p>
            <w:pPr>
              <w:spacing w:line="400" w:lineRule="exact"/>
              <w:jc w:val="center"/>
              <w:rPr>
                <w:rFonts w:ascii="宋体" w:hAnsi="宋体" w:cs="宋体"/>
                <w:bCs/>
                <w:color w:val="auto"/>
                <w:szCs w:val="21"/>
                <w:highlight w:val="none"/>
              </w:rPr>
            </w:pPr>
          </w:p>
        </w:tc>
        <w:tc>
          <w:tcPr>
            <w:tcW w:w="2204" w:type="dxa"/>
            <w:noWrap w:val="0"/>
            <w:vAlign w:val="center"/>
          </w:tcPr>
          <w:p>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pPr>
              <w:spacing w:line="40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bottom w:val="double" w:color="auto" w:sz="4" w:space="0"/>
            </w:tcBorders>
            <w:noWrap w:val="0"/>
            <w:vAlign w:val="center"/>
          </w:tcPr>
          <w:p>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w:t>
            </w:r>
          </w:p>
        </w:tc>
        <w:tc>
          <w:tcPr>
            <w:tcW w:w="1980" w:type="dxa"/>
            <w:tcBorders>
              <w:bottom w:val="double" w:color="auto" w:sz="4" w:space="0"/>
            </w:tcBorders>
            <w:noWrap w:val="0"/>
            <w:vAlign w:val="center"/>
          </w:tcPr>
          <w:p>
            <w:pPr>
              <w:spacing w:line="400" w:lineRule="exact"/>
              <w:jc w:val="center"/>
              <w:rPr>
                <w:rFonts w:ascii="宋体" w:hAnsi="宋体" w:cs="宋体"/>
                <w:bCs/>
                <w:color w:val="auto"/>
                <w:szCs w:val="21"/>
                <w:highlight w:val="none"/>
              </w:rPr>
            </w:pPr>
          </w:p>
        </w:tc>
        <w:tc>
          <w:tcPr>
            <w:tcW w:w="1936" w:type="dxa"/>
            <w:tcBorders>
              <w:bottom w:val="double" w:color="auto" w:sz="4" w:space="0"/>
            </w:tcBorders>
            <w:noWrap w:val="0"/>
            <w:vAlign w:val="center"/>
          </w:tcPr>
          <w:p>
            <w:pPr>
              <w:spacing w:line="400" w:lineRule="exact"/>
              <w:jc w:val="center"/>
              <w:rPr>
                <w:rFonts w:ascii="宋体" w:hAnsi="宋体" w:cs="宋体"/>
                <w:bCs/>
                <w:color w:val="auto"/>
                <w:szCs w:val="21"/>
                <w:highlight w:val="none"/>
              </w:rPr>
            </w:pPr>
          </w:p>
        </w:tc>
        <w:tc>
          <w:tcPr>
            <w:tcW w:w="2204" w:type="dxa"/>
            <w:tcBorders>
              <w:bottom w:val="double" w:color="auto" w:sz="4" w:space="0"/>
            </w:tcBorders>
            <w:noWrap w:val="0"/>
            <w:vAlign w:val="center"/>
          </w:tcPr>
          <w:p>
            <w:pPr>
              <w:spacing w:line="400" w:lineRule="exact"/>
              <w:jc w:val="center"/>
              <w:rPr>
                <w:rFonts w:ascii="宋体" w:hAnsi="宋体" w:cs="宋体"/>
                <w:bCs/>
                <w:color w:val="auto"/>
                <w:szCs w:val="21"/>
                <w:highlight w:val="none"/>
              </w:rPr>
            </w:pPr>
          </w:p>
        </w:tc>
        <w:tc>
          <w:tcPr>
            <w:tcW w:w="2222" w:type="dxa"/>
            <w:tcBorders>
              <w:bottom w:val="double" w:color="auto" w:sz="4" w:space="0"/>
              <w:right w:val="double" w:color="auto" w:sz="4" w:space="0"/>
            </w:tcBorders>
            <w:noWrap w:val="0"/>
            <w:vAlign w:val="center"/>
          </w:tcPr>
          <w:p>
            <w:pPr>
              <w:spacing w:line="400" w:lineRule="exact"/>
              <w:jc w:val="center"/>
              <w:rPr>
                <w:rFonts w:ascii="宋体" w:hAnsi="宋体" w:cs="宋体"/>
                <w:bCs/>
                <w:color w:val="auto"/>
                <w:szCs w:val="21"/>
                <w:highlight w:val="none"/>
              </w:rPr>
            </w:pPr>
          </w:p>
        </w:tc>
      </w:tr>
    </w:tbl>
    <w:p>
      <w:pPr>
        <w:pStyle w:val="26"/>
        <w:rPr>
          <w:rFonts w:ascii="宋体" w:hAnsi="宋体" w:cs="宋体"/>
          <w:color w:val="auto"/>
          <w:sz w:val="28"/>
          <w:szCs w:val="28"/>
          <w:highlight w:val="none"/>
        </w:rPr>
      </w:pPr>
    </w:p>
    <w:p>
      <w:pPr>
        <w:pStyle w:val="2"/>
        <w:numPr>
          <w:ilvl w:val="1"/>
          <w:numId w:val="0"/>
        </w:numPr>
        <w:tabs>
          <w:tab w:val="left" w:pos="425"/>
        </w:tabs>
        <w:spacing w:line="480" w:lineRule="exact"/>
        <w:jc w:val="both"/>
        <w:rPr>
          <w:rFonts w:ascii="宋体" w:hAnsi="宋体"/>
          <w:b w:val="0"/>
          <w:bCs w:val="0"/>
          <w:color w:val="auto"/>
          <w:sz w:val="24"/>
          <w:szCs w:val="24"/>
          <w:highlight w:val="none"/>
          <w:lang w:val="zh-CN"/>
        </w:rPr>
      </w:pPr>
      <w:r>
        <w:rPr>
          <w:rFonts w:hint="eastAsia" w:ascii="宋体" w:hAnsi="宋体"/>
          <w:b w:val="0"/>
          <w:bCs w:val="0"/>
          <w:color w:val="auto"/>
          <w:sz w:val="24"/>
          <w:szCs w:val="24"/>
          <w:highlight w:val="none"/>
          <w:lang w:val="zh-CN"/>
        </w:rPr>
        <w:t>注：供应商应按本表“列”的内容要求逐项认真填报，可根据需要自行增减表格行数。</w:t>
      </w:r>
      <w:r>
        <w:rPr>
          <w:rFonts w:hint="eastAsia" w:ascii="宋体" w:hAnsi="宋体" w:cs="宋体"/>
          <w:b w:val="0"/>
          <w:bCs w:val="0"/>
          <w:color w:val="auto"/>
          <w:kern w:val="0"/>
          <w:sz w:val="24"/>
          <w:szCs w:val="24"/>
          <w:highlight w:val="none"/>
        </w:rPr>
        <w:t>因技术参数内容较多，此表只填有偏离的，</w:t>
      </w:r>
      <w:r>
        <w:rPr>
          <w:rFonts w:hint="eastAsia" w:ascii="宋体" w:hAnsi="宋体" w:cs="宋体"/>
          <w:b w:val="0"/>
          <w:bCs w:val="0"/>
          <w:color w:val="auto"/>
          <w:kern w:val="0"/>
          <w:sz w:val="24"/>
          <w:szCs w:val="24"/>
          <w:highlight w:val="none"/>
          <w:lang w:val="zh-CN"/>
        </w:rPr>
        <w:t>无偏离此表可不填列内容</w:t>
      </w:r>
      <w:r>
        <w:rPr>
          <w:rFonts w:hint="eastAsia" w:ascii="宋体" w:hAnsi="宋体" w:cs="宋体"/>
          <w:b w:val="0"/>
          <w:bCs w:val="0"/>
          <w:color w:val="auto"/>
          <w:kern w:val="0"/>
          <w:sz w:val="24"/>
          <w:szCs w:val="24"/>
          <w:highlight w:val="none"/>
        </w:rPr>
        <w:t>。</w:t>
      </w:r>
    </w:p>
    <w:p>
      <w:pPr>
        <w:pStyle w:val="2"/>
        <w:numPr>
          <w:ilvl w:val="1"/>
          <w:numId w:val="0"/>
        </w:numPr>
        <w:tabs>
          <w:tab w:val="left" w:pos="425"/>
        </w:tabs>
        <w:spacing w:line="480" w:lineRule="exact"/>
        <w:ind w:left="1800"/>
        <w:rPr>
          <w:rFonts w:ascii="宋体" w:hAnsi="宋体"/>
          <w:bCs/>
          <w:color w:val="auto"/>
          <w:sz w:val="28"/>
          <w:szCs w:val="28"/>
          <w:highlight w:val="none"/>
        </w:rPr>
      </w:pPr>
    </w:p>
    <w:p>
      <w:pPr>
        <w:pStyle w:val="2"/>
        <w:numPr>
          <w:ilvl w:val="1"/>
          <w:numId w:val="0"/>
        </w:numPr>
        <w:tabs>
          <w:tab w:val="left" w:pos="425"/>
        </w:tabs>
        <w:spacing w:line="480" w:lineRule="exact"/>
        <w:ind w:left="1800"/>
        <w:rPr>
          <w:rFonts w:ascii="宋体" w:hAnsi="宋体"/>
          <w:bCs/>
          <w:color w:val="auto"/>
          <w:sz w:val="28"/>
          <w:szCs w:val="28"/>
          <w:highlight w:val="none"/>
        </w:rPr>
      </w:pPr>
    </w:p>
    <w:p>
      <w:pPr>
        <w:pStyle w:val="2"/>
        <w:numPr>
          <w:ilvl w:val="1"/>
          <w:numId w:val="0"/>
        </w:numPr>
        <w:tabs>
          <w:tab w:val="left" w:pos="425"/>
        </w:tabs>
        <w:spacing w:line="480" w:lineRule="exact"/>
        <w:ind w:left="1800"/>
        <w:rPr>
          <w:rFonts w:ascii="宋体" w:hAnsi="宋体"/>
          <w:b w:val="0"/>
          <w:bCs w:val="0"/>
          <w:color w:val="auto"/>
          <w:sz w:val="28"/>
          <w:szCs w:val="28"/>
          <w:highlight w:val="none"/>
        </w:rPr>
      </w:pPr>
      <w:r>
        <w:rPr>
          <w:rFonts w:hint="eastAsia" w:ascii="宋体" w:hAnsi="宋体"/>
          <w:b w:val="0"/>
          <w:bCs w:val="0"/>
          <w:color w:val="auto"/>
          <w:sz w:val="28"/>
          <w:szCs w:val="28"/>
          <w:highlight w:val="none"/>
        </w:rPr>
        <w:t>供应商(签章)：</w:t>
      </w:r>
    </w:p>
    <w:p>
      <w:pPr>
        <w:pStyle w:val="2"/>
        <w:numPr>
          <w:ilvl w:val="1"/>
          <w:numId w:val="0"/>
        </w:numPr>
        <w:tabs>
          <w:tab w:val="left" w:pos="425"/>
        </w:tabs>
        <w:spacing w:line="480" w:lineRule="exact"/>
        <w:ind w:left="1800"/>
        <w:rPr>
          <w:rFonts w:ascii="宋体" w:hAnsi="宋体"/>
          <w:b w:val="0"/>
          <w:bCs w:val="0"/>
          <w:color w:val="auto"/>
          <w:sz w:val="28"/>
          <w:szCs w:val="28"/>
          <w:highlight w:val="none"/>
        </w:rPr>
      </w:pPr>
      <w:r>
        <w:rPr>
          <w:rFonts w:hint="eastAsia" w:ascii="宋体" w:hAnsi="宋体"/>
          <w:b w:val="0"/>
          <w:bCs w:val="0"/>
          <w:color w:val="auto"/>
          <w:sz w:val="28"/>
          <w:szCs w:val="28"/>
          <w:highlight w:val="none"/>
        </w:rPr>
        <w:t>法定代表人(签章)：</w:t>
      </w:r>
    </w:p>
    <w:p>
      <w:pPr>
        <w:pStyle w:val="2"/>
        <w:numPr>
          <w:ilvl w:val="1"/>
          <w:numId w:val="0"/>
        </w:numPr>
        <w:tabs>
          <w:tab w:val="left" w:pos="425"/>
        </w:tabs>
        <w:spacing w:line="480" w:lineRule="exact"/>
        <w:ind w:left="1800"/>
        <w:rPr>
          <w:rFonts w:ascii="宋体" w:hAnsi="宋体"/>
          <w:b w:val="0"/>
          <w:bCs w:val="0"/>
          <w:color w:val="auto"/>
          <w:sz w:val="28"/>
          <w:szCs w:val="28"/>
          <w:highlight w:val="none"/>
        </w:rPr>
        <w:sectPr>
          <w:pgSz w:w="11905" w:h="16838"/>
          <w:pgMar w:top="1162" w:right="1372" w:bottom="1151" w:left="1361" w:header="851" w:footer="992" w:gutter="0"/>
          <w:pgNumType w:fmt="decimal"/>
          <w:cols w:space="0" w:num="1"/>
          <w:rtlGutter w:val="0"/>
          <w:docGrid w:type="lines" w:linePitch="316" w:charSpace="0"/>
        </w:sectPr>
      </w:pPr>
      <w:r>
        <w:rPr>
          <w:rFonts w:hint="eastAsia" w:ascii="宋体" w:hAnsi="宋体"/>
          <w:b w:val="0"/>
          <w:bCs w:val="0"/>
          <w:color w:val="auto"/>
          <w:sz w:val="28"/>
          <w:szCs w:val="28"/>
          <w:highlight w:val="none"/>
        </w:rPr>
        <w:t>日期：     年   月   日</w:t>
      </w:r>
    </w:p>
    <w:p>
      <w:pPr>
        <w:pStyle w:val="2"/>
        <w:numPr>
          <w:ilvl w:val="1"/>
          <w:numId w:val="0"/>
        </w:numPr>
        <w:tabs>
          <w:tab w:val="left" w:pos="425"/>
        </w:tabs>
        <w:spacing w:line="480" w:lineRule="exact"/>
        <w:jc w:val="center"/>
        <w:rPr>
          <w:rFonts w:ascii="宋体" w:hAnsi="宋体"/>
          <w:bCs/>
          <w:color w:val="auto"/>
          <w:sz w:val="28"/>
          <w:szCs w:val="28"/>
          <w:highlight w:val="none"/>
        </w:rPr>
      </w:pPr>
      <w:r>
        <w:rPr>
          <w:rFonts w:ascii="宋体" w:hAnsi="宋体"/>
          <w:bCs/>
          <w:color w:val="auto"/>
          <w:sz w:val="28"/>
          <w:szCs w:val="28"/>
          <w:highlight w:val="none"/>
        </w:rPr>
        <w:t>四、法定代表人身份证明及授权委托书</w:t>
      </w:r>
      <w:bookmarkEnd w:id="50"/>
      <w:bookmarkEnd w:id="51"/>
      <w:bookmarkEnd w:id="52"/>
      <w:bookmarkEnd w:id="53"/>
      <w:bookmarkEnd w:id="54"/>
      <w:bookmarkEnd w:id="55"/>
    </w:p>
    <w:p>
      <w:pPr>
        <w:spacing w:before="156" w:beforeLines="50" w:after="156" w:afterLines="50" w:line="360" w:lineRule="auto"/>
        <w:jc w:val="center"/>
        <w:outlineLvl w:val="1"/>
        <w:rPr>
          <w:rFonts w:ascii="宋体" w:hAnsi="宋体" w:eastAsia="宋体"/>
          <w:b/>
          <w:bCs/>
          <w:color w:val="auto"/>
          <w:spacing w:val="6"/>
          <w:sz w:val="28"/>
          <w:szCs w:val="28"/>
          <w:highlight w:val="none"/>
        </w:rPr>
      </w:pPr>
      <w:bookmarkStart w:id="56" w:name="_Toc5843"/>
      <w:bookmarkStart w:id="57" w:name="_Toc5955"/>
      <w:bookmarkStart w:id="58" w:name="_Toc28381"/>
      <w:r>
        <w:rPr>
          <w:rFonts w:hint="eastAsia" w:ascii="宋体" w:hAnsi="宋体" w:eastAsia="宋体"/>
          <w:b/>
          <w:bCs/>
          <w:color w:val="auto"/>
          <w:sz w:val="28"/>
          <w:szCs w:val="28"/>
          <w:highlight w:val="none"/>
        </w:rPr>
        <w:t>（一）法定代表人身份证明</w:t>
      </w:r>
      <w:bookmarkEnd w:id="56"/>
      <w:bookmarkEnd w:id="57"/>
      <w:bookmarkEnd w:id="58"/>
      <w:r>
        <w:rPr>
          <w:rFonts w:hint="eastAsia" w:ascii="宋体" w:hAnsi="宋体" w:eastAsia="宋体"/>
          <w:b/>
          <w:bCs/>
          <w:color w:val="auto"/>
          <w:spacing w:val="6"/>
          <w:sz w:val="28"/>
          <w:szCs w:val="28"/>
          <w:highlight w:val="none"/>
        </w:rPr>
        <w:t xml:space="preserve"> </w:t>
      </w:r>
    </w:p>
    <w:p>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供应商名称：</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      </w:t>
      </w:r>
    </w:p>
    <w:p>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单位性质：</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 </w:t>
      </w:r>
    </w:p>
    <w:p>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地址：</w:t>
      </w:r>
      <w:r>
        <w:rPr>
          <w:rFonts w:hint="eastAsia" w:ascii="宋体" w:hAnsi="宋体" w:eastAsia="宋体"/>
          <w:color w:val="auto"/>
          <w:sz w:val="28"/>
          <w:szCs w:val="28"/>
          <w:highlight w:val="none"/>
          <w:u w:val="single"/>
        </w:rPr>
        <w:t xml:space="preserve">                                   </w:t>
      </w:r>
    </w:p>
    <w:p>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成立时间：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p>
    <w:p>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经营期限：</w:t>
      </w:r>
      <w:r>
        <w:rPr>
          <w:rFonts w:hint="eastAsia" w:ascii="宋体" w:hAnsi="宋体" w:eastAsia="宋体"/>
          <w:color w:val="auto"/>
          <w:sz w:val="28"/>
          <w:szCs w:val="28"/>
          <w:highlight w:val="none"/>
          <w:u w:val="single"/>
        </w:rPr>
        <w:t xml:space="preserve">                               </w:t>
      </w:r>
    </w:p>
    <w:p>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姓名：</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 性别：</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年龄：</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职务：</w:t>
      </w:r>
      <w:r>
        <w:rPr>
          <w:rFonts w:hint="eastAsia" w:ascii="宋体" w:hAnsi="宋体" w:eastAsia="宋体"/>
          <w:color w:val="auto"/>
          <w:sz w:val="28"/>
          <w:szCs w:val="28"/>
          <w:highlight w:val="none"/>
          <w:u w:val="single"/>
        </w:rPr>
        <w:t xml:space="preserve">        </w:t>
      </w:r>
    </w:p>
    <w:p>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系</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（供应商名称）的法定代表人。</w:t>
      </w:r>
    </w:p>
    <w:p>
      <w:pPr>
        <w:spacing w:line="48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特此证明。</w:t>
      </w:r>
    </w:p>
    <w:p>
      <w:pPr>
        <w:spacing w:line="360" w:lineRule="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供应商：</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(签章) </w:t>
      </w:r>
    </w:p>
    <w:p>
      <w:pPr>
        <w:spacing w:line="360" w:lineRule="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法定代表人：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(签章) </w:t>
      </w:r>
    </w:p>
    <w:p>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日  期：______年_____月____日  </w:t>
      </w:r>
    </w:p>
    <w:p>
      <w:pPr>
        <w:spacing w:line="360" w:lineRule="auto"/>
        <w:ind w:left="4740" w:leftChars="2257"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pPr>
        <w:spacing w:line="360" w:lineRule="auto"/>
        <w:jc w:val="center"/>
        <w:outlineLvl w:val="1"/>
        <w:rPr>
          <w:rFonts w:ascii="宋体" w:hAnsi="宋体" w:eastAsia="宋体"/>
          <w:b/>
          <w:bCs/>
          <w:color w:val="auto"/>
          <w:sz w:val="28"/>
          <w:szCs w:val="28"/>
          <w:highlight w:val="none"/>
        </w:rPr>
      </w:pPr>
      <w:bookmarkStart w:id="59" w:name="_Toc29611"/>
      <w:bookmarkStart w:id="60" w:name="_Toc12633"/>
      <w:bookmarkStart w:id="61" w:name="_Toc22161"/>
    </w:p>
    <w:bookmarkEnd w:id="59"/>
    <w:bookmarkEnd w:id="60"/>
    <w:bookmarkEnd w:id="61"/>
    <w:p>
      <w:pPr>
        <w:topLinePunct/>
        <w:spacing w:line="360" w:lineRule="auto"/>
        <w:rPr>
          <w:rFonts w:ascii="宋体" w:hAnsi="宋体" w:eastAsia="宋体"/>
          <w:color w:val="auto"/>
          <w:sz w:val="28"/>
          <w:szCs w:val="28"/>
          <w:highlight w:val="none"/>
        </w:rPr>
      </w:pPr>
    </w:p>
    <w:p>
      <w:pPr>
        <w:spacing w:line="360" w:lineRule="auto"/>
        <w:jc w:val="center"/>
        <w:outlineLvl w:val="1"/>
        <w:rPr>
          <w:rFonts w:hint="eastAsia" w:ascii="宋体" w:hAnsi="宋体" w:eastAsia="宋体"/>
          <w:b/>
          <w:bCs/>
          <w:color w:val="auto"/>
          <w:sz w:val="28"/>
          <w:szCs w:val="28"/>
          <w:highlight w:val="none"/>
        </w:rPr>
      </w:pPr>
    </w:p>
    <w:p>
      <w:pPr>
        <w:spacing w:line="360" w:lineRule="auto"/>
        <w:jc w:val="center"/>
        <w:outlineLvl w:val="1"/>
        <w:rPr>
          <w:rFonts w:hint="eastAsia" w:ascii="宋体" w:hAnsi="宋体" w:eastAsia="宋体"/>
          <w:b/>
          <w:bCs/>
          <w:color w:val="auto"/>
          <w:sz w:val="28"/>
          <w:szCs w:val="28"/>
          <w:highlight w:val="none"/>
        </w:rPr>
      </w:pPr>
    </w:p>
    <w:p>
      <w:pPr>
        <w:spacing w:line="360" w:lineRule="auto"/>
        <w:jc w:val="center"/>
        <w:outlineLvl w:val="1"/>
        <w:rPr>
          <w:rFonts w:hint="eastAsia" w:ascii="宋体" w:hAnsi="宋体" w:eastAsia="宋体"/>
          <w:b/>
          <w:bCs/>
          <w:color w:val="auto"/>
          <w:sz w:val="28"/>
          <w:szCs w:val="28"/>
          <w:highlight w:val="none"/>
        </w:rPr>
      </w:pPr>
    </w:p>
    <w:p>
      <w:pPr>
        <w:spacing w:line="360" w:lineRule="auto"/>
        <w:jc w:val="center"/>
        <w:outlineLvl w:val="1"/>
        <w:rPr>
          <w:rFonts w:hint="eastAsia" w:ascii="宋体" w:hAnsi="宋体" w:eastAsia="宋体"/>
          <w:b/>
          <w:bCs/>
          <w:color w:val="auto"/>
          <w:sz w:val="28"/>
          <w:szCs w:val="28"/>
          <w:highlight w:val="none"/>
        </w:rPr>
      </w:pPr>
    </w:p>
    <w:p>
      <w:pPr>
        <w:spacing w:line="360" w:lineRule="auto"/>
        <w:jc w:val="center"/>
        <w:outlineLvl w:val="1"/>
        <w:rPr>
          <w:rFonts w:hint="eastAsia" w:ascii="宋体" w:hAnsi="宋体" w:eastAsia="宋体"/>
          <w:b/>
          <w:bCs/>
          <w:color w:val="auto"/>
          <w:sz w:val="28"/>
          <w:szCs w:val="28"/>
          <w:highlight w:val="none"/>
        </w:rPr>
      </w:pPr>
    </w:p>
    <w:p>
      <w:pPr>
        <w:spacing w:line="360" w:lineRule="auto"/>
        <w:jc w:val="center"/>
        <w:outlineLvl w:val="1"/>
        <w:rPr>
          <w:rFonts w:hint="eastAsia" w:ascii="宋体" w:hAnsi="宋体" w:eastAsia="宋体"/>
          <w:b/>
          <w:bCs/>
          <w:color w:val="auto"/>
          <w:sz w:val="28"/>
          <w:szCs w:val="28"/>
          <w:highlight w:val="none"/>
        </w:rPr>
      </w:pPr>
    </w:p>
    <w:p>
      <w:pPr>
        <w:spacing w:line="360" w:lineRule="auto"/>
        <w:jc w:val="center"/>
        <w:outlineLvl w:val="1"/>
        <w:rPr>
          <w:rFonts w:hint="eastAsia" w:ascii="宋体" w:hAnsi="宋体" w:eastAsia="宋体"/>
          <w:b/>
          <w:bCs/>
          <w:color w:val="auto"/>
          <w:sz w:val="28"/>
          <w:szCs w:val="28"/>
          <w:highlight w:val="none"/>
        </w:rPr>
      </w:pPr>
    </w:p>
    <w:p>
      <w:pPr>
        <w:spacing w:line="360" w:lineRule="auto"/>
        <w:jc w:val="center"/>
        <w:outlineLvl w:val="1"/>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（二）授权委托书</w:t>
      </w:r>
    </w:p>
    <w:p>
      <w:pPr>
        <w:topLinePunct/>
        <w:spacing w:line="360" w:lineRule="auto"/>
        <w:ind w:firstLine="560" w:firstLineChars="200"/>
        <w:rPr>
          <w:rFonts w:ascii="宋体" w:hAnsi="宋体" w:eastAsia="宋体"/>
          <w:color w:val="auto"/>
          <w:sz w:val="28"/>
          <w:szCs w:val="28"/>
          <w:highlight w:val="none"/>
        </w:rPr>
      </w:pPr>
    </w:p>
    <w:p>
      <w:pPr>
        <w:widowControl/>
        <w:wordWrap/>
        <w:topLinePunct/>
        <w:adjustRightInd w:val="0"/>
        <w:snapToGrid w:val="0"/>
        <w:spacing w:after="0" w:afterLines="0"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本人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（姓名）系</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（供应商名称）的法定代表人，现委托</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（姓名）为我方代理人。代理人根据授权，以我方名义签署、澄清、说明、补正、递交、撤回、修改</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（项目名称）投标文件、签订合同和处理有关事宜，其法律后果由我方承担。</w:t>
      </w:r>
    </w:p>
    <w:p>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委托期限：</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w:t>
      </w:r>
    </w:p>
    <w:p>
      <w:pPr>
        <w:widowControl/>
        <w:wordWrap/>
        <w:adjustRightInd w:val="0"/>
        <w:snapToGrid w:val="0"/>
        <w:spacing w:after="0" w:afterLines="0"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代理人无转委托权。</w:t>
      </w:r>
    </w:p>
    <w:p>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附：委托代理人身份证复印件。</w:t>
      </w:r>
    </w:p>
    <w:p>
      <w:pPr>
        <w:widowControl/>
        <w:wordWrap/>
        <w:adjustRightInd w:val="0"/>
        <w:snapToGrid w:val="0"/>
        <w:spacing w:after="0" w:afterLines="0" w:line="360" w:lineRule="auto"/>
        <w:textAlignment w:val="auto"/>
        <w:rPr>
          <w:rFonts w:ascii="宋体" w:hAnsi="宋体" w:eastAsia="宋体"/>
          <w:color w:val="auto"/>
          <w:sz w:val="28"/>
          <w:szCs w:val="28"/>
          <w:highlight w:val="none"/>
        </w:rPr>
      </w:pPr>
    </w:p>
    <w:p>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供应商：</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法定代表人：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身份证号码：</w:t>
      </w:r>
      <w:r>
        <w:rPr>
          <w:rFonts w:hint="eastAsia" w:ascii="宋体" w:hAnsi="宋体" w:eastAsia="宋体"/>
          <w:color w:val="auto"/>
          <w:sz w:val="28"/>
          <w:szCs w:val="28"/>
          <w:highlight w:val="none"/>
          <w:u w:val="single"/>
        </w:rPr>
        <w:t xml:space="preserve">                      </w:t>
      </w:r>
    </w:p>
    <w:p>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委托代理人：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（签字）</w:t>
      </w:r>
    </w:p>
    <w:p>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身份证号码：</w:t>
      </w:r>
      <w:r>
        <w:rPr>
          <w:rFonts w:hint="eastAsia" w:ascii="宋体" w:hAnsi="宋体" w:eastAsia="宋体"/>
          <w:color w:val="auto"/>
          <w:sz w:val="28"/>
          <w:szCs w:val="28"/>
          <w:highlight w:val="none"/>
          <w:u w:val="single"/>
        </w:rPr>
        <w:t xml:space="preserve">                        </w:t>
      </w:r>
    </w:p>
    <w:p>
      <w:pPr>
        <w:widowControl/>
        <w:wordWrap/>
        <w:adjustRightInd w:val="0"/>
        <w:snapToGrid w:val="0"/>
        <w:spacing w:after="0" w:afterLines="0" w:line="360" w:lineRule="auto"/>
        <w:ind w:firstLine="560" w:firstLineChars="200"/>
        <w:textAlignment w:val="auto"/>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 xml:space="preserve">          </w:t>
      </w:r>
      <w:r>
        <w:rPr>
          <w:rFonts w:hint="eastAsia" w:ascii="宋体" w:hAnsi="宋体" w:eastAsia="宋体"/>
          <w:color w:val="auto"/>
          <w:sz w:val="28"/>
          <w:szCs w:val="28"/>
          <w:highlight w:val="none"/>
          <w:lang w:val="en-US" w:eastAsia="zh-CN"/>
        </w:rPr>
        <w:t>联系方式：</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p>
    <w:p>
      <w:pPr>
        <w:widowControl/>
        <w:wordWrap/>
        <w:adjustRightInd w:val="0"/>
        <w:snapToGrid w:val="0"/>
        <w:spacing w:after="0" w:afterLines="0"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p>
    <w:p>
      <w:pPr>
        <w:pStyle w:val="2"/>
        <w:numPr>
          <w:ilvl w:val="1"/>
          <w:numId w:val="0"/>
        </w:numPr>
        <w:tabs>
          <w:tab w:val="left" w:pos="425"/>
        </w:tabs>
        <w:spacing w:line="480" w:lineRule="exact"/>
        <w:jc w:val="both"/>
        <w:rPr>
          <w:rFonts w:ascii="宋体" w:hAnsi="宋体"/>
          <w:bCs/>
          <w:color w:val="auto"/>
          <w:sz w:val="28"/>
          <w:szCs w:val="28"/>
          <w:highlight w:val="none"/>
        </w:rPr>
      </w:pPr>
      <w:bookmarkStart w:id="62" w:name="_Toc330365284"/>
      <w:bookmarkStart w:id="63" w:name="_Toc440880274"/>
      <w:bookmarkStart w:id="64" w:name="_Toc402538863"/>
      <w:bookmarkStart w:id="65" w:name="_Toc301970919"/>
      <w:bookmarkStart w:id="66" w:name="_Toc402538244"/>
      <w:bookmarkStart w:id="67" w:name="_Toc402538050"/>
      <w:bookmarkStart w:id="68" w:name="_Toc440880275"/>
      <w:bookmarkStart w:id="69" w:name="_Toc380136448"/>
    </w:p>
    <w:bookmarkEnd w:id="62"/>
    <w:bookmarkEnd w:id="63"/>
    <w:bookmarkEnd w:id="64"/>
    <w:bookmarkEnd w:id="65"/>
    <w:bookmarkEnd w:id="66"/>
    <w:bookmarkEnd w:id="67"/>
    <w:p>
      <w:pPr>
        <w:spacing w:before="100" w:beforeLines="0" w:beforeAutospacing="1" w:after="100" w:afterLines="0" w:afterAutospacing="1" w:line="360" w:lineRule="auto"/>
        <w:rPr>
          <w:rFonts w:ascii="宋体" w:hAnsi="宋体" w:eastAsia="宋体"/>
          <w:color w:val="auto"/>
          <w:sz w:val="28"/>
          <w:szCs w:val="28"/>
          <w:highlight w:val="none"/>
        </w:rPr>
      </w:pPr>
    </w:p>
    <w:p>
      <w:pPr>
        <w:spacing w:line="360" w:lineRule="auto"/>
        <w:rPr>
          <w:rFonts w:ascii="宋体" w:hAnsi="宋体" w:eastAsia="宋体"/>
          <w:color w:val="auto"/>
          <w:sz w:val="21"/>
          <w:szCs w:val="21"/>
          <w:highlight w:val="none"/>
        </w:rPr>
      </w:pPr>
    </w:p>
    <w:p>
      <w:pPr>
        <w:spacing w:line="360" w:lineRule="auto"/>
        <w:rPr>
          <w:rFonts w:ascii="宋体" w:hAnsi="宋体" w:eastAsia="宋体"/>
          <w:color w:val="auto"/>
          <w:sz w:val="21"/>
          <w:szCs w:val="21"/>
          <w:highlight w:val="none"/>
        </w:rPr>
      </w:pPr>
    </w:p>
    <w:p>
      <w:pPr>
        <w:spacing w:line="360" w:lineRule="auto"/>
        <w:rPr>
          <w:rFonts w:ascii="宋体" w:hAnsi="宋体" w:eastAsia="宋体"/>
          <w:color w:val="auto"/>
          <w:sz w:val="21"/>
          <w:szCs w:val="21"/>
          <w:highlight w:val="none"/>
        </w:rPr>
      </w:pPr>
    </w:p>
    <w:p>
      <w:pPr>
        <w:pStyle w:val="2"/>
        <w:numPr>
          <w:ilvl w:val="1"/>
          <w:numId w:val="0"/>
        </w:numPr>
        <w:tabs>
          <w:tab w:val="left" w:pos="425"/>
        </w:tabs>
        <w:spacing w:line="480" w:lineRule="exact"/>
        <w:jc w:val="center"/>
        <w:rPr>
          <w:rFonts w:ascii="宋体" w:hAnsi="宋体"/>
          <w:bCs/>
          <w:color w:val="auto"/>
          <w:sz w:val="28"/>
          <w:szCs w:val="28"/>
          <w:highlight w:val="none"/>
        </w:rPr>
      </w:pPr>
      <w:r>
        <w:rPr>
          <w:rFonts w:ascii="宋体" w:hAnsi="宋体"/>
          <w:bCs/>
          <w:color w:val="auto"/>
          <w:sz w:val="28"/>
          <w:szCs w:val="28"/>
          <w:highlight w:val="none"/>
        </w:rPr>
        <w:t>五、投标</w:t>
      </w:r>
      <w:r>
        <w:rPr>
          <w:rFonts w:hint="eastAsia" w:ascii="宋体" w:hAnsi="宋体"/>
          <w:bCs/>
          <w:color w:val="auto"/>
          <w:sz w:val="28"/>
          <w:szCs w:val="28"/>
          <w:highlight w:val="none"/>
        </w:rPr>
        <w:t>承诺函</w:t>
      </w:r>
    </w:p>
    <w:p>
      <w:pPr>
        <w:spacing w:line="360" w:lineRule="auto"/>
        <w:rPr>
          <w:rFonts w:ascii="宋体" w:hAnsi="宋体" w:eastAsia="宋体"/>
          <w:color w:val="auto"/>
          <w:sz w:val="28"/>
          <w:szCs w:val="28"/>
          <w:highlight w:val="none"/>
        </w:rPr>
      </w:pPr>
    </w:p>
    <w:p>
      <w:pPr>
        <w:pStyle w:val="7"/>
        <w:numPr>
          <w:ilvl w:val="0"/>
          <w:numId w:val="2"/>
        </w:numPr>
        <w:spacing w:after="0" w:afterLines="0"/>
        <w:rPr>
          <w:rFonts w:ascii="宋体" w:hAnsi="宋体"/>
          <w:color w:val="auto"/>
          <w:sz w:val="28"/>
          <w:szCs w:val="28"/>
          <w:highlight w:val="none"/>
        </w:rPr>
      </w:pPr>
      <w:r>
        <w:rPr>
          <w:rFonts w:hint="eastAsia" w:ascii="宋体" w:hAnsi="宋体"/>
          <w:color w:val="auto"/>
          <w:sz w:val="28"/>
          <w:szCs w:val="28"/>
          <w:highlight w:val="none"/>
        </w:rPr>
        <w:t>承诺函（格式自拟）</w:t>
      </w:r>
    </w:p>
    <w:p>
      <w:pPr>
        <w:pStyle w:val="7"/>
        <w:rPr>
          <w:rFonts w:ascii="宋体" w:hAnsi="宋体"/>
          <w:color w:val="auto"/>
          <w:sz w:val="28"/>
          <w:szCs w:val="28"/>
          <w:highlight w:val="none"/>
        </w:rPr>
      </w:pPr>
    </w:p>
    <w:p>
      <w:pPr>
        <w:pStyle w:val="7"/>
        <w:numPr>
          <w:ilvl w:val="0"/>
          <w:numId w:val="2"/>
        </w:numPr>
        <w:spacing w:after="0" w:afterLines="0"/>
        <w:rPr>
          <w:rFonts w:ascii="宋体" w:hAnsi="宋体"/>
          <w:color w:val="auto"/>
          <w:sz w:val="28"/>
          <w:szCs w:val="28"/>
          <w:highlight w:val="none"/>
        </w:rPr>
      </w:pPr>
      <w:r>
        <w:rPr>
          <w:rFonts w:hint="eastAsia" w:ascii="宋体" w:hAnsi="宋体"/>
          <w:color w:val="auto"/>
          <w:sz w:val="28"/>
          <w:szCs w:val="28"/>
          <w:highlight w:val="none"/>
        </w:rPr>
        <w:t>违背承诺函的责任（格式自拟）</w:t>
      </w:r>
    </w:p>
    <w:p>
      <w:pPr>
        <w:pStyle w:val="7"/>
        <w:ind w:left="720"/>
        <w:rPr>
          <w:rFonts w:ascii="宋体" w:hAnsi="宋体"/>
          <w:color w:val="auto"/>
          <w:sz w:val="28"/>
          <w:szCs w:val="28"/>
          <w:highlight w:val="none"/>
        </w:rPr>
      </w:pPr>
    </w:p>
    <w:p>
      <w:pPr>
        <w:pStyle w:val="7"/>
        <w:ind w:left="720"/>
        <w:rPr>
          <w:rFonts w:ascii="宋体" w:hAnsi="宋体"/>
          <w:color w:val="auto"/>
          <w:sz w:val="28"/>
          <w:szCs w:val="28"/>
          <w:highlight w:val="none"/>
        </w:rPr>
      </w:pPr>
    </w:p>
    <w:p>
      <w:pPr>
        <w:pStyle w:val="7"/>
        <w:ind w:left="720"/>
        <w:rPr>
          <w:rFonts w:ascii="宋体" w:hAnsi="宋体"/>
          <w:color w:val="auto"/>
          <w:sz w:val="28"/>
          <w:szCs w:val="28"/>
          <w:highlight w:val="none"/>
        </w:rPr>
      </w:pPr>
    </w:p>
    <w:p>
      <w:pPr>
        <w:pStyle w:val="7"/>
        <w:ind w:left="720"/>
        <w:rPr>
          <w:rFonts w:ascii="宋体" w:hAnsi="宋体"/>
          <w:color w:val="auto"/>
          <w:sz w:val="28"/>
          <w:szCs w:val="28"/>
          <w:highlight w:val="none"/>
        </w:rPr>
      </w:pPr>
    </w:p>
    <w:p>
      <w:pPr>
        <w:pStyle w:val="7"/>
        <w:rPr>
          <w:rFonts w:ascii="宋体" w:hAnsi="宋体"/>
          <w:color w:val="auto"/>
          <w:sz w:val="28"/>
          <w:szCs w:val="28"/>
          <w:highlight w:val="none"/>
        </w:rPr>
      </w:pPr>
      <w:r>
        <w:rPr>
          <w:rFonts w:hint="eastAsia" w:ascii="宋体" w:hAnsi="宋体"/>
          <w:color w:val="auto"/>
          <w:sz w:val="28"/>
          <w:szCs w:val="28"/>
          <w:highlight w:val="none"/>
        </w:rPr>
        <w:t>供应商：（</w:t>
      </w:r>
      <w:r>
        <w:rPr>
          <w:rFonts w:hint="eastAsia" w:ascii="宋体" w:hAnsi="宋体" w:eastAsia="宋体"/>
          <w:color w:val="auto"/>
          <w:sz w:val="28"/>
          <w:szCs w:val="28"/>
          <w:highlight w:val="none"/>
        </w:rPr>
        <w:t>签章</w:t>
      </w:r>
      <w:r>
        <w:rPr>
          <w:rFonts w:hint="eastAsia" w:ascii="宋体" w:hAnsi="宋体"/>
          <w:color w:val="auto"/>
          <w:sz w:val="28"/>
          <w:szCs w:val="28"/>
          <w:highlight w:val="none"/>
        </w:rPr>
        <w:t>）</w:t>
      </w:r>
    </w:p>
    <w:p>
      <w:pPr>
        <w:pStyle w:val="7"/>
        <w:ind w:left="498" w:leftChars="237" w:firstLine="5756" w:firstLineChars="2056"/>
        <w:rPr>
          <w:rFonts w:ascii="宋体" w:hAnsi="宋体"/>
          <w:color w:val="auto"/>
          <w:sz w:val="28"/>
          <w:szCs w:val="28"/>
          <w:highlight w:val="none"/>
        </w:rPr>
      </w:pPr>
    </w:p>
    <w:p>
      <w:pPr>
        <w:pStyle w:val="7"/>
        <w:rPr>
          <w:rFonts w:ascii="宋体" w:hAnsi="宋体"/>
          <w:color w:val="auto"/>
          <w:sz w:val="28"/>
          <w:szCs w:val="28"/>
          <w:highlight w:val="none"/>
        </w:rPr>
      </w:pPr>
      <w:r>
        <w:rPr>
          <w:rFonts w:hint="eastAsia" w:ascii="宋体" w:hAnsi="宋体"/>
          <w:color w:val="auto"/>
          <w:sz w:val="28"/>
          <w:szCs w:val="28"/>
          <w:highlight w:val="none"/>
        </w:rPr>
        <w:t>法定代表人：（签章）</w:t>
      </w:r>
    </w:p>
    <w:p>
      <w:pPr>
        <w:pStyle w:val="7"/>
        <w:ind w:left="498" w:leftChars="237" w:firstLine="5241" w:firstLineChars="1872"/>
        <w:rPr>
          <w:rFonts w:ascii="宋体" w:hAnsi="宋体"/>
          <w:color w:val="auto"/>
          <w:sz w:val="28"/>
          <w:szCs w:val="28"/>
          <w:highlight w:val="none"/>
        </w:rPr>
      </w:pPr>
    </w:p>
    <w:p>
      <w:pPr>
        <w:pStyle w:val="7"/>
        <w:rPr>
          <w:rFonts w:ascii="宋体" w:hAnsi="宋体"/>
          <w:color w:val="auto"/>
          <w:sz w:val="28"/>
          <w:szCs w:val="28"/>
          <w:highlight w:val="none"/>
        </w:rPr>
      </w:pPr>
      <w:r>
        <w:rPr>
          <w:rFonts w:hint="eastAsia" w:ascii="宋体" w:hAnsi="宋体"/>
          <w:color w:val="auto"/>
          <w:sz w:val="28"/>
          <w:szCs w:val="28"/>
          <w:highlight w:val="none"/>
        </w:rPr>
        <w:t xml:space="preserve">日期：  年   月   日 </w:t>
      </w:r>
    </w:p>
    <w:p>
      <w:pPr>
        <w:pStyle w:val="2"/>
        <w:numPr>
          <w:ilvl w:val="1"/>
          <w:numId w:val="0"/>
        </w:numPr>
        <w:tabs>
          <w:tab w:val="left" w:pos="425"/>
        </w:tabs>
        <w:spacing w:line="480" w:lineRule="exact"/>
        <w:jc w:val="both"/>
        <w:rPr>
          <w:rFonts w:ascii="宋体" w:hAnsi="宋体"/>
          <w:bCs/>
          <w:color w:val="auto"/>
          <w:sz w:val="21"/>
          <w:szCs w:val="21"/>
          <w:highlight w:val="none"/>
        </w:rPr>
      </w:pPr>
    </w:p>
    <w:p>
      <w:pPr>
        <w:pStyle w:val="2"/>
        <w:numPr>
          <w:ilvl w:val="1"/>
          <w:numId w:val="0"/>
        </w:numPr>
        <w:tabs>
          <w:tab w:val="left" w:pos="425"/>
        </w:tabs>
        <w:spacing w:line="480" w:lineRule="exact"/>
        <w:ind w:left="1800"/>
        <w:rPr>
          <w:rFonts w:ascii="宋体" w:hAnsi="宋体"/>
          <w:bCs/>
          <w:color w:val="auto"/>
          <w:sz w:val="28"/>
          <w:szCs w:val="28"/>
          <w:highlight w:val="none"/>
        </w:rPr>
      </w:pPr>
    </w:p>
    <w:p>
      <w:pPr>
        <w:pStyle w:val="2"/>
        <w:numPr>
          <w:ilvl w:val="1"/>
          <w:numId w:val="0"/>
        </w:numPr>
        <w:tabs>
          <w:tab w:val="left" w:pos="425"/>
        </w:tabs>
        <w:spacing w:line="480" w:lineRule="exact"/>
        <w:ind w:left="1800"/>
        <w:rPr>
          <w:rFonts w:ascii="宋体" w:hAnsi="宋体"/>
          <w:bCs/>
          <w:color w:val="auto"/>
          <w:sz w:val="28"/>
          <w:szCs w:val="28"/>
          <w:highlight w:val="none"/>
        </w:rPr>
      </w:pPr>
    </w:p>
    <w:bookmarkEnd w:id="68"/>
    <w:p>
      <w:pPr>
        <w:spacing w:line="360" w:lineRule="auto"/>
        <w:jc w:val="center"/>
        <w:outlineLvl w:val="0"/>
        <w:rPr>
          <w:rFonts w:ascii="宋体" w:hAnsi="宋体" w:eastAsia="宋体"/>
          <w:b/>
          <w:bCs/>
          <w:color w:val="auto"/>
          <w:sz w:val="24"/>
          <w:szCs w:val="24"/>
          <w:highlight w:val="none"/>
        </w:rPr>
      </w:pPr>
      <w:bookmarkStart w:id="70" w:name="_Toc24704"/>
      <w:bookmarkStart w:id="71" w:name="_Toc10000"/>
      <w:bookmarkStart w:id="72" w:name="_Toc282"/>
      <w:bookmarkStart w:id="73" w:name="_Toc25619"/>
    </w:p>
    <w:p>
      <w:pPr>
        <w:spacing w:line="360" w:lineRule="auto"/>
        <w:jc w:val="center"/>
        <w:outlineLvl w:val="0"/>
        <w:rPr>
          <w:rFonts w:ascii="宋体" w:hAnsi="宋体" w:eastAsia="宋体"/>
          <w:b/>
          <w:bCs/>
          <w:color w:val="auto"/>
          <w:sz w:val="21"/>
          <w:szCs w:val="21"/>
          <w:highlight w:val="none"/>
        </w:rPr>
      </w:pPr>
    </w:p>
    <w:p>
      <w:pPr>
        <w:pStyle w:val="2"/>
        <w:numPr>
          <w:ilvl w:val="1"/>
          <w:numId w:val="0"/>
        </w:numPr>
        <w:tabs>
          <w:tab w:val="left" w:pos="425"/>
        </w:tabs>
        <w:spacing w:line="480" w:lineRule="exact"/>
        <w:ind w:left="1800" w:firstLine="562" w:firstLineChars="200"/>
        <w:jc w:val="both"/>
        <w:rPr>
          <w:rFonts w:ascii="宋体" w:hAnsi="宋体"/>
          <w:bCs/>
          <w:color w:val="auto"/>
          <w:sz w:val="28"/>
          <w:szCs w:val="28"/>
          <w:highlight w:val="none"/>
        </w:rPr>
      </w:pPr>
      <w:r>
        <w:rPr>
          <w:rFonts w:ascii="宋体" w:hAnsi="宋体"/>
          <w:bCs/>
          <w:color w:val="auto"/>
          <w:sz w:val="28"/>
          <w:szCs w:val="28"/>
          <w:highlight w:val="none"/>
        </w:rPr>
        <w:t>六、</w:t>
      </w:r>
      <w:r>
        <w:rPr>
          <w:rFonts w:ascii="宋体" w:hAnsi="宋体"/>
          <w:color w:val="auto"/>
          <w:sz w:val="28"/>
          <w:szCs w:val="28"/>
          <w:highlight w:val="none"/>
        </w:rPr>
        <w:t>供应商基本情况表</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0"/>
        <w:gridCol w:w="1048"/>
        <w:gridCol w:w="1757"/>
        <w:gridCol w:w="1222"/>
        <w:gridCol w:w="793"/>
        <w:gridCol w:w="439"/>
        <w:gridCol w:w="2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邮政编码</w:t>
            </w:r>
          </w:p>
        </w:tc>
        <w:tc>
          <w:tcPr>
            <w:tcW w:w="2098"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1048"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电话</w:t>
            </w:r>
          </w:p>
        </w:tc>
        <w:tc>
          <w:tcPr>
            <w:tcW w:w="2098"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pPr>
              <w:widowControl/>
              <w:spacing w:before="0" w:beforeLines="0" w:beforeAutospacing="0" w:afterAutospacing="0"/>
              <w:ind w:left="0" w:right="0"/>
              <w:rPr>
                <w:rFonts w:ascii="宋体" w:hAnsi="宋体" w:eastAsia="宋体" w:cs="Calibri"/>
                <w:color w:val="auto"/>
                <w:kern w:val="2"/>
                <w:sz w:val="24"/>
                <w:szCs w:val="24"/>
                <w:highlight w:val="none"/>
              </w:rPr>
            </w:pPr>
          </w:p>
        </w:tc>
        <w:tc>
          <w:tcPr>
            <w:tcW w:w="1048"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传真</w:t>
            </w:r>
          </w:p>
        </w:tc>
        <w:tc>
          <w:tcPr>
            <w:tcW w:w="2979"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网址</w:t>
            </w:r>
          </w:p>
        </w:tc>
        <w:tc>
          <w:tcPr>
            <w:tcW w:w="2098"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法定代表人</w:t>
            </w:r>
          </w:p>
        </w:tc>
        <w:tc>
          <w:tcPr>
            <w:tcW w:w="1048"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项目负责人</w:t>
            </w:r>
          </w:p>
        </w:tc>
        <w:tc>
          <w:tcPr>
            <w:tcW w:w="1048"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4552" w:type="dxa"/>
            <w:gridSpan w:val="4"/>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员工总人数：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账号</w:t>
            </w:r>
          </w:p>
        </w:tc>
        <w:tc>
          <w:tcPr>
            <w:tcW w:w="7357" w:type="dxa"/>
            <w:gridSpan w:val="6"/>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7357" w:type="dxa"/>
            <w:gridSpan w:val="6"/>
            <w:tcBorders>
              <w:top w:val="single" w:color="auto" w:sz="4" w:space="0"/>
              <w:left w:val="nil"/>
              <w:bottom w:val="single" w:color="auto" w:sz="4" w:space="0"/>
              <w:right w:val="single" w:color="auto" w:sz="4" w:space="0"/>
            </w:tcBorders>
            <w:noWrap w:val="0"/>
            <w:vAlign w:val="center"/>
          </w:tcPr>
          <w:p>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bl>
    <w:p>
      <w:pPr>
        <w:spacing w:line="360" w:lineRule="auto"/>
        <w:jc w:val="center"/>
        <w:outlineLvl w:val="0"/>
        <w:rPr>
          <w:rFonts w:ascii="宋体" w:hAnsi="宋体" w:eastAsia="宋体"/>
          <w:b/>
          <w:bCs/>
          <w:color w:val="auto"/>
          <w:sz w:val="21"/>
          <w:szCs w:val="21"/>
          <w:highlight w:val="none"/>
        </w:rPr>
      </w:pPr>
    </w:p>
    <w:p>
      <w:pPr>
        <w:spacing w:line="360" w:lineRule="auto"/>
        <w:jc w:val="center"/>
        <w:outlineLvl w:val="0"/>
        <w:rPr>
          <w:rFonts w:ascii="宋体" w:hAnsi="宋体" w:eastAsia="宋体"/>
          <w:b/>
          <w:bCs/>
          <w:color w:val="auto"/>
          <w:sz w:val="21"/>
          <w:szCs w:val="21"/>
          <w:highlight w:val="none"/>
        </w:rPr>
      </w:pPr>
    </w:p>
    <w:p>
      <w:pPr>
        <w:spacing w:line="360" w:lineRule="auto"/>
        <w:jc w:val="center"/>
        <w:outlineLvl w:val="0"/>
        <w:rPr>
          <w:rFonts w:ascii="宋体" w:hAnsi="宋体" w:eastAsia="宋体"/>
          <w:b/>
          <w:bCs/>
          <w:color w:val="auto"/>
          <w:sz w:val="21"/>
          <w:szCs w:val="21"/>
          <w:highlight w:val="none"/>
        </w:rPr>
      </w:pPr>
    </w:p>
    <w:p>
      <w:pPr>
        <w:spacing w:line="360" w:lineRule="auto"/>
        <w:jc w:val="center"/>
        <w:outlineLvl w:val="0"/>
        <w:rPr>
          <w:rFonts w:ascii="宋体" w:hAnsi="宋体" w:eastAsia="宋体"/>
          <w:b/>
          <w:bCs/>
          <w:color w:val="auto"/>
          <w:sz w:val="21"/>
          <w:szCs w:val="21"/>
          <w:highlight w:val="none"/>
        </w:rPr>
      </w:pPr>
    </w:p>
    <w:p>
      <w:pPr>
        <w:spacing w:line="360" w:lineRule="auto"/>
        <w:jc w:val="center"/>
        <w:outlineLvl w:val="0"/>
        <w:rPr>
          <w:rFonts w:hint="eastAsia" w:ascii="宋体" w:hAnsi="宋体" w:eastAsia="宋体"/>
          <w:b/>
          <w:bCs/>
          <w:color w:val="auto"/>
          <w:sz w:val="28"/>
          <w:szCs w:val="28"/>
          <w:highlight w:val="none"/>
        </w:rPr>
      </w:pPr>
    </w:p>
    <w:p>
      <w:pPr>
        <w:spacing w:line="360" w:lineRule="auto"/>
        <w:jc w:val="center"/>
        <w:outlineLvl w:val="0"/>
        <w:rPr>
          <w:rFonts w:hint="eastAsia" w:ascii="宋体" w:hAnsi="宋体" w:eastAsia="宋体"/>
          <w:b/>
          <w:bCs/>
          <w:color w:val="auto"/>
          <w:sz w:val="28"/>
          <w:szCs w:val="28"/>
          <w:highlight w:val="none"/>
        </w:rPr>
      </w:pPr>
    </w:p>
    <w:p>
      <w:pPr>
        <w:spacing w:line="360" w:lineRule="auto"/>
        <w:jc w:val="center"/>
        <w:outlineLvl w:val="0"/>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七、营业执照、税务登记证书等相关</w:t>
      </w:r>
      <w:bookmarkEnd w:id="70"/>
      <w:bookmarkEnd w:id="71"/>
      <w:bookmarkEnd w:id="72"/>
      <w:bookmarkEnd w:id="73"/>
      <w:r>
        <w:rPr>
          <w:rFonts w:hint="eastAsia" w:ascii="宋体" w:hAnsi="宋体" w:eastAsia="宋体"/>
          <w:b/>
          <w:bCs/>
          <w:color w:val="auto"/>
          <w:sz w:val="28"/>
          <w:szCs w:val="28"/>
          <w:highlight w:val="none"/>
          <w:lang w:eastAsia="zh-CN"/>
        </w:rPr>
        <w:t>资料</w:t>
      </w:r>
    </w:p>
    <w:p>
      <w:pPr>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（招标文件评分标准中相关证明资料）</w:t>
      </w:r>
    </w:p>
    <w:p>
      <w:pPr>
        <w:jc w:val="center"/>
        <w:rPr>
          <w:rFonts w:ascii="宋体" w:hAnsi="宋体" w:eastAsia="宋体" w:cs="宋体"/>
          <w:b/>
          <w:bCs/>
          <w:color w:val="auto"/>
          <w:sz w:val="28"/>
          <w:szCs w:val="28"/>
          <w:highlight w:val="none"/>
        </w:rPr>
        <w:sectPr>
          <w:footerReference r:id="rId7" w:type="default"/>
          <w:pgSz w:w="11905" w:h="16838"/>
          <w:pgMar w:top="1162" w:right="1372" w:bottom="1151" w:left="1361" w:header="720" w:footer="720" w:gutter="0"/>
          <w:pgNumType w:fmt="decimal"/>
          <w:cols w:space="720" w:num="1"/>
          <w:rtlGutter w:val="0"/>
          <w:docGrid w:type="lines" w:linePitch="312" w:charSpace="0"/>
        </w:sectPr>
      </w:pPr>
      <w:r>
        <w:rPr>
          <w:rFonts w:hint="eastAsia" w:ascii="宋体" w:hAnsi="宋体" w:eastAsia="宋体"/>
          <w:b/>
          <w:bCs/>
          <w:color w:val="auto"/>
          <w:sz w:val="28"/>
          <w:szCs w:val="28"/>
          <w:highlight w:val="none"/>
        </w:rPr>
        <w:t>格式自拟</w:t>
      </w:r>
      <w:r>
        <w:rPr>
          <w:rFonts w:hint="eastAsia" w:ascii="宋体" w:hAnsi="宋体" w:eastAsia="宋体" w:cs="宋体"/>
          <w:b/>
          <w:bCs/>
          <w:color w:val="auto"/>
          <w:sz w:val="28"/>
          <w:szCs w:val="28"/>
          <w:highlight w:val="none"/>
        </w:rPr>
        <w:t>并逐页签章</w:t>
      </w:r>
    </w:p>
    <w:p>
      <w:pPr>
        <w:spacing w:line="360" w:lineRule="auto"/>
        <w:ind w:firstLine="562" w:firstLineChars="200"/>
        <w:jc w:val="center"/>
        <w:outlineLvl w:val="0"/>
        <w:rPr>
          <w:rFonts w:ascii="宋体" w:hAnsi="宋体" w:eastAsia="宋体"/>
          <w:b/>
          <w:bCs/>
          <w:color w:val="auto"/>
          <w:sz w:val="28"/>
          <w:szCs w:val="28"/>
          <w:highlight w:val="none"/>
        </w:rPr>
      </w:pPr>
      <w:bookmarkStart w:id="74" w:name="_Toc4114"/>
      <w:bookmarkStart w:id="75" w:name="_Toc30810"/>
      <w:bookmarkStart w:id="76" w:name="_Toc12150"/>
      <w:bookmarkStart w:id="77" w:name="_Toc16636"/>
      <w:r>
        <w:rPr>
          <w:rFonts w:hint="eastAsia" w:ascii="宋体" w:hAnsi="宋体" w:eastAsia="宋体"/>
          <w:b/>
          <w:bCs/>
          <w:color w:val="auto"/>
          <w:sz w:val="28"/>
          <w:szCs w:val="28"/>
          <w:highlight w:val="none"/>
        </w:rPr>
        <w:t>八、20</w:t>
      </w:r>
      <w:r>
        <w:rPr>
          <w:rFonts w:hint="eastAsia" w:ascii="宋体" w:hAnsi="宋体" w:eastAsia="宋体"/>
          <w:b/>
          <w:bCs/>
          <w:color w:val="auto"/>
          <w:sz w:val="28"/>
          <w:szCs w:val="28"/>
          <w:highlight w:val="none"/>
          <w:lang w:val="en-US" w:eastAsia="zh-CN"/>
        </w:rPr>
        <w:t>22</w:t>
      </w:r>
      <w:r>
        <w:rPr>
          <w:rFonts w:hint="eastAsia" w:ascii="宋体" w:hAnsi="宋体" w:eastAsia="宋体"/>
          <w:b/>
          <w:bCs/>
          <w:color w:val="auto"/>
          <w:sz w:val="28"/>
          <w:szCs w:val="28"/>
          <w:highlight w:val="none"/>
        </w:rPr>
        <w:t>年以来供应商承担过的类似业绩</w:t>
      </w:r>
      <w:bookmarkEnd w:id="74"/>
      <w:bookmarkEnd w:id="75"/>
      <w:bookmarkEnd w:id="76"/>
      <w:bookmarkEnd w:id="77"/>
      <w:r>
        <w:rPr>
          <w:rFonts w:hint="eastAsia" w:ascii="宋体" w:hAnsi="宋体" w:eastAsia="宋体"/>
          <w:b/>
          <w:bCs/>
          <w:color w:val="auto"/>
          <w:sz w:val="28"/>
          <w:szCs w:val="28"/>
          <w:highlight w:val="none"/>
        </w:rPr>
        <w:t>（如有）</w:t>
      </w:r>
    </w:p>
    <w:p>
      <w:pPr>
        <w:spacing w:line="360" w:lineRule="auto"/>
        <w:jc w:val="center"/>
        <w:outlineLvl w:val="1"/>
        <w:rPr>
          <w:rFonts w:ascii="宋体" w:hAnsi="宋体" w:eastAsia="宋体"/>
          <w:b/>
          <w:bCs/>
          <w:color w:val="auto"/>
          <w:sz w:val="28"/>
          <w:szCs w:val="28"/>
          <w:highlight w:val="none"/>
        </w:rPr>
      </w:pPr>
      <w:bookmarkStart w:id="78" w:name="_Toc17684"/>
      <w:bookmarkStart w:id="79" w:name="_Toc17349"/>
      <w:bookmarkStart w:id="80" w:name="_Toc4059"/>
      <w:bookmarkStart w:id="81" w:name="_Toc31838"/>
      <w:r>
        <w:rPr>
          <w:rFonts w:hint="eastAsia" w:ascii="宋体" w:hAnsi="宋体" w:eastAsia="宋体"/>
          <w:b/>
          <w:bCs/>
          <w:color w:val="auto"/>
          <w:sz w:val="28"/>
          <w:szCs w:val="28"/>
          <w:highlight w:val="none"/>
        </w:rPr>
        <w:t>（一）20</w:t>
      </w:r>
      <w:r>
        <w:rPr>
          <w:rFonts w:hint="eastAsia" w:ascii="宋体" w:hAnsi="宋体" w:eastAsia="宋体"/>
          <w:b/>
          <w:bCs/>
          <w:color w:val="auto"/>
          <w:sz w:val="28"/>
          <w:szCs w:val="28"/>
          <w:highlight w:val="none"/>
          <w:lang w:val="en-US" w:eastAsia="zh-CN"/>
        </w:rPr>
        <w:t>22</w:t>
      </w:r>
      <w:r>
        <w:rPr>
          <w:rFonts w:hint="eastAsia" w:ascii="宋体" w:hAnsi="宋体" w:eastAsia="宋体"/>
          <w:b/>
          <w:bCs/>
          <w:color w:val="auto"/>
          <w:sz w:val="28"/>
          <w:szCs w:val="28"/>
          <w:highlight w:val="none"/>
        </w:rPr>
        <w:t>年以来完成的类似项目情况表</w:t>
      </w:r>
      <w:bookmarkEnd w:id="78"/>
      <w:bookmarkEnd w:id="79"/>
      <w:bookmarkEnd w:id="80"/>
      <w:bookmarkEnd w:id="81"/>
    </w:p>
    <w:p>
      <w:pPr>
        <w:spacing w:line="360" w:lineRule="auto"/>
        <w:jc w:val="center"/>
        <w:rPr>
          <w:rFonts w:ascii="宋体" w:hAnsi="宋体" w:eastAsia="宋体"/>
          <w:color w:val="auto"/>
          <w:sz w:val="21"/>
          <w:szCs w:val="21"/>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7"/>
        <w:gridCol w:w="6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项目名称</w:t>
            </w:r>
          </w:p>
        </w:tc>
        <w:tc>
          <w:tcPr>
            <w:tcW w:w="6007"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项目所在地</w:t>
            </w:r>
          </w:p>
        </w:tc>
        <w:tc>
          <w:tcPr>
            <w:tcW w:w="6007"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采购人名称</w:t>
            </w:r>
          </w:p>
        </w:tc>
        <w:tc>
          <w:tcPr>
            <w:tcW w:w="6007"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采购人地址</w:t>
            </w:r>
          </w:p>
        </w:tc>
        <w:tc>
          <w:tcPr>
            <w:tcW w:w="6007"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hint="eastAsia" w:ascii="宋体" w:hAnsi="宋体" w:eastAsia="宋体" w:cs="Calibri"/>
                <w:color w:val="auto"/>
                <w:kern w:val="2"/>
                <w:sz w:val="24"/>
                <w:szCs w:val="24"/>
                <w:highlight w:val="none"/>
                <w:lang w:eastAsia="zh-CN"/>
              </w:rPr>
            </w:pPr>
            <w:r>
              <w:rPr>
                <w:rFonts w:hint="eastAsia" w:ascii="宋体" w:hAnsi="宋体" w:eastAsia="宋体" w:cs="Calibri"/>
                <w:color w:val="auto"/>
                <w:kern w:val="2"/>
                <w:sz w:val="24"/>
                <w:szCs w:val="24"/>
                <w:highlight w:val="none"/>
              </w:rPr>
              <w:t>采购人</w:t>
            </w:r>
            <w:r>
              <w:rPr>
                <w:rFonts w:hint="eastAsia" w:ascii="宋体" w:hAnsi="宋体" w:eastAsia="宋体" w:cs="Calibri"/>
                <w:color w:val="auto"/>
                <w:kern w:val="2"/>
                <w:sz w:val="24"/>
                <w:szCs w:val="24"/>
                <w:highlight w:val="none"/>
                <w:lang w:eastAsia="zh-CN"/>
              </w:rPr>
              <w:t>联系方式</w:t>
            </w:r>
          </w:p>
        </w:tc>
        <w:tc>
          <w:tcPr>
            <w:tcW w:w="6007"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合同价格</w:t>
            </w:r>
          </w:p>
        </w:tc>
        <w:tc>
          <w:tcPr>
            <w:tcW w:w="6007"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供货期限</w:t>
            </w:r>
          </w:p>
        </w:tc>
        <w:tc>
          <w:tcPr>
            <w:tcW w:w="6007" w:type="dxa"/>
            <w:tcBorders>
              <w:top w:val="single" w:color="auto" w:sz="4" w:space="0"/>
              <w:left w:val="nil"/>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从               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采购内容</w:t>
            </w:r>
          </w:p>
        </w:tc>
        <w:tc>
          <w:tcPr>
            <w:tcW w:w="6007"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007"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6007"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bl>
    <w:p>
      <w:pPr>
        <w:spacing w:line="360" w:lineRule="auto"/>
        <w:ind w:firstLine="105" w:firstLineChars="50"/>
        <w:rPr>
          <w:rFonts w:hint="eastAsia" w:ascii="宋体" w:hAnsi="宋体" w:eastAsia="宋体"/>
          <w:b/>
          <w:bCs/>
          <w:color w:val="auto"/>
          <w:sz w:val="21"/>
          <w:szCs w:val="21"/>
          <w:highlight w:val="none"/>
        </w:rPr>
      </w:pPr>
    </w:p>
    <w:p>
      <w:pPr>
        <w:spacing w:line="360" w:lineRule="auto"/>
        <w:ind w:firstLine="105" w:firstLineChars="50"/>
        <w:rPr>
          <w:rFonts w:hint="default" w:ascii="宋体" w:hAnsi="宋体" w:eastAsia="宋体"/>
          <w:b/>
          <w:bCs/>
          <w:color w:val="auto"/>
          <w:sz w:val="21"/>
          <w:szCs w:val="21"/>
          <w:highlight w:val="none"/>
          <w:lang w:val="en-US" w:eastAsia="zh-CN"/>
        </w:rPr>
        <w:sectPr>
          <w:pgSz w:w="11905" w:h="16838"/>
          <w:pgMar w:top="1162" w:right="1372" w:bottom="1151" w:left="1361" w:header="720" w:footer="720" w:gutter="0"/>
          <w:pgNumType w:fmt="decimal"/>
          <w:cols w:space="720" w:num="1"/>
          <w:rtlGutter w:val="0"/>
          <w:docGrid w:type="lines" w:linePitch="312" w:charSpace="0"/>
        </w:sect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：本表后附合同协议书</w:t>
      </w:r>
      <w:r>
        <w:rPr>
          <w:rFonts w:hint="eastAsia" w:ascii="宋体" w:hAnsi="宋体" w:eastAsia="宋体"/>
          <w:b/>
          <w:bCs/>
          <w:color w:val="auto"/>
          <w:sz w:val="21"/>
          <w:szCs w:val="21"/>
          <w:highlight w:val="none"/>
          <w:lang w:eastAsia="zh-CN"/>
        </w:rPr>
        <w:t>和</w:t>
      </w:r>
      <w:r>
        <w:rPr>
          <w:rFonts w:hint="eastAsia" w:ascii="宋体" w:hAnsi="宋体" w:eastAsia="宋体"/>
          <w:b/>
          <w:bCs/>
          <w:color w:val="auto"/>
          <w:sz w:val="21"/>
          <w:szCs w:val="21"/>
          <w:highlight w:val="none"/>
        </w:rPr>
        <w:t>中标通知书的</w:t>
      </w:r>
      <w:r>
        <w:rPr>
          <w:rFonts w:hint="eastAsia" w:ascii="宋体" w:hAnsi="宋体" w:eastAsia="宋体"/>
          <w:b/>
          <w:bCs/>
          <w:color w:val="auto"/>
          <w:sz w:val="21"/>
          <w:szCs w:val="21"/>
          <w:highlight w:val="none"/>
          <w:lang w:eastAsia="zh-CN"/>
        </w:rPr>
        <w:t>原件扫描件，每张表格只填写一个项目，并标明序号，</w:t>
      </w:r>
      <w:r>
        <w:rPr>
          <w:rFonts w:hint="eastAsia" w:ascii="宋体" w:hAnsi="宋体" w:eastAsia="宋体"/>
          <w:b/>
          <w:bCs/>
          <w:color w:val="auto"/>
          <w:sz w:val="21"/>
          <w:szCs w:val="21"/>
          <w:highlight w:val="none"/>
          <w:lang w:val="en-US" w:eastAsia="zh-CN"/>
        </w:rPr>
        <w:t>可自行增加表格。</w:t>
      </w:r>
    </w:p>
    <w:p>
      <w:pPr>
        <w:spacing w:line="360" w:lineRule="auto"/>
        <w:jc w:val="center"/>
        <w:outlineLvl w:val="1"/>
        <w:rPr>
          <w:rFonts w:ascii="宋体" w:hAnsi="宋体" w:eastAsia="宋体"/>
          <w:b/>
          <w:bCs/>
          <w:color w:val="auto"/>
          <w:sz w:val="28"/>
          <w:szCs w:val="28"/>
          <w:highlight w:val="none"/>
        </w:rPr>
      </w:pPr>
      <w:bookmarkStart w:id="82" w:name="_Toc6662"/>
      <w:bookmarkStart w:id="83" w:name="_Toc24449"/>
      <w:bookmarkStart w:id="84" w:name="_Toc7893"/>
      <w:bookmarkStart w:id="85" w:name="_Toc28318"/>
      <w:r>
        <w:rPr>
          <w:rFonts w:hint="eastAsia" w:ascii="宋体" w:hAnsi="宋体" w:eastAsia="宋体"/>
          <w:b/>
          <w:bCs/>
          <w:color w:val="auto"/>
          <w:sz w:val="28"/>
          <w:szCs w:val="28"/>
          <w:highlight w:val="none"/>
        </w:rPr>
        <w:t>（二）新承接的类似项目情况表（如有）</w:t>
      </w:r>
    </w:p>
    <w:p>
      <w:pPr>
        <w:spacing w:line="360" w:lineRule="auto"/>
        <w:jc w:val="center"/>
        <w:rPr>
          <w:rFonts w:ascii="宋体" w:hAnsi="宋体" w:eastAsia="宋体"/>
          <w:color w:val="auto"/>
          <w:sz w:val="21"/>
          <w:szCs w:val="21"/>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7"/>
        <w:gridCol w:w="6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项目名称</w:t>
            </w:r>
          </w:p>
        </w:tc>
        <w:tc>
          <w:tcPr>
            <w:tcW w:w="6013"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项目所在地</w:t>
            </w:r>
          </w:p>
        </w:tc>
        <w:tc>
          <w:tcPr>
            <w:tcW w:w="6013"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采购人名称</w:t>
            </w:r>
          </w:p>
        </w:tc>
        <w:tc>
          <w:tcPr>
            <w:tcW w:w="6013"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采购人地址</w:t>
            </w:r>
          </w:p>
        </w:tc>
        <w:tc>
          <w:tcPr>
            <w:tcW w:w="6013"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hint="eastAsia" w:ascii="宋体" w:hAnsi="宋体" w:eastAsia="宋体" w:cs="Calibri"/>
                <w:color w:val="auto"/>
                <w:kern w:val="2"/>
                <w:sz w:val="28"/>
                <w:szCs w:val="28"/>
                <w:highlight w:val="none"/>
                <w:lang w:eastAsia="zh-CN"/>
              </w:rPr>
            </w:pPr>
            <w:r>
              <w:rPr>
                <w:rFonts w:hint="eastAsia" w:ascii="宋体" w:hAnsi="宋体" w:eastAsia="宋体" w:cs="Calibri"/>
                <w:color w:val="auto"/>
                <w:kern w:val="2"/>
                <w:sz w:val="28"/>
                <w:szCs w:val="28"/>
                <w:highlight w:val="none"/>
              </w:rPr>
              <w:t>采购人</w:t>
            </w:r>
            <w:r>
              <w:rPr>
                <w:rFonts w:hint="eastAsia" w:ascii="宋体" w:hAnsi="宋体" w:eastAsia="宋体" w:cs="Calibri"/>
                <w:color w:val="auto"/>
                <w:kern w:val="2"/>
                <w:sz w:val="28"/>
                <w:szCs w:val="28"/>
                <w:highlight w:val="none"/>
                <w:lang w:eastAsia="zh-CN"/>
              </w:rPr>
              <w:t>联系方式</w:t>
            </w:r>
          </w:p>
        </w:tc>
        <w:tc>
          <w:tcPr>
            <w:tcW w:w="6013"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合同价格</w:t>
            </w:r>
          </w:p>
        </w:tc>
        <w:tc>
          <w:tcPr>
            <w:tcW w:w="6013"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供货期限</w:t>
            </w:r>
          </w:p>
        </w:tc>
        <w:tc>
          <w:tcPr>
            <w:tcW w:w="6013" w:type="dxa"/>
            <w:tcBorders>
              <w:top w:val="single" w:color="auto" w:sz="4" w:space="0"/>
              <w:left w:val="nil"/>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从               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采购内容</w:t>
            </w:r>
          </w:p>
        </w:tc>
        <w:tc>
          <w:tcPr>
            <w:tcW w:w="6013"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质量</w:t>
            </w:r>
          </w:p>
        </w:tc>
        <w:tc>
          <w:tcPr>
            <w:tcW w:w="6013"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备注</w:t>
            </w:r>
          </w:p>
        </w:tc>
        <w:tc>
          <w:tcPr>
            <w:tcW w:w="6013" w:type="dxa"/>
            <w:tcBorders>
              <w:top w:val="single" w:color="auto" w:sz="4" w:space="0"/>
              <w:left w:val="nil"/>
              <w:bottom w:val="single" w:color="auto" w:sz="4" w:space="0"/>
              <w:right w:val="single" w:color="auto" w:sz="4" w:space="0"/>
            </w:tcBorders>
            <w:noWrap w:val="0"/>
            <w:vAlign w:val="top"/>
          </w:tcPr>
          <w:p>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bl>
    <w:p>
      <w:pPr>
        <w:spacing w:line="360" w:lineRule="auto"/>
        <w:ind w:firstLine="105" w:firstLineChars="50"/>
        <w:rPr>
          <w:rFonts w:hint="default" w:ascii="宋体" w:hAnsi="宋体" w:eastAsia="宋体"/>
          <w:b/>
          <w:bCs/>
          <w:color w:val="auto"/>
          <w:sz w:val="21"/>
          <w:szCs w:val="21"/>
          <w:highlight w:val="none"/>
          <w:lang w:val="en-US" w:eastAsia="zh-CN"/>
        </w:rPr>
        <w:sectPr>
          <w:pgSz w:w="11905" w:h="16838"/>
          <w:pgMar w:top="1162" w:right="1372" w:bottom="1151" w:left="1361" w:header="720" w:footer="720" w:gutter="0"/>
          <w:pgNumType w:fmt="decimal"/>
          <w:cols w:space="720" w:num="1"/>
          <w:rtlGutter w:val="0"/>
          <w:docGrid w:type="lines" w:linePitch="312" w:charSpace="0"/>
        </w:sect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：本表后附合同协议书</w:t>
      </w:r>
      <w:r>
        <w:rPr>
          <w:rFonts w:hint="eastAsia" w:ascii="宋体" w:hAnsi="宋体" w:eastAsia="宋体"/>
          <w:b/>
          <w:bCs/>
          <w:color w:val="auto"/>
          <w:sz w:val="21"/>
          <w:szCs w:val="21"/>
          <w:highlight w:val="none"/>
          <w:lang w:eastAsia="zh-CN"/>
        </w:rPr>
        <w:t>和</w:t>
      </w:r>
      <w:r>
        <w:rPr>
          <w:rFonts w:hint="eastAsia" w:ascii="宋体" w:hAnsi="宋体" w:eastAsia="宋体"/>
          <w:b/>
          <w:bCs/>
          <w:color w:val="auto"/>
          <w:sz w:val="21"/>
          <w:szCs w:val="21"/>
          <w:highlight w:val="none"/>
        </w:rPr>
        <w:t>中标通知书的</w:t>
      </w:r>
      <w:r>
        <w:rPr>
          <w:rFonts w:hint="eastAsia" w:ascii="宋体" w:hAnsi="宋体" w:eastAsia="宋体"/>
          <w:b/>
          <w:bCs/>
          <w:color w:val="auto"/>
          <w:sz w:val="21"/>
          <w:szCs w:val="21"/>
          <w:highlight w:val="none"/>
          <w:lang w:eastAsia="zh-CN"/>
        </w:rPr>
        <w:t>原件扫描件，每张表格只填写一个项目，并标明序号，</w:t>
      </w:r>
      <w:r>
        <w:rPr>
          <w:rFonts w:hint="eastAsia" w:ascii="宋体" w:hAnsi="宋体" w:eastAsia="宋体"/>
          <w:b/>
          <w:bCs/>
          <w:color w:val="auto"/>
          <w:sz w:val="21"/>
          <w:szCs w:val="21"/>
          <w:highlight w:val="none"/>
          <w:lang w:val="en-US" w:eastAsia="zh-CN"/>
        </w:rPr>
        <w:t>可自行增加表格。</w:t>
      </w:r>
    </w:p>
    <w:p>
      <w:pPr>
        <w:jc w:val="both"/>
        <w:rPr>
          <w:rFonts w:ascii="宋体" w:hAnsi="宋体" w:eastAsia="宋体"/>
          <w:b/>
          <w:bCs/>
          <w:color w:val="auto"/>
          <w:sz w:val="21"/>
          <w:szCs w:val="21"/>
          <w:highlight w:val="none"/>
        </w:rPr>
      </w:pPr>
    </w:p>
    <w:p>
      <w:pPr>
        <w:jc w:val="both"/>
        <w:rPr>
          <w:rFonts w:ascii="宋体" w:hAnsi="宋体" w:eastAsia="宋体"/>
          <w:b/>
          <w:bCs/>
          <w:color w:val="auto"/>
          <w:sz w:val="21"/>
          <w:szCs w:val="21"/>
          <w:highlight w:val="none"/>
        </w:rPr>
      </w:pPr>
    </w:p>
    <w:p>
      <w:pPr>
        <w:numPr>
          <w:ilvl w:val="0"/>
          <w:numId w:val="3"/>
        </w:numPr>
        <w:jc w:val="center"/>
        <w:rPr>
          <w:rFonts w:hint="eastAsia" w:ascii="宋体" w:hAnsi="宋体" w:eastAsia="宋体" w:cs="仿宋"/>
          <w:b/>
          <w:bCs/>
          <w:color w:val="auto"/>
          <w:sz w:val="28"/>
          <w:szCs w:val="28"/>
          <w:highlight w:val="none"/>
        </w:rPr>
      </w:pPr>
      <w:r>
        <w:rPr>
          <w:rFonts w:hint="eastAsia" w:ascii="宋体" w:hAnsi="宋体" w:eastAsia="宋体" w:cs="仿宋"/>
          <w:b/>
          <w:bCs/>
          <w:color w:val="auto"/>
          <w:sz w:val="28"/>
          <w:szCs w:val="28"/>
          <w:highlight w:val="none"/>
        </w:rPr>
        <w:t>近年发生的诉讼及仲裁情况</w:t>
      </w:r>
      <w:r>
        <w:rPr>
          <w:rFonts w:hint="eastAsia" w:ascii="宋体" w:hAnsi="宋体" w:eastAsia="宋体"/>
          <w:b/>
          <w:bCs/>
          <w:color w:val="auto"/>
          <w:sz w:val="28"/>
          <w:szCs w:val="28"/>
          <w:highlight w:val="none"/>
        </w:rPr>
        <w:t>（如有）</w:t>
      </w:r>
    </w:p>
    <w:p>
      <w:pPr>
        <w:numPr>
          <w:ilvl w:val="0"/>
          <w:numId w:val="0"/>
        </w:numPr>
        <w:jc w:val="center"/>
        <w:rPr>
          <w:rFonts w:ascii="宋体" w:hAnsi="宋体" w:eastAsia="宋体"/>
          <w:b/>
          <w:bCs/>
          <w:color w:val="auto"/>
          <w:sz w:val="21"/>
          <w:szCs w:val="21"/>
          <w:highlight w:val="none"/>
        </w:rPr>
      </w:pPr>
      <w:r>
        <w:rPr>
          <w:rFonts w:hint="eastAsia" w:ascii="宋体" w:hAnsi="宋体" w:eastAsia="宋体"/>
          <w:b w:val="0"/>
          <w:bCs w:val="0"/>
          <w:color w:val="auto"/>
          <w:sz w:val="22"/>
          <w:szCs w:val="22"/>
          <w:highlight w:val="none"/>
          <w:lang w:eastAsia="zh-CN"/>
        </w:rPr>
        <w:t>格式自拟并逐页签章</w:t>
      </w:r>
      <w:r>
        <w:rPr>
          <w:rFonts w:ascii="宋体" w:hAnsi="宋体" w:eastAsia="宋体"/>
          <w:b/>
          <w:bCs/>
          <w:color w:val="auto"/>
          <w:sz w:val="28"/>
          <w:szCs w:val="28"/>
          <w:highlight w:val="none"/>
        </w:rPr>
        <w:br w:type="page"/>
      </w:r>
    </w:p>
    <w:p>
      <w:pPr>
        <w:spacing w:line="360" w:lineRule="auto"/>
        <w:jc w:val="center"/>
        <w:outlineLvl w:val="0"/>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九、其他</w:t>
      </w:r>
      <w:r>
        <w:rPr>
          <w:rFonts w:hint="eastAsia" w:ascii="宋体" w:hAnsi="宋体" w:eastAsia="宋体"/>
          <w:b/>
          <w:bCs/>
          <w:color w:val="auto"/>
          <w:sz w:val="28"/>
          <w:szCs w:val="28"/>
          <w:highlight w:val="none"/>
          <w:lang w:eastAsia="zh-CN"/>
        </w:rPr>
        <w:t>资</w:t>
      </w:r>
      <w:r>
        <w:rPr>
          <w:rFonts w:hint="eastAsia" w:ascii="宋体" w:hAnsi="宋体" w:eastAsia="宋体"/>
          <w:b/>
          <w:bCs/>
          <w:color w:val="auto"/>
          <w:sz w:val="28"/>
          <w:szCs w:val="28"/>
          <w:highlight w:val="none"/>
        </w:rPr>
        <w:t>料</w:t>
      </w:r>
      <w:bookmarkEnd w:id="82"/>
      <w:bookmarkEnd w:id="83"/>
      <w:bookmarkEnd w:id="84"/>
      <w:bookmarkEnd w:id="85"/>
    </w:p>
    <w:p>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（评分办法中提到的承诺书、其他资料及供应商认为应附的其他资料并逐页签章）</w:t>
      </w:r>
      <w:bookmarkEnd w:id="69"/>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rPr>
          <w:color w:val="auto"/>
          <w:sz w:val="28"/>
          <w:szCs w:val="28"/>
          <w:highlight w:val="none"/>
        </w:rPr>
      </w:pPr>
      <w:r>
        <w:rPr>
          <w:rFonts w:hint="eastAsia"/>
          <w:color w:val="auto"/>
          <w:sz w:val="28"/>
          <w:szCs w:val="28"/>
          <w:highlight w:val="none"/>
        </w:rPr>
        <w:t>附件1</w:t>
      </w:r>
    </w:p>
    <w:p>
      <w:pPr>
        <w:pStyle w:val="7"/>
        <w:spacing w:after="0" w:line="362" w:lineRule="auto"/>
        <w:ind w:left="63" w:right="63"/>
        <w:jc w:val="center"/>
        <w:rPr>
          <w:rFonts w:hint="eastAsia"/>
          <w:b/>
          <w:color w:val="auto"/>
          <w:sz w:val="28"/>
          <w:szCs w:val="28"/>
          <w:highlight w:val="none"/>
        </w:rPr>
      </w:pPr>
      <w:r>
        <w:rPr>
          <w:rFonts w:hint="eastAsia"/>
          <w:b/>
          <w:color w:val="auto"/>
          <w:sz w:val="28"/>
          <w:szCs w:val="28"/>
          <w:highlight w:val="none"/>
        </w:rPr>
        <w:t>中小微企业声明函（</w:t>
      </w:r>
      <w:r>
        <w:rPr>
          <w:rFonts w:hint="eastAsia"/>
          <w:b/>
          <w:color w:val="auto"/>
          <w:sz w:val="28"/>
          <w:szCs w:val="28"/>
          <w:highlight w:val="none"/>
          <w:lang w:val="en-US" w:eastAsia="zh-CN"/>
        </w:rPr>
        <w:t>供应商</w:t>
      </w:r>
      <w:r>
        <w:rPr>
          <w:rFonts w:hint="eastAsia"/>
          <w:b/>
          <w:color w:val="auto"/>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（单位名称）的（项目名称）</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Fonts w:hint="eastAsia"/>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w:t>
      </w:r>
      <w:r>
        <w:rPr>
          <w:rFonts w:hint="eastAsia" w:ascii="宋体" w:hAnsi="宋体" w:eastAsia="宋体" w:cs="宋体"/>
          <w:b w:val="0"/>
          <w:bCs w:val="0"/>
          <w:color w:val="auto"/>
          <w:sz w:val="24"/>
          <w:szCs w:val="24"/>
          <w:highlight w:val="none"/>
        </w:rPr>
        <w:t>名称（</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pPr>
        <w:pStyle w:val="19"/>
        <w:tabs>
          <w:tab w:val="left" w:pos="720"/>
        </w:tabs>
        <w:spacing w:line="360" w:lineRule="auto"/>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1、从业人员、营业收入、资产总额填报上一年度数据，无上一年度数据的新成立企业可不填报。</w:t>
      </w:r>
    </w:p>
    <w:p>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pPr>
        <w:pStyle w:val="19"/>
        <w:tabs>
          <w:tab w:val="left" w:pos="720"/>
        </w:tabs>
        <w:spacing w:line="360" w:lineRule="auto"/>
        <w:ind w:left="0" w:leftChars="0" w:firstLine="0" w:firstLineChars="0"/>
        <w:rPr>
          <w:rFonts w:hint="eastAsia" w:ascii="宋体" w:hAnsi="宋体" w:cs="宋体"/>
          <w:color w:val="auto"/>
          <w:sz w:val="28"/>
          <w:szCs w:val="28"/>
          <w:highlight w:val="none"/>
        </w:rPr>
        <w:sectPr>
          <w:footerReference r:id="rId8" w:type="default"/>
          <w:pgSz w:w="11905" w:h="16838"/>
          <w:pgMar w:top="1162" w:right="1372" w:bottom="1151" w:left="1361" w:header="0" w:footer="1595" w:gutter="0"/>
          <w:pgNumType w:fmt="decimal"/>
          <w:cols w:space="720" w:num="1"/>
          <w:rtlGutter w:val="0"/>
        </w:sectPr>
      </w:pPr>
      <w:r>
        <w:rPr>
          <w:rFonts w:hint="eastAsia" w:ascii="宋体" w:hAnsi="宋体" w:eastAsia="宋体" w:cs="宋体"/>
          <w:color w:val="auto"/>
          <w:spacing w:val="6"/>
          <w:kern w:val="0"/>
          <w:sz w:val="24"/>
          <w:szCs w:val="24"/>
          <w:highlight w:val="none"/>
        </w:rPr>
        <w:t>3、未按上述要求提供、填写的，评审时不予以考虑。</w:t>
      </w:r>
    </w:p>
    <w:p>
      <w:pPr>
        <w:pageBreakBefore/>
        <w:rPr>
          <w:color w:val="auto"/>
          <w:sz w:val="28"/>
          <w:szCs w:val="28"/>
          <w:highlight w:val="none"/>
        </w:rPr>
      </w:pPr>
      <w:r>
        <w:rPr>
          <w:rFonts w:hint="eastAsia"/>
          <w:color w:val="auto"/>
          <w:sz w:val="28"/>
          <w:szCs w:val="28"/>
          <w:highlight w:val="none"/>
        </w:rPr>
        <w:t>附件2</w:t>
      </w:r>
    </w:p>
    <w:p>
      <w:pPr>
        <w:adjustRightInd w:val="0"/>
        <w:snapToGrid w:val="0"/>
        <w:ind w:firstLine="560" w:firstLineChars="200"/>
        <w:rPr>
          <w:color w:val="auto"/>
          <w:sz w:val="28"/>
          <w:szCs w:val="28"/>
          <w:highlight w:val="none"/>
        </w:rPr>
      </w:pPr>
    </w:p>
    <w:p>
      <w:pPr>
        <w:pStyle w:val="2"/>
        <w:numPr>
          <w:ilvl w:val="1"/>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pPr>
        <w:jc w:val="center"/>
        <w:rPr>
          <w:b/>
          <w:bCs/>
          <w:color w:val="auto"/>
          <w:sz w:val="28"/>
          <w:szCs w:val="28"/>
          <w:highlight w:val="none"/>
        </w:rPr>
      </w:pPr>
    </w:p>
    <w:p>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ageBreakBefore/>
        <w:rPr>
          <w:color w:val="auto"/>
          <w:sz w:val="28"/>
          <w:szCs w:val="28"/>
          <w:highlight w:val="none"/>
        </w:rPr>
      </w:pPr>
      <w:r>
        <w:rPr>
          <w:rFonts w:hint="eastAsia"/>
          <w:color w:val="auto"/>
          <w:sz w:val="28"/>
          <w:szCs w:val="28"/>
          <w:highlight w:val="none"/>
        </w:rPr>
        <w:t>附件3</w:t>
      </w:r>
    </w:p>
    <w:p>
      <w:pPr>
        <w:pStyle w:val="13"/>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pPr>
        <w:pStyle w:val="13"/>
        <w:wordWrap/>
        <w:topLinePunct w:val="0"/>
        <w:spacing w:line="480" w:lineRule="exact"/>
        <w:ind w:left="0" w:leftChars="0" w:right="0" w:rightChars="0" w:firstLine="560" w:firstLineChars="200"/>
        <w:rPr>
          <w:color w:val="auto"/>
          <w:kern w:val="36"/>
          <w:sz w:val="28"/>
          <w:szCs w:val="28"/>
          <w:highlight w:val="none"/>
        </w:rPr>
      </w:pPr>
    </w:p>
    <w:p>
      <w:pPr>
        <w:pStyle w:val="13"/>
        <w:keepNext w:val="0"/>
        <w:keepLines w:val="0"/>
        <w:pageBreakBefore w:val="0"/>
        <w:widowControl/>
        <w:kinsoku/>
        <w:wordWrap/>
        <w:overflowPunct/>
        <w:topLinePunct w:val="0"/>
        <w:autoSpaceDE/>
        <w:autoSpaceDN/>
        <w:bidi w:val="0"/>
        <w:adjustRightInd w:val="0"/>
        <w:snapToGrid w:val="0"/>
        <w:spacing w:after="0" w:line="480" w:lineRule="exact"/>
        <w:ind w:left="0" w:leftChars="0" w:right="0" w:rightChars="0" w:firstLine="560" w:firstLineChars="200"/>
        <w:textAlignment w:val="auto"/>
        <w:rPr>
          <w:rFonts w:hint="eastAsia" w:ascii="宋体" w:hAnsi="宋体" w:eastAsia="宋体" w:cs="宋体"/>
          <w:color w:val="auto"/>
          <w:kern w:val="36"/>
          <w:sz w:val="28"/>
          <w:szCs w:val="28"/>
          <w:highlight w:val="none"/>
        </w:rPr>
      </w:pPr>
      <w:r>
        <w:rPr>
          <w:rFonts w:hint="eastAsia" w:ascii="宋体" w:hAnsi="宋体" w:eastAsia="宋体" w:cs="宋体"/>
          <w:color w:val="auto"/>
          <w:kern w:val="36"/>
          <w:sz w:val="28"/>
          <w:szCs w:val="28"/>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ascii="宋体" w:hAnsi="宋体" w:eastAsia="宋体" w:cs="宋体"/>
          <w:color w:val="auto"/>
          <w:kern w:val="36"/>
          <w:sz w:val="28"/>
          <w:szCs w:val="28"/>
          <w:highlight w:val="none"/>
          <w:u w:val="single"/>
        </w:rPr>
        <w:t xml:space="preserve">           </w:t>
      </w:r>
      <w:r>
        <w:rPr>
          <w:rFonts w:hint="eastAsia" w:ascii="宋体" w:hAnsi="宋体" w:eastAsia="宋体" w:cs="宋体"/>
          <w:color w:val="auto"/>
          <w:kern w:val="36"/>
          <w:sz w:val="28"/>
          <w:szCs w:val="28"/>
          <w:highlight w:val="none"/>
        </w:rPr>
        <w:t>单位的</w:t>
      </w:r>
      <w:r>
        <w:rPr>
          <w:rFonts w:hint="eastAsia" w:ascii="宋体" w:hAnsi="宋体" w:eastAsia="宋体" w:cs="宋体"/>
          <w:color w:val="auto"/>
          <w:kern w:val="36"/>
          <w:sz w:val="28"/>
          <w:szCs w:val="28"/>
          <w:highlight w:val="none"/>
          <w:u w:val="single"/>
        </w:rPr>
        <w:t xml:space="preserve">                   </w:t>
      </w:r>
      <w:r>
        <w:rPr>
          <w:rFonts w:hint="eastAsia" w:ascii="宋体" w:hAnsi="宋体" w:eastAsia="宋体" w:cs="宋体"/>
          <w:color w:val="auto"/>
          <w:kern w:val="36"/>
          <w:sz w:val="28"/>
          <w:szCs w:val="28"/>
          <w:highlight w:val="none"/>
          <w:u w:val="single"/>
          <w:lang w:val="en-US" w:eastAsia="zh-CN"/>
        </w:rPr>
        <w:t xml:space="preserve">                            </w:t>
      </w:r>
      <w:r>
        <w:rPr>
          <w:rFonts w:hint="eastAsia" w:ascii="宋体" w:hAnsi="宋体" w:eastAsia="宋体" w:cs="宋体"/>
          <w:color w:val="auto"/>
          <w:kern w:val="36"/>
          <w:sz w:val="28"/>
          <w:szCs w:val="28"/>
          <w:highlight w:val="none"/>
        </w:rPr>
        <w:t>项目采购活动提供本单位制造的货物（由本单位承担工程/提供服务），或者提供其他残疾人福利性单位制造的货物（不包括使用非残疾人福利性单位注册商标的货物）。</w:t>
      </w:r>
    </w:p>
    <w:p>
      <w:pPr>
        <w:pStyle w:val="13"/>
        <w:keepNext w:val="0"/>
        <w:keepLines w:val="0"/>
        <w:pageBreakBefore w:val="0"/>
        <w:widowControl/>
        <w:kinsoku/>
        <w:wordWrap/>
        <w:overflowPunct/>
        <w:topLinePunct w:val="0"/>
        <w:autoSpaceDE/>
        <w:autoSpaceDN/>
        <w:bidi w:val="0"/>
        <w:adjustRightInd w:val="0"/>
        <w:snapToGrid w:val="0"/>
        <w:spacing w:after="0" w:line="480" w:lineRule="exact"/>
        <w:ind w:left="0" w:leftChars="0" w:right="0" w:rightChars="0" w:firstLine="560" w:firstLineChars="200"/>
        <w:textAlignment w:val="auto"/>
        <w:rPr>
          <w:rFonts w:hint="eastAsia" w:ascii="宋体" w:hAnsi="宋体" w:eastAsia="宋体" w:cs="宋体"/>
          <w:color w:val="auto"/>
          <w:kern w:val="36"/>
          <w:sz w:val="28"/>
          <w:szCs w:val="28"/>
          <w:highlight w:val="none"/>
        </w:rPr>
      </w:pPr>
      <w:r>
        <w:rPr>
          <w:rFonts w:hint="eastAsia" w:ascii="宋体" w:hAnsi="宋体" w:eastAsia="宋体" w:cs="宋体"/>
          <w:color w:val="auto"/>
          <w:kern w:val="36"/>
          <w:sz w:val="28"/>
          <w:szCs w:val="28"/>
          <w:highlight w:val="none"/>
        </w:rPr>
        <w:t>本单位对上述声明的真实性负责。如有虚假，将依法承担相应责任。</w:t>
      </w:r>
    </w:p>
    <w:p>
      <w:pPr>
        <w:rPr>
          <w:color w:val="auto"/>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widowControl w:val="0"/>
        <w:jc w:val="both"/>
        <w:rPr>
          <w:rFonts w:ascii="宋体" w:hAnsi="宋体"/>
          <w:color w:val="auto"/>
          <w:sz w:val="24"/>
          <w:szCs w:val="24"/>
          <w:highlight w:val="none"/>
        </w:rPr>
      </w:pPr>
    </w:p>
    <w:p>
      <w:pPr>
        <w:spacing w:line="480" w:lineRule="auto"/>
        <w:jc w:val="left"/>
        <w:rPr>
          <w:rFonts w:hint="eastAsia" w:ascii="宋体" w:hAnsi="宋体" w:cs="宋体"/>
          <w:b w:val="0"/>
          <w:bCs w:val="0"/>
          <w:color w:val="auto"/>
          <w:sz w:val="32"/>
          <w:szCs w:val="32"/>
          <w:highlight w:val="none"/>
          <w:lang w:val="en-US" w:eastAsia="zh-CN"/>
        </w:rPr>
      </w:pPr>
    </w:p>
    <w:p>
      <w:pPr>
        <w:spacing w:line="480" w:lineRule="auto"/>
        <w:jc w:val="left"/>
        <w:rPr>
          <w:rFonts w:hint="default" w:ascii="宋体" w:hAnsi="宋体" w:eastAsia="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附件4</w:t>
      </w:r>
    </w:p>
    <w:p>
      <w:pPr>
        <w:spacing w:line="48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河南省政府采购合同融资政策告知函</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各供应商:</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欢迎贵公司参与河南省政府采购活动!</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贷款渠道和提供贷款的金融机构，可在河南省政府采购网“河南省政府采购合同融资平台”查询联系。</w:t>
      </w:r>
    </w:p>
    <w:p>
      <w:pPr>
        <w:pStyle w:val="7"/>
        <w:spacing w:after="0" w:line="362" w:lineRule="auto"/>
        <w:ind w:left="63" w:right="63"/>
        <w:jc w:val="center"/>
        <w:rPr>
          <w:rFonts w:hint="eastAsia"/>
          <w:b/>
          <w:color w:val="auto"/>
          <w:sz w:val="24"/>
          <w:szCs w:val="24"/>
          <w:highlight w:val="none"/>
        </w:rPr>
      </w:pPr>
    </w:p>
    <w:p>
      <w:pPr>
        <w:spacing w:line="360" w:lineRule="auto"/>
        <w:jc w:val="center"/>
        <w:rPr>
          <w:color w:val="auto"/>
          <w:highlight w:val="none"/>
        </w:rPr>
      </w:pPr>
    </w:p>
    <w:p>
      <w:pPr>
        <w:rPr>
          <w:rFonts w:asciiTheme="minorEastAsia" w:hAnsiTheme="minorEastAsia" w:eastAsiaTheme="minorEastAsia"/>
          <w:color w:val="auto"/>
          <w:highlight w:val="none"/>
        </w:rPr>
      </w:pPr>
    </w:p>
    <w:p>
      <w:pPr>
        <w:widowControl/>
        <w:jc w:val="left"/>
        <w:rPr>
          <w:rFonts w:asciiTheme="minorEastAsia" w:hAnsiTheme="minorEastAsia" w:eastAsiaTheme="minorEastAsia"/>
          <w:b/>
          <w:bCs/>
          <w:color w:val="auto"/>
          <w:kern w:val="0"/>
          <w:sz w:val="24"/>
          <w:highlight w:val="none"/>
        </w:rPr>
      </w:pPr>
    </w:p>
    <w:p>
      <w:pPr>
        <w:rPr>
          <w:color w:val="auto"/>
          <w:highlight w:val="none"/>
        </w:rPr>
      </w:pPr>
    </w:p>
    <w:p>
      <w:pPr>
        <w:rPr>
          <w:color w:val="auto"/>
          <w:highlight w:val="none"/>
        </w:rPr>
      </w:pPr>
    </w:p>
    <w:sectPr>
      <w:headerReference r:id="rId9" w:type="default"/>
      <w:footerReference r:id="rId10" w:type="default"/>
      <w:pgSz w:w="11905" w:h="16838"/>
      <w:pgMar w:top="1162" w:right="1372" w:bottom="1151" w:left="1361"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tabs>
        <w:tab w:val="left" w:pos="4005"/>
        <w:tab w:val="center" w:pos="5030"/>
      </w:tabs>
      <w:adjustRightInd w:val="0"/>
      <w:ind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ascii="Tahoma" w:hAnsi="Tahoma" w:eastAsia="微软雅黑" w:cs="黑体"/>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ymsI39sBAAC2AwAADgAAAAAAAAAB&#10;ACAAAAAfAQAAZHJzL2Uyb0RvYy54bWxQSwUGAAAAAAYABgBZAQAAbA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rPr>
        <w:rFonts w:hint="eastAsia" w:ascii="微软雅黑 Light" w:hAnsi="微软雅黑 Light" w:eastAsia="微软雅黑 Light" w:cs="微软雅黑 Light"/>
        <w:b/>
        <w:bCs/>
        <w:spacing w:val="-6"/>
        <w:w w:val="10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lear" w:pos="4153"/>
      </w:tabs>
      <w:kinsoku/>
      <w:wordWrap/>
      <w:overflowPunct/>
      <w:topLinePunct w:val="0"/>
      <w:autoSpaceDE/>
      <w:autoSpaceDN/>
      <w:bidi w:val="0"/>
      <w:adjustRightInd/>
      <w:snapToGrid w:val="0"/>
      <w:spacing w:line="240" w:lineRule="auto"/>
      <w:ind w:firstLine="212" w:firstLineChars="0"/>
      <w:jc w:val="left"/>
      <w:textAlignment w:val="auto"/>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between w:val="none" w:color="auto" w:sz="0" w:space="0"/>
      </w:pBdr>
      <w:spacing w:line="219" w:lineRule="auto"/>
      <w:ind w:left="261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FAC4A"/>
    <w:multiLevelType w:val="singleLevel"/>
    <w:tmpl w:val="F62FAC4A"/>
    <w:lvl w:ilvl="0" w:tentative="0">
      <w:start w:val="1"/>
      <w:numFmt w:val="decimal"/>
      <w:suff w:val="nothing"/>
      <w:lvlText w:val="%1、"/>
      <w:lvlJc w:val="left"/>
    </w:lvl>
  </w:abstractNum>
  <w:abstractNum w:abstractNumId="1">
    <w:nsid w:val="00B54EEE"/>
    <w:multiLevelType w:val="multilevel"/>
    <w:tmpl w:val="00B54EE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96BE22"/>
    <w:multiLevelType w:val="singleLevel"/>
    <w:tmpl w:val="6496BE22"/>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GCpFIZAqVzKaWitO0bQvplGfzeI=" w:salt="fAxvFxRFhEpb/oKBCvEvi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106FA"/>
    <w:rsid w:val="03EC0177"/>
    <w:rsid w:val="03FB03BA"/>
    <w:rsid w:val="1A42440D"/>
    <w:rsid w:val="1B9B2757"/>
    <w:rsid w:val="1C334DB0"/>
    <w:rsid w:val="1E4C5F8A"/>
    <w:rsid w:val="209074CD"/>
    <w:rsid w:val="258C4EBE"/>
    <w:rsid w:val="2689381E"/>
    <w:rsid w:val="2701248A"/>
    <w:rsid w:val="289A5B44"/>
    <w:rsid w:val="2AF91248"/>
    <w:rsid w:val="2CC3566A"/>
    <w:rsid w:val="2CE0442F"/>
    <w:rsid w:val="2D2B7558"/>
    <w:rsid w:val="2DEFB7E5"/>
    <w:rsid w:val="2EC456C9"/>
    <w:rsid w:val="3075311F"/>
    <w:rsid w:val="328D4B00"/>
    <w:rsid w:val="37DFE333"/>
    <w:rsid w:val="39F562C6"/>
    <w:rsid w:val="3A667EC8"/>
    <w:rsid w:val="3B1E53DF"/>
    <w:rsid w:val="3EA9583B"/>
    <w:rsid w:val="409D4B7A"/>
    <w:rsid w:val="428E1E1E"/>
    <w:rsid w:val="450C6879"/>
    <w:rsid w:val="456B5A55"/>
    <w:rsid w:val="49AC01CA"/>
    <w:rsid w:val="4AB13F10"/>
    <w:rsid w:val="4B706590"/>
    <w:rsid w:val="4C1C5F2C"/>
    <w:rsid w:val="4C630A21"/>
    <w:rsid w:val="51285E12"/>
    <w:rsid w:val="51CE22D9"/>
    <w:rsid w:val="53ED2251"/>
    <w:rsid w:val="54B6619C"/>
    <w:rsid w:val="55052414"/>
    <w:rsid w:val="56910451"/>
    <w:rsid w:val="56CD6535"/>
    <w:rsid w:val="576645CF"/>
    <w:rsid w:val="59570D64"/>
    <w:rsid w:val="5BA61BB1"/>
    <w:rsid w:val="5D5A0E23"/>
    <w:rsid w:val="5D8B5480"/>
    <w:rsid w:val="63A819E4"/>
    <w:rsid w:val="64DD43AC"/>
    <w:rsid w:val="67B6759E"/>
    <w:rsid w:val="6B481EF1"/>
    <w:rsid w:val="6FBFAFF2"/>
    <w:rsid w:val="72B106FA"/>
    <w:rsid w:val="76911902"/>
    <w:rsid w:val="76CE7F17"/>
    <w:rsid w:val="7E486D12"/>
    <w:rsid w:val="7EFD5C9C"/>
    <w:rsid w:val="7F95B26D"/>
    <w:rsid w:val="7FFF38DA"/>
    <w:rsid w:val="CB7F4B25"/>
    <w:rsid w:val="DD4A3AAB"/>
    <w:rsid w:val="DDEFBDB0"/>
    <w:rsid w:val="DFDC1804"/>
    <w:rsid w:val="F9F9E6BE"/>
    <w:rsid w:val="FE99C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4"/>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widowControl w:val="0"/>
      <w:adjustRightInd/>
      <w:snapToGrid/>
      <w:spacing w:after="0" w:afterLines="0"/>
      <w:ind w:firstLine="420"/>
      <w:jc w:val="both"/>
    </w:pPr>
    <w:rPr>
      <w:rFonts w:ascii="Times New Roman" w:hAnsi="Times New Roman" w:eastAsia="宋体" w:cs="Times New Roman"/>
      <w:kern w:val="2"/>
      <w:sz w:val="21"/>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afterAutospacing="0"/>
    </w:pPr>
  </w:style>
  <w:style w:type="paragraph" w:customStyle="1" w:styleId="8">
    <w:name w:val="style4"/>
    <w:basedOn w:val="1"/>
    <w:next w:val="9"/>
    <w:qFormat/>
    <w:uiPriority w:val="0"/>
    <w:pPr>
      <w:widowControl/>
      <w:spacing w:before="280" w:after="280"/>
    </w:pPr>
    <w:rPr>
      <w:rFonts w:ascii="宋体"/>
      <w:sz w:val="18"/>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Body Text Indent"/>
    <w:basedOn w:val="1"/>
    <w:next w:val="11"/>
    <w:qFormat/>
    <w:uiPriority w:val="0"/>
    <w:pPr>
      <w:spacing w:after="120" w:afterLines="0" w:afterAutospacing="0"/>
      <w:ind w:left="420" w:leftChars="200"/>
    </w:pPr>
  </w:style>
  <w:style w:type="paragraph" w:styleId="11">
    <w:name w:val="envelope return"/>
    <w:basedOn w:val="1"/>
    <w:qFormat/>
    <w:uiPriority w:val="0"/>
    <w:pPr>
      <w:snapToGrid w:val="0"/>
    </w:pPr>
    <w:rPr>
      <w:rFonts w:ascii="Arial" w:hAnsi="Arial"/>
    </w:rPr>
  </w:style>
  <w:style w:type="paragraph" w:styleId="12">
    <w:name w:val="List 2"/>
    <w:basedOn w:val="1"/>
    <w:qFormat/>
    <w:uiPriority w:val="0"/>
    <w:pPr>
      <w:ind w:left="100" w:leftChars="200" w:hanging="200" w:hangingChars="200"/>
    </w:pPr>
  </w:style>
  <w:style w:type="paragraph" w:styleId="13">
    <w:name w:val="Block Text"/>
    <w:basedOn w:val="1"/>
    <w:qFormat/>
    <w:uiPriority w:val="99"/>
    <w:pPr>
      <w:spacing w:after="120"/>
      <w:ind w:left="1440" w:leftChars="700" w:right="1440" w:rightChars="7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qFormat/>
    <w:uiPriority w:val="0"/>
    <w:rPr>
      <w:sz w:val="24"/>
    </w:rPr>
  </w:style>
  <w:style w:type="paragraph" w:styleId="18">
    <w:name w:val="Body Text First Indent"/>
    <w:basedOn w:val="7"/>
    <w:next w:val="19"/>
    <w:qFormat/>
    <w:uiPriority w:val="0"/>
    <w:pPr>
      <w:ind w:firstLine="420" w:firstLineChars="100"/>
    </w:pPr>
  </w:style>
  <w:style w:type="paragraph" w:styleId="19">
    <w:name w:val="Body Text First Indent 2"/>
    <w:basedOn w:val="10"/>
    <w:next w:val="20"/>
    <w:qFormat/>
    <w:uiPriority w:val="0"/>
    <w:pPr>
      <w:ind w:firstLine="420" w:firstLineChars="200"/>
    </w:pPr>
  </w:style>
  <w:style w:type="paragraph" w:customStyle="1" w:styleId="20">
    <w:name w:val="样式 正文首行缩进 2 + Arial"/>
    <w:basedOn w:val="1"/>
    <w:next w:val="1"/>
    <w:qFormat/>
    <w:uiPriority w:val="0"/>
    <w:pPr>
      <w:spacing w:after="120" w:line="320" w:lineRule="atLeast"/>
      <w:ind w:firstLine="200" w:firstLineChars="200"/>
    </w:pPr>
    <w:rPr>
      <w:rFonts w:ascii="Arial" w:hAnsi="Arial"/>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mini-outputtext1"/>
    <w:basedOn w:val="23"/>
    <w:qFormat/>
    <w:uiPriority w:val="0"/>
  </w:style>
  <w:style w:type="paragraph" w:customStyle="1" w:styleId="25">
    <w:name w:val="文档正文"/>
    <w:basedOn w:val="1"/>
    <w:qFormat/>
    <w:uiPriority w:val="0"/>
    <w:pPr>
      <w:spacing w:line="480" w:lineRule="atLeast"/>
      <w:ind w:firstLine="567"/>
    </w:pPr>
    <w:rPr>
      <w:rFonts w:hint="eastAsia" w:ascii="仿宋_GB2312" w:eastAsia="仿宋_GB2312"/>
      <w:sz w:val="28"/>
    </w:rPr>
  </w:style>
  <w:style w:type="paragraph" w:customStyle="1" w:styleId="26">
    <w:name w:val="文档正文5"/>
    <w:basedOn w:val="4"/>
    <w:qFormat/>
    <w:uiPriority w:val="0"/>
    <w:pPr>
      <w:autoSpaceDE w:val="0"/>
      <w:autoSpaceDN w:val="0"/>
      <w:snapToGrid w:val="0"/>
      <w:spacing w:line="440" w:lineRule="exact"/>
      <w:ind w:firstLine="505"/>
    </w:pPr>
    <w:rPr>
      <w:spacing w:val="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招投标文件2"/>
      <sectRole val="1"/>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3883</Words>
  <Characters>4371</Characters>
  <Lines>0</Lines>
  <Paragraphs>0</Paragraphs>
  <TotalTime>61</TotalTime>
  <ScaleCrop>false</ScaleCrop>
  <LinksUpToDate>false</LinksUpToDate>
  <CharactersWithSpaces>4461</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2025-09-10T08:22:00Z</dcterms:created>
  <dc:creator>嵩山如卧</dc:creator>
  <cp:lastModifiedBy>WPS_1747300371</cp:lastModifiedBy>
  <dcterms:modified xsi:type="dcterms:W3CDTF">2025-09-12T08:03:32Z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F200BEEC2A2B41A88399A63C93FFE405</vt:lpwstr>
  </property>
  <property fmtid="{D5CDD505-2E9C-101B-9397-08002B2CF9AE}" pid="4" name="KSOTemplateDocerSaveRecord">
    <vt:lpwstr>eyJoZGlkIjoiZDE2YTc3Y2JhOTBiOGVjNzA3YWU0NTQ4OWE0Y2NiMDciLCJ1c2VySWQiOiIxMDMzOTI4MjU2In0=</vt:lpwstr>
  </property>
</Properties>
</file>